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ascii="仿宋_GB2312" w:eastAsia="仿宋_GB2312"/>
          <w:sz w:val="15"/>
          <w:szCs w:val="15"/>
        </w:rPr>
      </w:pPr>
      <w:bookmarkStart w:id="0" w:name="_GoBack"/>
      <w:bookmarkEnd w:id="0"/>
    </w:p>
    <w:p>
      <w:pPr>
        <w:spacing w:line="600" w:lineRule="exact"/>
        <w:jc w:val="center"/>
        <w:rPr>
          <w:rFonts w:hint="eastAsia" w:ascii="方正小标宋简体" w:hAnsi="方正小标宋简体" w:eastAsia="方正小标宋简体" w:cs="方正小标宋简体"/>
          <w:bCs/>
          <w:spacing w:val="-17"/>
          <w:sz w:val="44"/>
          <w:szCs w:val="44"/>
        </w:rPr>
      </w:pPr>
      <w:r>
        <w:rPr>
          <w:rFonts w:hint="eastAsia" w:ascii="方正小标宋简体" w:hAnsi="方正小标宋简体" w:eastAsia="方正小标宋简体" w:cs="方正小标宋简体"/>
          <w:bCs/>
          <w:spacing w:val="-17"/>
          <w:sz w:val="44"/>
          <w:szCs w:val="44"/>
        </w:rPr>
        <w:t>达拉特旗人民政府关于印发《达拉特旗矿区采矿</w:t>
      </w:r>
    </w:p>
    <w:p>
      <w:pPr>
        <w:spacing w:line="600" w:lineRule="exact"/>
        <w:jc w:val="center"/>
        <w:rPr>
          <w:rFonts w:hint="eastAsia" w:ascii="方正小标宋简体" w:hAnsi="方正小标宋简体" w:eastAsia="方正小标宋简体" w:cs="方正小标宋简体"/>
          <w:bCs/>
          <w:spacing w:val="-11"/>
          <w:sz w:val="44"/>
          <w:szCs w:val="44"/>
        </w:rPr>
      </w:pPr>
      <w:r>
        <w:rPr>
          <w:rFonts w:hint="eastAsia" w:ascii="方正小标宋简体" w:hAnsi="方正小标宋简体" w:eastAsia="方正小标宋简体" w:cs="方正小标宋简体"/>
          <w:bCs/>
          <w:spacing w:val="-6"/>
          <w:sz w:val="44"/>
          <w:szCs w:val="44"/>
        </w:rPr>
        <w:t>临时使用集体土地及移民安置补偿办法》的通知</w:t>
      </w: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rPr>
          <w:rFonts w:hint="eastAsia" w:ascii="Times New Roman" w:hAnsi="Times New Roman" w:eastAsia="仿宋_GB2312"/>
          <w:sz w:val="32"/>
          <w:szCs w:val="32"/>
        </w:rPr>
      </w:pPr>
      <w:r>
        <w:rPr>
          <w:rFonts w:hint="eastAsia" w:ascii="Times New Roman" w:hAnsi="Times New Roman" w:eastAsia="仿宋_GB2312"/>
          <w:sz w:val="32"/>
          <w:szCs w:val="32"/>
        </w:rPr>
        <w:t>各苏木镇人民政府，各街道办事处，旗政府各部门，各开发区、园区管委会，各直属单位，各企事业单位：</w:t>
      </w:r>
    </w:p>
    <w:p>
      <w:pPr>
        <w:pStyle w:val="4"/>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《达拉特旗矿区采矿临时使用集体土地及移民安置补偿办法》已经旗人民政府</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年第</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次常务会议审议通过，现印发给你们，请结合实际，认真抓好贯彻落实。</w:t>
      </w:r>
    </w:p>
    <w:p>
      <w:pPr>
        <w:pStyle w:val="7"/>
        <w:spacing w:line="600" w:lineRule="exact"/>
        <w:ind w:firstLine="5120" w:firstLineChars="1600"/>
        <w:rPr>
          <w:rFonts w:ascii="Times New Roman" w:hAnsi="Times New Roman" w:eastAsia="仿宋_GB2312"/>
          <w:sz w:val="32"/>
          <w:szCs w:val="32"/>
        </w:rPr>
      </w:pPr>
      <w:r>
        <w:rPr>
          <w:rFonts w:hint="eastAsia" w:ascii="Times New Roman" w:hAnsi="Times New Roman" w:eastAsia="仿宋_GB2312"/>
          <w:sz w:val="32"/>
          <w:szCs w:val="32"/>
        </w:rPr>
        <w:t>达拉特旗人民政府</w:t>
      </w:r>
    </w:p>
    <w:p>
      <w:pPr>
        <w:pStyle w:val="7"/>
        <w:spacing w:line="600" w:lineRule="exac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 xml:space="preserve">                            </w:t>
      </w:r>
      <w:r>
        <w:rPr>
          <w:rFonts w:ascii="Times New Roman" w:hAnsi="Times New Roman" w:eastAsia="仿宋_GB2312"/>
          <w:spacing w:val="6"/>
          <w:sz w:val="32"/>
          <w:szCs w:val="32"/>
        </w:rPr>
        <w:t>2022</w:t>
      </w:r>
      <w:r>
        <w:rPr>
          <w:rFonts w:hint="eastAsia" w:ascii="Times New Roman" w:hAnsi="Times New Roman" w:eastAsia="仿宋_GB2312"/>
          <w:spacing w:val="6"/>
          <w:sz w:val="32"/>
          <w:szCs w:val="32"/>
        </w:rPr>
        <w:t>年</w:t>
      </w:r>
      <w:r>
        <w:rPr>
          <w:rFonts w:ascii="Times New Roman" w:hAnsi="Times New Roman" w:eastAsia="仿宋_GB2312"/>
          <w:spacing w:val="6"/>
          <w:sz w:val="32"/>
          <w:szCs w:val="32"/>
        </w:rPr>
        <w:t>10</w:t>
      </w:r>
      <w:r>
        <w:rPr>
          <w:rFonts w:hint="eastAsia" w:ascii="Times New Roman" w:hAnsi="Times New Roman" w:eastAsia="仿宋_GB2312"/>
          <w:spacing w:val="6"/>
          <w:sz w:val="32"/>
          <w:szCs w:val="32"/>
        </w:rPr>
        <w:t>月</w:t>
      </w:r>
      <w:r>
        <w:rPr>
          <w:rFonts w:ascii="Times New Roman" w:hAnsi="Times New Roman" w:eastAsia="仿宋_GB2312"/>
          <w:spacing w:val="6"/>
          <w:sz w:val="32"/>
          <w:szCs w:val="32"/>
        </w:rPr>
        <w:t>29</w:t>
      </w:r>
      <w:r>
        <w:rPr>
          <w:rFonts w:hint="eastAsia" w:ascii="Times New Roman" w:hAnsi="Times New Roman" w:eastAsia="仿宋_GB2312"/>
          <w:spacing w:val="6"/>
          <w:sz w:val="32"/>
          <w:szCs w:val="32"/>
        </w:rPr>
        <w:t>日</w:t>
      </w:r>
    </w:p>
    <w:p>
      <w:pPr>
        <w:widowControl/>
        <w:jc w:val="left"/>
        <w:rPr>
          <w:rFonts w:ascii="方正小标宋简体" w:hAnsi="方正小标宋简体" w:eastAsia="方正小标宋简体" w:cs="方正小标宋简体"/>
          <w:sz w:val="44"/>
          <w:szCs w:val="44"/>
        </w:rPr>
        <w:sectPr>
          <w:pgSz w:w="11906" w:h="16838"/>
          <w:pgMar w:top="2098" w:right="1474" w:bottom="1984" w:left="1587" w:header="851" w:footer="992" w:gutter="0"/>
          <w:pgNumType w:fmt="numberInDash"/>
          <w:cols w:space="720" w:num="1"/>
          <w:docGrid w:type="lines" w:linePitch="312" w:charSpace="0"/>
        </w:sectPr>
      </w:pPr>
    </w:p>
    <w:p>
      <w:pPr>
        <w:spacing w:line="600" w:lineRule="exact"/>
        <w:jc w:val="center"/>
        <w:rPr>
          <w:rFonts w:hint="eastAsia"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17"/>
          <w:sz w:val="44"/>
          <w:szCs w:val="44"/>
        </w:rPr>
        <w:t>达拉特旗矿区采矿</w:t>
      </w:r>
      <w:r>
        <w:rPr>
          <w:rFonts w:hint="eastAsia" w:ascii="方正小标宋简体" w:hAnsi="方正小标宋简体" w:eastAsia="方正小标宋简体" w:cs="方正小标宋简体"/>
          <w:bCs/>
          <w:spacing w:val="-6"/>
          <w:sz w:val="44"/>
          <w:szCs w:val="44"/>
        </w:rPr>
        <w:t>临时使用</w:t>
      </w:r>
    </w:p>
    <w:p>
      <w:pPr>
        <w:spacing w:line="600" w:lineRule="exact"/>
        <w:jc w:val="center"/>
        <w:rPr>
          <w:rFonts w:hint="eastAsia" w:ascii="方正小标宋简体" w:eastAsia="方正小标宋简体"/>
          <w:sz w:val="44"/>
          <w:szCs w:val="44"/>
        </w:rPr>
      </w:pPr>
      <w:r>
        <w:rPr>
          <w:rFonts w:hint="eastAsia" w:ascii="方正小标宋简体" w:hAnsi="方正小标宋简体" w:eastAsia="方正小标宋简体" w:cs="方正小标宋简体"/>
          <w:bCs/>
          <w:spacing w:val="-6"/>
          <w:sz w:val="44"/>
          <w:szCs w:val="44"/>
        </w:rPr>
        <w:t>集体土地及移民安置补偿办法</w:t>
      </w:r>
    </w:p>
    <w:p>
      <w:pPr>
        <w:spacing w:line="600" w:lineRule="exact"/>
        <w:ind w:firstLine="643" w:firstLineChars="200"/>
        <w:jc w:val="center"/>
        <w:rPr>
          <w:rFonts w:hint="eastAsia" w:ascii="仿宋_GB2312" w:hAnsi="黑体" w:eastAsia="仿宋_GB2312"/>
          <w:b/>
          <w:sz w:val="32"/>
          <w:szCs w:val="32"/>
        </w:rPr>
      </w:pPr>
    </w:p>
    <w:p>
      <w:pPr>
        <w:spacing w:line="600" w:lineRule="exact"/>
        <w:ind w:firstLine="643" w:firstLineChars="200"/>
        <w:jc w:val="center"/>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第一章 总则</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第一条</w:t>
      </w:r>
      <w:r>
        <w:rPr>
          <w:rFonts w:hint="eastAsia" w:ascii="仿宋_GB2312" w:hAnsi="仿宋" w:eastAsia="仿宋_GB2312" w:cs="仿宋"/>
          <w:sz w:val="32"/>
          <w:szCs w:val="32"/>
        </w:rPr>
        <w:t xml:space="preserve"> 为切实维护矿区群众的合法利益和煤炭企业的正常生产经营秩序，实现矿区经济社会和生态环境持续发展，加强和规范矿区露天矿（指以露天开采的煤矿及非煤矿）临时使用农村牧区集体土地和井工矿形成的采空区、塌陷区造成农村牧区集体土地损毁补偿行为，根据《中华人民共和国土地管理法》《中华人民共和国矿产资源法》《中华人民共和国物权法》《中华人民共和国城乡规划法》《国务院关于促进煤炭工业健康发展的若干意见》《</w:t>
      </w:r>
      <w:r>
        <w:rPr>
          <w:rFonts w:hint="eastAsia" w:ascii="仿宋_GB2312" w:hAnsi="仿宋" w:eastAsia="仿宋_GB2312" w:cs="仿宋"/>
          <w:sz w:val="32"/>
          <w:szCs w:val="32"/>
          <w:lang w:eastAsia="zh-CN"/>
        </w:rPr>
        <w:t>国有土地上房屋征收与补偿条例</w:t>
      </w:r>
      <w:r>
        <w:rPr>
          <w:rFonts w:hint="eastAsia" w:ascii="仿宋_GB2312" w:hAnsi="仿宋" w:eastAsia="仿宋_GB2312" w:cs="仿宋"/>
          <w:sz w:val="32"/>
          <w:szCs w:val="32"/>
        </w:rPr>
        <w:t>》《内蒙古自治区人民政府办公厅关于公布自治区征地区片综合地价的通知》（内政办发〔2020〕16号）《鄂尔多斯市人民政府关于公布征地区片综合地价补充制定补偿标准的通知》（鄂府发〔2022〕59号）等法律法规</w:t>
      </w:r>
      <w:r>
        <w:rPr>
          <w:rFonts w:hint="eastAsia" w:ascii="仿宋_GB2312" w:hAnsi="仿宋" w:eastAsia="仿宋_GB2312" w:cs="仿宋"/>
          <w:sz w:val="32"/>
          <w:szCs w:val="32"/>
          <w:shd w:val="clear" w:color="auto" w:fill="FFFFFF"/>
        </w:rPr>
        <w:t>及</w:t>
      </w:r>
      <w:r>
        <w:rPr>
          <w:rFonts w:hint="eastAsia" w:ascii="仿宋_GB2312" w:hAnsi="仿宋" w:eastAsia="仿宋_GB2312" w:cs="仿宋"/>
          <w:sz w:val="32"/>
          <w:szCs w:val="32"/>
        </w:rPr>
        <w:t>政策规定</w:t>
      </w: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结合达拉特旗实际，制定本办法。</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 xml:space="preserve">第二条 </w:t>
      </w:r>
      <w:r>
        <w:rPr>
          <w:rFonts w:hint="eastAsia" w:ascii="仿宋_GB2312" w:hAnsi="仿宋" w:eastAsia="仿宋_GB2312" w:cs="仿宋"/>
          <w:sz w:val="32"/>
          <w:szCs w:val="32"/>
        </w:rPr>
        <w:t>坚持以人民为中心的发展思想，贯彻新发展理念，坚持“谁使用、谁保护，谁污染、谁治理，谁破坏、谁恢复，谁受益、谁补偿”的原则，从根本上解决矿区采空区、塌陷区和露天采矿形成的安全隐患及环境影响，</w:t>
      </w:r>
      <w:r>
        <w:rPr>
          <w:rFonts w:hint="eastAsia" w:ascii="仿宋_GB2312" w:hAnsi="仿宋_GB2312" w:eastAsia="仿宋_GB2312" w:cs="仿宋_GB2312"/>
          <w:color w:val="000000"/>
          <w:sz w:val="32"/>
          <w:szCs w:val="32"/>
        </w:rPr>
        <w:t>保障矿区群众生命财产安全和煤炭企业正常生产经营秩序，更</w:t>
      </w:r>
      <w:r>
        <w:rPr>
          <w:rFonts w:hint="eastAsia" w:ascii="仿宋_GB2312" w:hAnsi="仿宋" w:eastAsia="仿宋_GB2312" w:cs="仿宋"/>
          <w:sz w:val="32"/>
          <w:szCs w:val="32"/>
        </w:rPr>
        <w:t>好地维护社会和谐稳定，推进城乡统筹发展，努力实现资源、生态、社会和经济效益的有机统一。</w:t>
      </w:r>
    </w:p>
    <w:p>
      <w:pPr>
        <w:pStyle w:val="7"/>
        <w:autoSpaceDE w:val="0"/>
        <w:snapToGrid w:val="0"/>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第三条</w:t>
      </w:r>
      <w:r>
        <w:rPr>
          <w:rFonts w:hint="eastAsia" w:ascii="仿宋_GB2312" w:hAnsi="仿宋" w:eastAsia="仿宋_GB2312" w:cs="仿宋"/>
          <w:sz w:val="32"/>
          <w:szCs w:val="32"/>
        </w:rPr>
        <w:t xml:space="preserve"> </w:t>
      </w:r>
      <w:r>
        <w:rPr>
          <w:rFonts w:hint="eastAsia" w:ascii="仿宋_GB2312" w:hAnsi="仿宋" w:eastAsia="仿宋_GB2312" w:cs="仿宋"/>
          <w:sz w:val="32"/>
          <w:szCs w:val="32"/>
          <w:shd w:val="clear" w:color="auto" w:fill="FFFFFF"/>
        </w:rPr>
        <w:t>全旗</w:t>
      </w:r>
      <w:r>
        <w:rPr>
          <w:rFonts w:hint="eastAsia" w:ascii="仿宋_GB2312" w:hAnsi="仿宋" w:eastAsia="仿宋_GB2312" w:cs="仿宋"/>
          <w:sz w:val="32"/>
          <w:szCs w:val="32"/>
        </w:rPr>
        <w:t>境内井工矿形成的塌陷区、采空区治理和露天矿临时使用土地的</w:t>
      </w:r>
      <w:r>
        <w:rPr>
          <w:rFonts w:hint="eastAsia" w:ascii="仿宋_GB2312" w:hAnsi="仿宋" w:eastAsia="仿宋_GB2312" w:cs="仿宋"/>
          <w:sz w:val="32"/>
          <w:szCs w:val="32"/>
          <w:shd w:val="clear" w:color="auto" w:fill="FFFFFF"/>
        </w:rPr>
        <w:t>补偿及移民安置补偿</w:t>
      </w:r>
      <w:r>
        <w:rPr>
          <w:rFonts w:hint="eastAsia" w:ascii="仿宋_GB2312" w:hAnsi="仿宋" w:eastAsia="仿宋_GB2312" w:cs="仿宋"/>
          <w:sz w:val="32"/>
          <w:szCs w:val="32"/>
        </w:rPr>
        <w:t>适用本办法</w:t>
      </w:r>
      <w:r>
        <w:rPr>
          <w:rFonts w:hint="eastAsia" w:ascii="仿宋_GB2312" w:hAnsi="仿宋" w:eastAsia="仿宋_GB2312" w:cs="仿宋"/>
          <w:sz w:val="32"/>
          <w:szCs w:val="32"/>
          <w:shd w:val="clear" w:color="auto" w:fill="FFFFFF"/>
        </w:rPr>
        <w:t>。</w:t>
      </w:r>
    </w:p>
    <w:p>
      <w:pPr>
        <w:spacing w:line="600" w:lineRule="exact"/>
        <w:ind w:firstLine="643" w:firstLineChars="200"/>
        <w:jc w:val="center"/>
        <w:rPr>
          <w:rFonts w:hint="eastAsia" w:ascii="楷体_GB2312" w:hAnsi="楷体_GB2312" w:eastAsia="楷体_GB2312" w:cs="楷体_GB2312"/>
          <w:b/>
          <w:sz w:val="32"/>
          <w:szCs w:val="32"/>
        </w:rPr>
      </w:pPr>
    </w:p>
    <w:p>
      <w:pPr>
        <w:spacing w:line="600" w:lineRule="exact"/>
        <w:ind w:firstLine="643" w:firstLineChars="200"/>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第二章 组织领导</w:t>
      </w:r>
    </w:p>
    <w:p>
      <w:pPr>
        <w:autoSpaceDE w:val="0"/>
        <w:spacing w:line="60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sz w:val="32"/>
          <w:szCs w:val="32"/>
        </w:rPr>
        <w:t xml:space="preserve">第四条 </w:t>
      </w:r>
      <w:r>
        <w:rPr>
          <w:rFonts w:hint="eastAsia" w:ascii="仿宋_GB2312" w:hAnsi="仿宋" w:eastAsia="仿宋_GB2312" w:cs="仿宋"/>
          <w:sz w:val="32"/>
          <w:szCs w:val="32"/>
        </w:rPr>
        <w:t>为切实加强对矿区临时使用土地及移民安置工作的组织领导，</w:t>
      </w:r>
      <w:r>
        <w:rPr>
          <w:rFonts w:hint="eastAsia" w:ascii="仿宋_GB2312" w:hAnsi="仿宋" w:eastAsia="仿宋_GB2312" w:cs="仿宋"/>
          <w:sz w:val="32"/>
          <w:szCs w:val="32"/>
          <w:shd w:val="clear" w:color="auto" w:fill="FFFFFF"/>
        </w:rPr>
        <w:t>补偿工作在旗人民政府统一组织协调和监督管理下进行，各部门按照本部门职能职责做好临时用地补偿移民安置工作。</w:t>
      </w:r>
      <w:r>
        <w:rPr>
          <w:rFonts w:hint="eastAsia" w:ascii="仿宋_GB2312" w:hAnsi="仿宋" w:eastAsia="仿宋_GB2312" w:cs="仿宋"/>
          <w:sz w:val="32"/>
          <w:szCs w:val="32"/>
        </w:rPr>
        <w:t>成立达拉特旗矿区临时使用土地及移民安置工作领导小组（以下简称领导小组），自然资源局（矿补办）为矿区临时使用土地及移民安置工作的协调监督主体，各用地企业为临时用地、塌陷补偿及移民搬迁安置补偿的责任主体，各</w:t>
      </w:r>
      <w:r>
        <w:rPr>
          <w:rFonts w:hint="eastAsia" w:ascii="仿宋_GB2312" w:hAnsi="仿宋" w:eastAsia="仿宋_GB2312" w:cs="仿宋"/>
          <w:kern w:val="0"/>
          <w:sz w:val="32"/>
          <w:szCs w:val="32"/>
        </w:rPr>
        <w:t>苏木镇人民政府及相关部门为成员单位。</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第五条 </w:t>
      </w:r>
      <w:r>
        <w:rPr>
          <w:rFonts w:hint="eastAsia" w:ascii="仿宋_GB2312" w:hAnsi="仿宋" w:eastAsia="仿宋_GB2312" w:cs="仿宋"/>
          <w:sz w:val="32"/>
          <w:szCs w:val="32"/>
        </w:rPr>
        <w:t>领导小组及各成员单位的工作职责</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（一）领导小组主要负责研究制定矿区生态环境补偿、移民安置补偿及矿区临时使用土地办法。研究矿区生态环境补偿、移民安置补偿及矿区临时使用土地过程中出现的其它事宜。</w:t>
      </w:r>
    </w:p>
    <w:p>
      <w:pPr>
        <w:pStyle w:val="7"/>
        <w:autoSpaceDE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（二）自然资源局负责</w:t>
      </w:r>
      <w:r>
        <w:rPr>
          <w:rFonts w:hint="eastAsia" w:ascii="仿宋_GB2312" w:hAnsi="仿宋" w:eastAsia="仿宋_GB2312" w:cs="仿宋"/>
          <w:sz w:val="32"/>
          <w:szCs w:val="32"/>
          <w:shd w:val="clear" w:color="auto" w:fill="FFFFFF"/>
        </w:rPr>
        <w:t>草拟公告、</w:t>
      </w:r>
      <w:r>
        <w:rPr>
          <w:rFonts w:hint="eastAsia" w:ascii="仿宋_GB2312" w:hAnsi="仿宋" w:eastAsia="仿宋_GB2312" w:cs="仿宋"/>
          <w:kern w:val="0"/>
          <w:sz w:val="32"/>
          <w:szCs w:val="32"/>
        </w:rPr>
        <w:t>组织听证；负责</w:t>
      </w:r>
      <w:r>
        <w:rPr>
          <w:rFonts w:hint="eastAsia" w:ascii="仿宋_GB2312" w:hAnsi="仿宋" w:eastAsia="仿宋_GB2312" w:cs="仿宋"/>
          <w:sz w:val="32"/>
          <w:szCs w:val="32"/>
        </w:rPr>
        <w:t>对矿区临时使用土地的地类及地上附着物进行清点核定；负责做好移民安置人口、井工矿土地塌陷、土地流转面积及生态环境补偿款的核定、收取、发放等工作。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采矿企业作为土地使用方与村社集体签订临时用地、塌陷补偿及移民搬迁安置补偿协议，保障补偿资金，在规定时间内将补偿资金（包括后期的保障费用）足额打入自然资源局（矿补办）专用账户。采矿企业负责采空区塌陷及火灾等安全隐患排查，负责协助有关部门排查井田内抢栽、抢种、私搭乱建等行为，发现上述行为，及时向企业所在地苏木镇人民政府或旗直有关部门反映。</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（四）各有关</w:t>
      </w:r>
      <w:r>
        <w:rPr>
          <w:rFonts w:hint="eastAsia" w:ascii="仿宋_GB2312" w:hAnsi="仿宋" w:eastAsia="仿宋_GB2312" w:cs="仿宋"/>
          <w:kern w:val="0"/>
          <w:sz w:val="32"/>
          <w:szCs w:val="32"/>
        </w:rPr>
        <w:t>苏木镇人民政府负责</w:t>
      </w:r>
      <w:r>
        <w:rPr>
          <w:rFonts w:hint="eastAsia" w:ascii="仿宋_GB2312" w:hAnsi="仿宋" w:eastAsia="仿宋_GB2312" w:cs="仿宋"/>
          <w:sz w:val="32"/>
          <w:szCs w:val="32"/>
          <w:shd w:val="clear" w:color="auto" w:fill="FFFFFF"/>
        </w:rPr>
        <w:t>做好被征地嘎查村农牧民的政策宣传、思想教育、矛盾调处等工作，</w:t>
      </w:r>
      <w:r>
        <w:rPr>
          <w:rFonts w:hint="eastAsia" w:ascii="仿宋_GB2312" w:hAnsi="仿宋" w:eastAsia="仿宋_GB2312" w:cs="仿宋"/>
          <w:sz w:val="32"/>
          <w:szCs w:val="32"/>
        </w:rPr>
        <w:t>查处制止群众抢建、抢栽、抢种等违法行为。</w:t>
      </w:r>
      <w:r>
        <w:rPr>
          <w:rFonts w:hint="eastAsia" w:ascii="仿宋_GB2312" w:hAnsi="仿宋" w:eastAsia="仿宋_GB2312" w:cs="仿宋"/>
          <w:kern w:val="0"/>
          <w:sz w:val="32"/>
          <w:szCs w:val="32"/>
        </w:rPr>
        <w:t>指导农村集体经济组织召开村民小组会议或村民代表大会讨论决定补偿协议的签订及补偿费的使用分配方案等</w:t>
      </w:r>
      <w:r>
        <w:rPr>
          <w:rFonts w:hint="eastAsia" w:ascii="仿宋_GB2312" w:hAnsi="仿宋" w:eastAsia="仿宋_GB2312" w:cs="仿宋"/>
          <w:sz w:val="32"/>
          <w:szCs w:val="32"/>
        </w:rPr>
        <w:t>。</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（五）旗能源局强化监管，规范煤炭企业的生产、加工、经营等活动，积极配合矿区移民搬迁安置工作。</w:t>
      </w:r>
    </w:p>
    <w:p>
      <w:pPr>
        <w:pStyle w:val="7"/>
        <w:autoSpaceDE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（六）旗林业和草原负责审核拟使用土地是否占用基本草原、草原保护核心区及森林公园；负责林地、草原征占用审核报批；对土地调查过程中存在地类争议的林草地进行确认等工作。</w:t>
      </w:r>
    </w:p>
    <w:p>
      <w:pPr>
        <w:pStyle w:val="7"/>
        <w:autoSpaceDE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（七）旗农牧局负责对土地调查时，已确权耕地与实际地类不符的土地地类进行认定及设施农业用地的合法性审查。</w:t>
      </w:r>
    </w:p>
    <w:p>
      <w:pPr>
        <w:pStyle w:val="7"/>
        <w:autoSpaceDE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（八）旗生态环境分局负责对项目是否占用水源地保护区进行审查，负责项目环境保护等审批工作。</w:t>
      </w:r>
    </w:p>
    <w:p>
      <w:pPr>
        <w:pStyle w:val="7"/>
        <w:autoSpaceDE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（九）旗水利局负责项目是否占用河道等审查审批工作。</w:t>
      </w:r>
    </w:p>
    <w:p>
      <w:pPr>
        <w:pStyle w:val="7"/>
        <w:autoSpaceDE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shd w:val="clear" w:color="auto" w:fill="FFFFFF"/>
        </w:rPr>
        <w:t>（</w:t>
      </w:r>
      <w:r>
        <w:rPr>
          <w:rFonts w:hint="eastAsia" w:ascii="仿宋_GB2312" w:hAnsi="仿宋" w:eastAsia="仿宋_GB2312" w:cs="仿宋"/>
          <w:sz w:val="32"/>
          <w:szCs w:val="32"/>
        </w:rPr>
        <w:t>十</w:t>
      </w:r>
      <w:r>
        <w:rPr>
          <w:rFonts w:hint="eastAsia" w:ascii="仿宋_GB2312" w:hAnsi="仿宋" w:eastAsia="仿宋_GB2312" w:cs="仿宋"/>
          <w:sz w:val="32"/>
          <w:szCs w:val="32"/>
          <w:shd w:val="clear" w:color="auto" w:fill="FFFFFF"/>
        </w:rPr>
        <w:t>）旗文化和旅游局负责采矿用地范围内的文物核查审批工作。</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（十一）旗公安局负责配合做好矿区移民搬迁户籍资料的核实查验工作，维护矿区正常生产生活秩序。</w:t>
      </w:r>
    </w:p>
    <w:p>
      <w:pPr>
        <w:pStyle w:val="7"/>
        <w:numPr>
          <w:ilvl w:val="0"/>
          <w:numId w:val="1"/>
        </w:numPr>
        <w:autoSpaceDE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旗供电分公司负责做好矿区电力设施的维护保养及线路的规划迁改工作，严禁为违章建筑供电。</w:t>
      </w:r>
    </w:p>
    <w:p>
      <w:pPr>
        <w:pStyle w:val="7"/>
        <w:autoSpaceDE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rPr>
        <w:t>（十三）农村牧区集体经济组织按职责做好各项补偿款的分配工作，将补偿费用的收支情况向本集体经济组织成员公布，并接受监督。</w:t>
      </w:r>
    </w:p>
    <w:p>
      <w:pPr>
        <w:spacing w:line="600" w:lineRule="exact"/>
        <w:ind w:firstLine="640" w:firstLineChars="200"/>
        <w:rPr>
          <w:rFonts w:hint="eastAsia" w:ascii="仿宋_GB2312" w:hAnsi="仿宋" w:eastAsia="仿宋_GB2312" w:cs="仿宋"/>
          <w:sz w:val="32"/>
          <w:szCs w:val="32"/>
          <w:shd w:val="clear" w:color="auto" w:fill="FFFFFF"/>
        </w:rPr>
      </w:pPr>
    </w:p>
    <w:p>
      <w:pPr>
        <w:spacing w:line="60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第三章 工作程序</w:t>
      </w:r>
    </w:p>
    <w:p>
      <w:pPr>
        <w:spacing w:line="600" w:lineRule="exact"/>
        <w:ind w:firstLine="675" w:firstLineChars="200"/>
        <w:rPr>
          <w:rFonts w:hint="eastAsia" w:ascii="仿宋_GB2312" w:hAnsi="仿宋" w:eastAsia="仿宋_GB2312" w:cs="仿宋"/>
          <w:sz w:val="32"/>
          <w:szCs w:val="32"/>
        </w:rPr>
      </w:pPr>
      <w:r>
        <w:rPr>
          <w:rFonts w:hint="eastAsia" w:ascii="仿宋_GB2312" w:hAnsi="仿宋" w:eastAsia="仿宋_GB2312" w:cs="仿宋"/>
          <w:b/>
          <w:bCs/>
          <w:spacing w:val="8"/>
          <w:sz w:val="32"/>
          <w:szCs w:val="32"/>
          <w:shd w:val="clear" w:color="auto" w:fill="FFFFFF"/>
        </w:rPr>
        <w:t>第六条</w:t>
      </w:r>
      <w:r>
        <w:rPr>
          <w:rFonts w:hint="eastAsia" w:ascii="仿宋_GB2312" w:hAnsi="仿宋" w:eastAsia="仿宋_GB2312" w:cs="仿宋"/>
          <w:spacing w:val="8"/>
          <w:sz w:val="32"/>
          <w:szCs w:val="32"/>
          <w:shd w:val="clear" w:color="auto" w:fill="FFFFFF"/>
        </w:rPr>
        <w:t xml:space="preserve"> 采矿</w:t>
      </w:r>
      <w:r>
        <w:rPr>
          <w:rFonts w:hint="eastAsia" w:ascii="仿宋_GB2312" w:hAnsi="仿宋" w:eastAsia="仿宋_GB2312" w:cs="仿宋"/>
          <w:sz w:val="32"/>
          <w:szCs w:val="32"/>
        </w:rPr>
        <w:t>企业申请</w:t>
      </w:r>
      <w:r>
        <w:rPr>
          <w:rFonts w:hint="eastAsia" w:ascii="仿宋_GB2312" w:hAnsi="仿宋" w:eastAsia="仿宋_GB2312" w:cs="仿宋"/>
          <w:spacing w:val="8"/>
          <w:sz w:val="32"/>
          <w:szCs w:val="32"/>
          <w:shd w:val="clear" w:color="auto" w:fill="FFFFFF"/>
        </w:rPr>
        <w:t>。</w:t>
      </w:r>
      <w:r>
        <w:rPr>
          <w:rFonts w:hint="eastAsia" w:ascii="仿宋_GB2312" w:hAnsi="仿宋" w:eastAsia="仿宋_GB2312" w:cs="仿宋"/>
          <w:sz w:val="32"/>
          <w:szCs w:val="32"/>
        </w:rPr>
        <w:t>采矿企业根据年产能、近三年开采计划编制拟使用土地范围图、塌陷区采空区范围图，向旗自然资源局提出临时使用土地及移民搬迁申请，旗自然资源局、旗能源局、相关镇人民政府负责审查采矿企业的申请，并结合实际拟定征拆实施方案，报请旗人民政府审查。</w:t>
      </w:r>
    </w:p>
    <w:p>
      <w:pPr>
        <w:spacing w:line="600" w:lineRule="exact"/>
        <w:ind w:firstLine="643" w:firstLineChars="200"/>
        <w:jc w:val="left"/>
        <w:rPr>
          <w:rFonts w:hint="eastAsia" w:ascii="仿宋_GB2312" w:hAnsi="仿宋" w:eastAsia="仿宋_GB2312" w:cs="仿宋"/>
          <w:sz w:val="32"/>
          <w:szCs w:val="32"/>
        </w:rPr>
      </w:pPr>
      <w:r>
        <w:rPr>
          <w:rFonts w:hint="eastAsia" w:ascii="仿宋_GB2312" w:hAnsi="仿宋" w:eastAsia="仿宋_GB2312" w:cs="仿宋"/>
          <w:b/>
          <w:bCs/>
          <w:sz w:val="32"/>
          <w:szCs w:val="32"/>
        </w:rPr>
        <w:t>第七条</w:t>
      </w:r>
      <w:r>
        <w:rPr>
          <w:rFonts w:hint="eastAsia" w:ascii="仿宋_GB2312" w:hAnsi="仿宋" w:eastAsia="仿宋_GB2312" w:cs="仿宋"/>
          <w:sz w:val="32"/>
          <w:szCs w:val="32"/>
        </w:rPr>
        <w:t xml:space="preserve"> 经旗人民政府审查通过后，</w:t>
      </w:r>
      <w:r>
        <w:rPr>
          <w:rFonts w:hint="eastAsia" w:ascii="仿宋_GB2312" w:hAnsi="仿宋" w:eastAsia="仿宋_GB2312" w:cs="仿宋"/>
          <w:spacing w:val="8"/>
          <w:sz w:val="32"/>
          <w:szCs w:val="32"/>
          <w:shd w:val="clear" w:color="auto" w:fill="FFFFFF"/>
        </w:rPr>
        <w:t>发布</w:t>
      </w:r>
      <w:r>
        <w:rPr>
          <w:rFonts w:hint="eastAsia" w:ascii="仿宋_GB2312" w:hAnsi="仿宋" w:eastAsia="仿宋_GB2312" w:cs="仿宋"/>
          <w:sz w:val="32"/>
          <w:szCs w:val="32"/>
        </w:rPr>
        <w:t>临时使用土地及移民搬迁</w:t>
      </w:r>
      <w:r>
        <w:rPr>
          <w:rFonts w:hint="eastAsia" w:ascii="仿宋_GB2312" w:hAnsi="仿宋" w:eastAsia="仿宋_GB2312" w:cs="仿宋"/>
          <w:spacing w:val="8"/>
          <w:sz w:val="32"/>
          <w:szCs w:val="32"/>
          <w:shd w:val="clear" w:color="auto" w:fill="FFFFFF"/>
        </w:rPr>
        <w:t>通告，并成立工作组。</w:t>
      </w:r>
      <w:r>
        <w:rPr>
          <w:rFonts w:hint="eastAsia" w:ascii="仿宋_GB2312" w:hAnsi="仿宋" w:eastAsia="仿宋_GB2312" w:cs="仿宋"/>
          <w:sz w:val="32"/>
          <w:szCs w:val="32"/>
        </w:rPr>
        <w:t>旗人民政府发布的通告，在所涉及的苏木镇和村社范围内张贴，并留存影像资料，通告时间不少于10个工作日。通告内容主要包括：拟使用土地及搬迁的位置、范围、工作安排</w:t>
      </w:r>
      <w:r>
        <w:rPr>
          <w:rFonts w:hint="eastAsia" w:ascii="仿宋_GB2312" w:hAnsi="仿宋" w:eastAsia="仿宋_GB2312" w:cs="仿宋"/>
          <w:spacing w:val="8"/>
          <w:sz w:val="32"/>
          <w:szCs w:val="32"/>
          <w:shd w:val="clear" w:color="auto" w:fill="FFFFFF"/>
        </w:rPr>
        <w:t>等</w:t>
      </w:r>
      <w:r>
        <w:rPr>
          <w:rFonts w:hint="eastAsia" w:ascii="仿宋_GB2312" w:hAnsi="仿宋" w:eastAsia="仿宋_GB2312" w:cs="仿宋"/>
          <w:sz w:val="32"/>
          <w:szCs w:val="32"/>
        </w:rPr>
        <w:t>。</w:t>
      </w:r>
      <w:r>
        <w:rPr>
          <w:rFonts w:hint="eastAsia" w:ascii="仿宋_GB2312" w:hAnsi="仿宋" w:eastAsia="仿宋_GB2312" w:cs="仿宋"/>
          <w:spacing w:val="8"/>
          <w:sz w:val="32"/>
          <w:szCs w:val="32"/>
          <w:shd w:val="clear" w:color="auto" w:fill="FFFFFF"/>
        </w:rPr>
        <w:t>通告发布后，在拟使用土地及搬迁范围内暂停办理户口迁入、分户、核发营业执照等工作。任何单位或个人不得对房屋进行交易、翻（</w:t>
      </w:r>
      <w:r>
        <w:rPr>
          <w:rFonts w:hint="eastAsia" w:ascii="仿宋_GB2312" w:hAnsi="仿宋" w:eastAsia="仿宋_GB2312" w:cs="仿宋"/>
          <w:sz w:val="32"/>
          <w:szCs w:val="32"/>
        </w:rPr>
        <w:t>抢、</w:t>
      </w:r>
      <w:r>
        <w:rPr>
          <w:rFonts w:hint="eastAsia" w:ascii="仿宋_GB2312" w:hAnsi="仿宋" w:eastAsia="仿宋_GB2312" w:cs="仿宋"/>
          <w:spacing w:val="8"/>
          <w:sz w:val="32"/>
          <w:szCs w:val="32"/>
          <w:shd w:val="clear" w:color="auto" w:fill="FFFFFF"/>
        </w:rPr>
        <w:t>扩）建、装修或</w:t>
      </w:r>
      <w:r>
        <w:rPr>
          <w:rFonts w:hint="eastAsia" w:ascii="仿宋_GB2312" w:hAnsi="仿宋" w:eastAsia="仿宋_GB2312" w:cs="仿宋"/>
          <w:sz w:val="32"/>
          <w:szCs w:val="32"/>
        </w:rPr>
        <w:t>抢种、抢栽地上附着物</w:t>
      </w:r>
      <w:r>
        <w:rPr>
          <w:rFonts w:hint="eastAsia" w:ascii="仿宋_GB2312" w:hAnsi="仿宋" w:eastAsia="仿宋_GB2312" w:cs="仿宋"/>
          <w:spacing w:val="8"/>
          <w:sz w:val="32"/>
          <w:szCs w:val="32"/>
          <w:shd w:val="clear" w:color="auto" w:fill="FFFFFF"/>
        </w:rPr>
        <w:t>等改变现状的行为</w:t>
      </w:r>
      <w:r>
        <w:rPr>
          <w:rFonts w:hint="eastAsia" w:ascii="仿宋_GB2312" w:hAnsi="仿宋" w:eastAsia="仿宋_GB2312" w:cs="仿宋"/>
          <w:sz w:val="32"/>
          <w:szCs w:val="32"/>
        </w:rPr>
        <w:t>。自通告公布之日起，在拟使用地（拟搬迁）范围内有上述情况的，签订协议时一律不予补偿。</w:t>
      </w:r>
    </w:p>
    <w:p>
      <w:pPr>
        <w:spacing w:line="600" w:lineRule="exact"/>
        <w:ind w:firstLine="643" w:firstLineChars="200"/>
        <w:rPr>
          <w:rFonts w:hint="eastAsia" w:ascii="仿宋_GB2312" w:hAnsi="仿宋" w:eastAsia="仿宋_GB2312" w:cs="仿宋"/>
          <w:spacing w:val="8"/>
          <w:sz w:val="32"/>
          <w:szCs w:val="32"/>
          <w:shd w:val="clear" w:color="auto" w:fill="FFFFFF"/>
        </w:rPr>
      </w:pPr>
      <w:r>
        <w:rPr>
          <w:rFonts w:hint="eastAsia" w:ascii="仿宋_GB2312" w:hAnsi="仿宋" w:eastAsia="仿宋_GB2312" w:cs="仿宋"/>
          <w:b/>
          <w:bCs/>
          <w:sz w:val="32"/>
          <w:szCs w:val="32"/>
        </w:rPr>
        <w:t xml:space="preserve">第八条 </w:t>
      </w:r>
      <w:r>
        <w:rPr>
          <w:rFonts w:hint="eastAsia" w:ascii="仿宋_GB2312" w:hAnsi="仿宋" w:eastAsia="仿宋_GB2312" w:cs="仿宋"/>
          <w:sz w:val="32"/>
          <w:szCs w:val="32"/>
        </w:rPr>
        <w:t>现状调查。工作组对拟使用土地（采空区和塌陷区）范围内的土地权属、地类、面积、村民住宅（含权属、面积等）及其他地上附着物权属、种类、数量等现状进行调查，并经当事人确认后予以公示，公示时间7个工作日。</w:t>
      </w:r>
      <w:r>
        <w:rPr>
          <w:rFonts w:hint="eastAsia" w:ascii="仿宋_GB2312" w:hAnsi="仿宋" w:eastAsia="仿宋_GB2312" w:cs="仿宋"/>
          <w:sz w:val="32"/>
          <w:szCs w:val="32"/>
          <w:shd w:val="clear" w:color="auto" w:fill="FFFFFF"/>
        </w:rPr>
        <w:t>工作组对</w:t>
      </w:r>
      <w:r>
        <w:rPr>
          <w:rFonts w:hint="eastAsia" w:ascii="仿宋_GB2312" w:hAnsi="仿宋" w:eastAsia="仿宋_GB2312" w:cs="仿宋"/>
          <w:sz w:val="32"/>
          <w:szCs w:val="32"/>
        </w:rPr>
        <w:t>耕地面积的认定，以二轮土地承包面积为主要依据，结合土地确权及“三调”综合确定。对地类的认定以“三调”结果为主要依据，综合考虑现有地类的形成时间及改变地类的动机等因素做出调查、认定。</w:t>
      </w:r>
      <w:r>
        <w:rPr>
          <w:rFonts w:hint="eastAsia" w:ascii="仿宋_GB2312" w:hAnsi="仿宋" w:eastAsia="仿宋_GB2312" w:cs="仿宋"/>
          <w:sz w:val="32"/>
          <w:szCs w:val="32"/>
          <w:shd w:val="clear" w:color="auto" w:fill="FFFFFF"/>
        </w:rPr>
        <w:t>工作组及相关部门对因历史原因造成的没有建设审批手续和产权证房屋及附属设施的合法性认定，应当依法予以甄别，综合考虑房屋来源、房屋建设的时间和动机、使用情况、居住利益、当时的立法状况等因素作出调查、认定和处理。</w:t>
      </w:r>
    </w:p>
    <w:p>
      <w:pPr>
        <w:pStyle w:val="7"/>
        <w:autoSpaceDE w:val="0"/>
        <w:snapToGrid w:val="0"/>
        <w:spacing w:line="600" w:lineRule="exact"/>
        <w:ind w:firstLine="675" w:firstLineChars="200"/>
        <w:rPr>
          <w:rFonts w:hint="eastAsia" w:ascii="仿宋_GB2312" w:hAnsi="仿宋" w:eastAsia="仿宋_GB2312" w:cs="仿宋"/>
          <w:sz w:val="32"/>
          <w:szCs w:val="32"/>
        </w:rPr>
      </w:pPr>
      <w:r>
        <w:rPr>
          <w:rFonts w:hint="eastAsia" w:ascii="仿宋_GB2312" w:hAnsi="仿宋" w:eastAsia="仿宋_GB2312" w:cs="仿宋"/>
          <w:b/>
          <w:bCs/>
          <w:spacing w:val="8"/>
          <w:sz w:val="32"/>
          <w:szCs w:val="32"/>
          <w:shd w:val="clear" w:color="auto" w:fill="FFFFFF"/>
        </w:rPr>
        <w:t xml:space="preserve">第九条 </w:t>
      </w:r>
      <w:r>
        <w:rPr>
          <w:rFonts w:hint="eastAsia" w:ascii="仿宋_GB2312" w:hAnsi="仿宋" w:eastAsia="仿宋_GB2312" w:cs="仿宋"/>
          <w:spacing w:val="8"/>
          <w:sz w:val="32"/>
          <w:szCs w:val="32"/>
          <w:shd w:val="clear" w:color="auto" w:fill="FFFFFF"/>
        </w:rPr>
        <w:t>听证。自然资源局向</w:t>
      </w:r>
      <w:r>
        <w:rPr>
          <w:rFonts w:hint="eastAsia" w:ascii="仿宋_GB2312" w:hAnsi="仿宋" w:eastAsia="仿宋_GB2312" w:cs="仿宋"/>
          <w:sz w:val="32"/>
          <w:szCs w:val="32"/>
        </w:rPr>
        <w:t>拟使用土地（拟搬迁）所在地苏木镇、嘎查村</w:t>
      </w:r>
      <w:r>
        <w:rPr>
          <w:rFonts w:hint="eastAsia" w:ascii="仿宋_GB2312" w:hAnsi="仿宋" w:eastAsia="仿宋_GB2312" w:cs="仿宋"/>
          <w:spacing w:val="8"/>
          <w:sz w:val="32"/>
          <w:szCs w:val="32"/>
          <w:shd w:val="clear" w:color="auto" w:fill="FFFFFF"/>
        </w:rPr>
        <w:t>发布（送达）《</w:t>
      </w:r>
      <w:r>
        <w:rPr>
          <w:rFonts w:hint="eastAsia" w:ascii="仿宋_GB2312" w:hAnsi="仿宋" w:eastAsia="仿宋_GB2312" w:cs="仿宋"/>
          <w:sz w:val="32"/>
          <w:szCs w:val="32"/>
        </w:rPr>
        <w:t>矿区采矿临时使用土地及移民安置补偿</w:t>
      </w:r>
      <w:r>
        <w:rPr>
          <w:rFonts w:hint="eastAsia" w:ascii="仿宋_GB2312" w:hAnsi="仿宋" w:eastAsia="仿宋_GB2312" w:cs="仿宋"/>
          <w:spacing w:val="8"/>
          <w:sz w:val="32"/>
          <w:szCs w:val="32"/>
          <w:shd w:val="clear" w:color="auto" w:fill="FFFFFF"/>
        </w:rPr>
        <w:t>方案听证告知书》，当事人应当在公告期满后7个工作日内提出听证申请，</w:t>
      </w:r>
      <w:r>
        <w:rPr>
          <w:rFonts w:hint="eastAsia" w:ascii="仿宋_GB2312" w:hAnsi="仿宋" w:eastAsia="仿宋_GB2312" w:cs="仿宋"/>
          <w:sz w:val="32"/>
          <w:szCs w:val="32"/>
          <w:shd w:val="clear" w:color="auto" w:fill="FFFFFF"/>
        </w:rPr>
        <w:t>在申请期限内未申请或未参加听证会的，视为放弃听证。</w:t>
      </w:r>
      <w:r>
        <w:rPr>
          <w:rFonts w:hint="eastAsia" w:ascii="仿宋_GB2312" w:hAnsi="仿宋" w:eastAsia="仿宋_GB2312" w:cs="仿宋"/>
          <w:sz w:val="32"/>
          <w:szCs w:val="32"/>
        </w:rPr>
        <w:t>拟使用土地（拟搬迁）</w:t>
      </w:r>
      <w:r>
        <w:rPr>
          <w:rFonts w:hint="eastAsia" w:ascii="仿宋_GB2312" w:hAnsi="仿宋" w:eastAsia="仿宋_GB2312" w:cs="仿宋"/>
          <w:spacing w:val="8"/>
          <w:sz w:val="32"/>
          <w:szCs w:val="32"/>
          <w:shd w:val="clear" w:color="auto" w:fill="FFFFFF"/>
        </w:rPr>
        <w:t>涉及的农村集体经济组织半数以上（不含半数）成员认为补偿安置方案不合理，旗人民政府应当组织召开听证会。</w:t>
      </w:r>
    </w:p>
    <w:p>
      <w:pPr>
        <w:spacing w:line="600" w:lineRule="exact"/>
        <w:ind w:firstLine="643" w:firstLineChars="200"/>
        <w:rPr>
          <w:rFonts w:hint="eastAsia" w:ascii="仿宋_GB2312" w:hAnsi="仿宋" w:eastAsia="仿宋_GB2312" w:cs="仿宋"/>
          <w:spacing w:val="-10"/>
          <w:sz w:val="32"/>
          <w:szCs w:val="32"/>
          <w:shd w:val="clear" w:color="auto" w:fill="FFFFFF"/>
        </w:rPr>
      </w:pPr>
      <w:r>
        <w:rPr>
          <w:rFonts w:hint="eastAsia" w:ascii="仿宋_GB2312" w:hAnsi="仿宋" w:eastAsia="仿宋_GB2312" w:cs="仿宋"/>
          <w:b/>
          <w:bCs/>
          <w:sz w:val="32"/>
          <w:szCs w:val="32"/>
          <w:shd w:val="clear" w:color="auto" w:fill="FFFFFF"/>
        </w:rPr>
        <w:t xml:space="preserve">第十条 </w:t>
      </w:r>
      <w:r>
        <w:rPr>
          <w:rFonts w:hint="eastAsia" w:ascii="仿宋_GB2312" w:hAnsi="仿宋" w:eastAsia="仿宋_GB2312" w:cs="仿宋"/>
          <w:sz w:val="32"/>
          <w:szCs w:val="32"/>
          <w:shd w:val="clear" w:color="auto" w:fill="FFFFFF"/>
        </w:rPr>
        <w:t>补偿登记。拟使用土</w:t>
      </w:r>
      <w:r>
        <w:rPr>
          <w:rFonts w:hint="eastAsia" w:ascii="仿宋_GB2312" w:hAnsi="仿宋" w:eastAsia="仿宋_GB2312" w:cs="仿宋"/>
          <w:spacing w:val="-10"/>
          <w:sz w:val="32"/>
          <w:szCs w:val="32"/>
          <w:shd w:val="clear" w:color="auto" w:fill="FFFFFF"/>
        </w:rPr>
        <w:t>地范围内的农村集体经济组织、村民或者其他权利人</w:t>
      </w:r>
      <w:r>
        <w:rPr>
          <w:rFonts w:hint="eastAsia" w:ascii="仿宋_GB2312" w:hAnsi="仿宋" w:eastAsia="仿宋_GB2312" w:cs="仿宋"/>
          <w:sz w:val="32"/>
          <w:szCs w:val="32"/>
          <w:shd w:val="clear" w:color="auto" w:fill="FFFFFF"/>
        </w:rPr>
        <w:t>应当在拟使用土地</w:t>
      </w:r>
      <w:r>
        <w:rPr>
          <w:rFonts w:hint="eastAsia" w:ascii="仿宋_GB2312" w:hAnsi="仿宋" w:eastAsia="仿宋_GB2312" w:cs="仿宋"/>
          <w:sz w:val="32"/>
          <w:szCs w:val="32"/>
        </w:rPr>
        <w:t>（拟搬迁）</w:t>
      </w:r>
      <w:r>
        <w:rPr>
          <w:rFonts w:hint="eastAsia" w:ascii="仿宋_GB2312" w:hAnsi="仿宋" w:eastAsia="仿宋_GB2312" w:cs="仿宋"/>
          <w:sz w:val="32"/>
          <w:szCs w:val="32"/>
          <w:shd w:val="clear" w:color="auto" w:fill="FFFFFF"/>
        </w:rPr>
        <w:t>通告规定的签约期限内，持土地权属证书或其他有效证件到通告指定地点办理</w:t>
      </w:r>
      <w:r>
        <w:rPr>
          <w:rFonts w:hint="eastAsia" w:ascii="仿宋_GB2312" w:hAnsi="仿宋" w:eastAsia="仿宋_GB2312" w:cs="仿宋"/>
          <w:spacing w:val="-10"/>
          <w:sz w:val="32"/>
          <w:szCs w:val="32"/>
          <w:shd w:val="clear" w:color="auto" w:fill="FFFFFF"/>
        </w:rPr>
        <w:t>补偿登记手续。拟使用土地（拟搬迁）范围内的农村集体经济组织、村民或者其他权利人未如期办理补偿登记手续的，其补偿内容以补偿工作组的调查结果为准。补偿登记结束后，工作组应及时将补偿范围、土地类别、补偿金额等进行公示，公示时间7个工作日。</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第十一条</w:t>
      </w:r>
      <w:r>
        <w:rPr>
          <w:rFonts w:hint="eastAsia" w:ascii="仿宋_GB2312" w:hAnsi="仿宋" w:eastAsia="仿宋_GB2312" w:cs="仿宋"/>
          <w:sz w:val="32"/>
          <w:szCs w:val="32"/>
        </w:rPr>
        <w:t xml:space="preserve"> 落实有关费用。旗自然资源局组织有关单位对拟使用土地（拟搬迁）的土地补偿费、地上建筑物构筑物、青苗及其它地上附着物等费用进行测算，由用地企业及时足额将有关费用存入专用账户。</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第十二条</w:t>
      </w:r>
      <w:r>
        <w:rPr>
          <w:rFonts w:hint="eastAsia" w:ascii="仿宋_GB2312" w:hAnsi="仿宋" w:eastAsia="仿宋_GB2312" w:cs="仿宋"/>
          <w:sz w:val="32"/>
          <w:szCs w:val="32"/>
        </w:rPr>
        <w:t xml:space="preserve"> 签订协议。工作组组织用地单位与土地（拟搬迁）所有权人和使用权人签订补偿协议。拟使用社集体土地的（或整村搬迁的），需社集体经济组织中三分之二以上的村民代表同意。</w:t>
      </w:r>
    </w:p>
    <w:p>
      <w:pPr>
        <w:pStyle w:val="7"/>
        <w:autoSpaceDE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权属有争议的，由村社集体经济组织协商解决，协商不成的，将补偿费用提存到村集体经济组织账户或达拉特旗公证处；</w:t>
      </w:r>
      <w:r>
        <w:rPr>
          <w:rFonts w:hint="eastAsia" w:ascii="仿宋_GB2312" w:hAnsi="仿宋" w:eastAsia="仿宋_GB2312" w:cs="仿宋"/>
          <w:sz w:val="32"/>
          <w:szCs w:val="32"/>
          <w:shd w:val="clear" w:color="auto" w:fill="FFFFFF"/>
        </w:rPr>
        <w:t>对补偿标准有争议</w:t>
      </w:r>
      <w:r>
        <w:rPr>
          <w:rFonts w:hint="eastAsia" w:ascii="仿宋_GB2312" w:hAnsi="仿宋" w:eastAsia="仿宋_GB2312" w:cs="仿宋"/>
          <w:sz w:val="32"/>
          <w:szCs w:val="32"/>
        </w:rPr>
        <w:t>达不成协议的，由工作组或村集体经济组织协商，协商不成的，由旗人民政府下达补偿决定，将补偿费用提存到村集体经济组织账户或达拉特旗公证处。</w:t>
      </w:r>
    </w:p>
    <w:p>
      <w:pPr>
        <w:spacing w:line="600" w:lineRule="exact"/>
        <w:ind w:firstLine="643" w:firstLineChars="200"/>
        <w:jc w:val="center"/>
        <w:rPr>
          <w:rFonts w:hint="eastAsia" w:ascii="仿宋_GB2312" w:hAnsi="仿宋" w:eastAsia="仿宋_GB2312" w:cs="仿宋"/>
          <w:b/>
          <w:bCs/>
          <w:sz w:val="32"/>
          <w:szCs w:val="32"/>
        </w:rPr>
      </w:pPr>
    </w:p>
    <w:p>
      <w:pPr>
        <w:spacing w:line="60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第四章 土地补偿</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第十三条</w:t>
      </w:r>
      <w:r>
        <w:rPr>
          <w:rFonts w:hint="eastAsia" w:ascii="仿宋_GB2312" w:hAnsi="仿宋" w:eastAsia="仿宋_GB2312" w:cs="仿宋"/>
          <w:sz w:val="32"/>
          <w:szCs w:val="32"/>
        </w:rPr>
        <w:t xml:space="preserve"> 采矿及生产加工企业的工业广场和办公设施等永久性用地，按照《内蒙古自治区人民政府办公厅关于公布自治区征地统一年产值标准和征地区片综合地价的通知》（内政办发〔2020〕16号）和《鄂尔多斯市人民政府关于公布征地区片综合地价补充制定补偿标准的通知》（鄂府发〔2022〕59号）公布的达拉特旗相应区片永久征收土地标准执行（具体见附件1）。</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第十四条</w:t>
      </w:r>
      <w:r>
        <w:rPr>
          <w:rFonts w:hint="eastAsia" w:ascii="仿宋_GB2312" w:hAnsi="仿宋" w:eastAsia="仿宋_GB2312" w:cs="仿宋"/>
          <w:sz w:val="32"/>
          <w:szCs w:val="32"/>
        </w:rPr>
        <w:t xml:space="preserve"> 露天采矿临时使用土地的补偿。</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露天采矿临时使用土地应具备矿产资源埋藏浅、采矿作业占地周期短、采矿后易复垦等特点。采矿</w:t>
      </w:r>
      <w:r>
        <w:rPr>
          <w:rFonts w:hint="eastAsia" w:ascii="仿宋_GB2312" w:hAnsi="仿宋" w:eastAsia="仿宋_GB2312" w:cs="仿宋"/>
          <w:sz w:val="32"/>
          <w:szCs w:val="32"/>
          <w:shd w:val="clear" w:color="auto" w:fill="FFFFFF"/>
        </w:rPr>
        <w:t>临时用地协议内容主要包括：临时用地的用途、位置、面积、使用期限（通过双方合同约定，根据实际可与上级部门批准的临时用地使用期限不一致）、使用后的恢复措施、土地补偿等内容，用地协议签订后双方要严格执行。</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露天采矿用地方式改革试点确定采矿临时用地期限不超过2年，完成采矿和土地复垦的实施周期不超过5年。5年内能完成采矿、土地复垦和生态修复治理还地的执行以下补偿标准：水浇地补偿标准(有水源保证和灌溉设施，能够正常灌溉的耕地)16000元/亩；旱地补偿标准（靠天然降水生长作物的耕地）10000元/亩；林草地及其它地类均按6000元/亩补偿。</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未能按期还地的，在合同中按违约责任约定，补偿标准及费用按不高于相应地类标准的20%/亩/年给予村民补偿，补偿费用达到相应地类现行永久性征收土地补偿标准为止；资金由拟用地采矿企业预存。</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根据露天开采实际，露天采矿企业在5年内不能完成采矿和土地复垦还地的，按照《内蒙古自治区人民政府办公厅关于公布自治区征地统一年产值标准和征地区片综合地价的通知》（内政办发〔2020〕16号）和《鄂尔多斯市人民政府关于公布征地区片综合地价补充制定补偿标准的通知》（鄂府发〔2022〕59号）公布的达拉特旗相应区片永久性征收土地标准执行（具体见附件1）。土地使用期限为：采矿企业采矿证服务年限，但采矿企业必须在批准临时用地之日起8年内（包括2年临时用地期、3年复垦生态修复期、3年养护期）完成复垦和生态修复治理，并将土地归还村集体统一管理。</w:t>
      </w:r>
    </w:p>
    <w:p>
      <w:pPr>
        <w:spacing w:line="600" w:lineRule="exact"/>
        <w:ind w:firstLine="643" w:firstLineChars="200"/>
        <w:jc w:val="left"/>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第十五条 </w:t>
      </w:r>
      <w:r>
        <w:rPr>
          <w:rFonts w:hint="eastAsia" w:ascii="仿宋_GB2312" w:hAnsi="仿宋" w:eastAsia="仿宋_GB2312" w:cs="仿宋"/>
          <w:sz w:val="32"/>
          <w:szCs w:val="32"/>
        </w:rPr>
        <w:t>土地塌陷补偿</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水浇地补偿标准(有水源保证和灌溉设施，能够正常灌溉的耕地)16000元/亩；旱地补偿标准（靠天然降水生长作物的耕地）10000元/亩；林草地及其它地类均按6000元/亩补偿。</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土地塌陷首次补偿期限为10年，首次补偿到期后塌陷区未完成土地复垦和生态修复治理的。在未归还土地前，采矿企业给予塌陷区社集体300元/亩/年的补偿，直至煤矿开采结束并完成土地复垦和生态修复治理。</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第十六条 </w:t>
      </w:r>
      <w:r>
        <w:rPr>
          <w:rFonts w:hint="eastAsia" w:ascii="仿宋_GB2312" w:hAnsi="仿宋" w:eastAsia="仿宋_GB2312" w:cs="仿宋"/>
          <w:sz w:val="32"/>
          <w:szCs w:val="32"/>
        </w:rPr>
        <w:t>土地流转补偿</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办法所指的土地流转是指村民将承包的土地经营权（使用权）转租给采矿企业。井工煤矿涉及整社移民的，该社暂不开采的土地实行土地流转，流转费一年一补。流转期间，因采矿造成塌陷的土地按照本办法第十五条执行，补偿后土地流转补偿自然终止。</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露天矿涉及整社搬迁，对该社井田内未签订临时使用土地合同的耕地，应纳入土地流转范围，流转期限为采矿企业采矿证服务年限，并完成复垦和生态修复治理，流转费一年一补。水浇地流转标准650元/亩/年；旱地流转标准450元/亩/年；其它地类不享受土地流转补偿。</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 xml:space="preserve">第十七条 </w:t>
      </w:r>
      <w:r>
        <w:rPr>
          <w:rFonts w:hint="eastAsia" w:ascii="仿宋_GB2312" w:hAnsi="仿宋" w:eastAsia="仿宋_GB2312" w:cs="仿宋"/>
          <w:sz w:val="32"/>
          <w:szCs w:val="32"/>
        </w:rPr>
        <w:t>出现下列情形的不予补偿：</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1.在采矿企业开采期间如遇塌陷土地、流转土地被其他项目征收或征用的；</w:t>
      </w:r>
    </w:p>
    <w:p>
      <w:pPr>
        <w:pStyle w:val="7"/>
        <w:autoSpaceDE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2.享受土地流转补偿期间和获得土地一次性补偿后，有新建房屋、附属设施及新栽种苗木的。</w:t>
      </w:r>
    </w:p>
    <w:p>
      <w:pPr>
        <w:pStyle w:val="3"/>
        <w:spacing w:before="0" w:beforeAutospacing="0" w:after="0" w:line="600" w:lineRule="exact"/>
        <w:ind w:firstLine="643" w:firstLineChars="200"/>
        <w:jc w:val="center"/>
        <w:rPr>
          <w:rFonts w:hint="eastAsia" w:ascii="仿宋_GB2312" w:hAnsi="仿宋" w:eastAsia="仿宋_GB2312" w:cs="仿宋"/>
          <w:b/>
          <w:bCs/>
          <w:sz w:val="32"/>
          <w:szCs w:val="32"/>
        </w:rPr>
      </w:pPr>
    </w:p>
    <w:p>
      <w:pPr>
        <w:pStyle w:val="3"/>
        <w:spacing w:before="0" w:beforeAutospacing="0" w:after="0" w:line="600" w:lineRule="exact"/>
        <w:jc w:val="center"/>
        <w:rPr>
          <w:rFonts w:hint="eastAsia" w:ascii="仿宋_GB2312" w:hAnsi="仿宋" w:eastAsia="仿宋_GB2312" w:cs="仿宋"/>
          <w:sz w:val="32"/>
          <w:szCs w:val="32"/>
        </w:rPr>
      </w:pPr>
      <w:r>
        <w:rPr>
          <w:rFonts w:hint="eastAsia" w:ascii="楷体_GB2312" w:hAnsi="楷体_GB2312" w:eastAsia="楷体_GB2312" w:cs="楷体_GB2312"/>
          <w:b/>
          <w:sz w:val="32"/>
          <w:szCs w:val="32"/>
        </w:rPr>
        <w:t>第五章 地上附着物的补偿</w:t>
      </w:r>
    </w:p>
    <w:p>
      <w:pPr>
        <w:autoSpaceDE w:val="0"/>
        <w:spacing w:line="600" w:lineRule="exact"/>
        <w:ind w:firstLine="643" w:firstLineChars="200"/>
        <w:jc w:val="left"/>
        <w:rPr>
          <w:rFonts w:hint="eastAsia" w:ascii="仿宋_GB2312" w:hAnsi="仿宋" w:eastAsia="仿宋_GB2312" w:cs="仿宋"/>
          <w:kern w:val="0"/>
          <w:sz w:val="32"/>
          <w:szCs w:val="32"/>
        </w:rPr>
      </w:pPr>
      <w:r>
        <w:rPr>
          <w:rFonts w:hint="eastAsia" w:ascii="仿宋_GB2312" w:hAnsi="仿宋" w:eastAsia="仿宋_GB2312" w:cs="仿宋"/>
          <w:b/>
          <w:bCs/>
          <w:sz w:val="32"/>
          <w:szCs w:val="32"/>
        </w:rPr>
        <w:t>第十八条</w:t>
      </w:r>
      <w:r>
        <w:rPr>
          <w:rFonts w:hint="eastAsia" w:ascii="仿宋_GB2312" w:hAnsi="仿宋" w:eastAsia="仿宋_GB2312" w:cs="仿宋"/>
          <w:sz w:val="32"/>
          <w:szCs w:val="32"/>
        </w:rPr>
        <w:t xml:space="preserve"> </w:t>
      </w:r>
      <w:r>
        <w:rPr>
          <w:rFonts w:hint="eastAsia" w:ascii="仿宋_GB2312" w:hAnsi="仿宋" w:eastAsia="仿宋_GB2312" w:cs="仿宋"/>
          <w:kern w:val="0"/>
          <w:sz w:val="32"/>
          <w:szCs w:val="32"/>
        </w:rPr>
        <w:t>房屋及附属设施补偿标准</w:t>
      </w:r>
    </w:p>
    <w:p>
      <w:pPr>
        <w:autoSpaceDE w:val="0"/>
        <w:spacing w:line="600" w:lineRule="exact"/>
        <w:ind w:firstLine="640" w:firstLineChars="20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根据《鄂尔多斯市人民政府关于公布征地区片综合地价补充制定补偿标准的通知》（达政发〔2022〕59号），结合我旗实际，制定了房屋、附属设施及其它附着物补偿标准。</w:t>
      </w:r>
    </w:p>
    <w:p>
      <w:pPr>
        <w:autoSpaceDE w:val="0"/>
        <w:spacing w:line="60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（一）住宅房屋补偿。</w:t>
      </w:r>
      <w:r>
        <w:rPr>
          <w:rFonts w:hint="eastAsia" w:ascii="仿宋_GB2312" w:hAnsi="仿宋" w:eastAsia="仿宋_GB2312" w:cs="仿宋"/>
          <w:kern w:val="0"/>
          <w:sz w:val="32"/>
          <w:szCs w:val="32"/>
        </w:rPr>
        <w:t>按照《达拉特旗人民政府关于印发达拉特旗农村牧区宅基地及建房管理办法（试行）的通知》（达政发〔2016〕98号）精神,宅基地严格执行“一户一宅”政策，农区宅基地面积不得超过400平方米，建筑面积占地比例不超过50%。</w:t>
      </w:r>
      <w:r>
        <w:rPr>
          <w:rFonts w:hint="eastAsia" w:ascii="仿宋_GB2312" w:hAnsi="仿宋" w:eastAsia="仿宋_GB2312" w:cs="仿宋"/>
          <w:sz w:val="32"/>
          <w:szCs w:val="32"/>
        </w:rPr>
        <w:t>户籍在本社的村民，符合“一户一宅”政策，且建筑面积（包括住宅主房及凉房、炭房、大门洞、车库等附房）在200平方米以内(含200平方米)按照旗政府确定的补偿标准进行补偿（具体见附件2）。被拆迁户在规定期限内签订拆迁补偿协议并完成拆除的，给予房屋补偿标准65%的拆迁奖励;建筑面积超出200平方米的部分给与成本价补偿，具体补偿费用根据第三方机构评估确定。其它附着物（包括住户的附属设施，如厕所、猪圈羊圈、水井和鸡窝狗窝等）给予补偿标准50%的拆迁奖励。非本社户籍村民</w:t>
      </w:r>
      <w:r>
        <w:rPr>
          <w:rFonts w:hint="eastAsia" w:ascii="仿宋_GB2312" w:hAnsi="仿宋" w:eastAsia="仿宋_GB2312" w:cs="仿宋"/>
          <w:sz w:val="32"/>
          <w:szCs w:val="32"/>
          <w:shd w:val="clear" w:color="auto" w:fill="FFFFFF"/>
        </w:rPr>
        <w:t>因扶贫搬迁、地质灾害防治、新农村建设、移民安置等按照政府统一规划和批准使用宅基地的，在退出原宅基地并注销登记后，</w:t>
      </w:r>
      <w:r>
        <w:rPr>
          <w:rFonts w:hint="eastAsia" w:ascii="仿宋_GB2312" w:hAnsi="仿宋" w:eastAsia="仿宋_GB2312" w:cs="仿宋"/>
          <w:sz w:val="32"/>
          <w:szCs w:val="32"/>
        </w:rPr>
        <w:t>所建建筑（房屋）的补偿标准，参照本条执行。违法建筑一律不予补偿。</w:t>
      </w:r>
    </w:p>
    <w:p>
      <w:pPr>
        <w:autoSpaceDE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搬迁过渡期为12个月，由搬迁农牧民自行解决过渡用房，给予房屋租赁费补贴8000元/户。</w:t>
      </w:r>
    </w:p>
    <w:p>
      <w:pPr>
        <w:autoSpaceDE w:val="0"/>
        <w:spacing w:line="600" w:lineRule="exact"/>
        <w:ind w:firstLine="640" w:firstLineChars="200"/>
        <w:rPr>
          <w:rFonts w:hint="eastAsia" w:ascii="仿宋_GB2312" w:hAnsi="仿宋" w:eastAsia="仿宋_GB2312" w:cs="仿宋"/>
          <w:sz w:val="32"/>
          <w:szCs w:val="32"/>
        </w:rPr>
      </w:pPr>
      <w:r>
        <w:rPr>
          <w:rFonts w:hint="eastAsia" w:ascii="楷体_GB2312" w:hAnsi="仿宋" w:eastAsia="楷体_GB2312" w:cs="仿宋"/>
          <w:sz w:val="32"/>
          <w:szCs w:val="32"/>
        </w:rPr>
        <w:t>（二）非住宅类房屋补偿。</w:t>
      </w:r>
      <w:r>
        <w:rPr>
          <w:rFonts w:hint="eastAsia" w:ascii="仿宋_GB2312" w:hAnsi="仿宋" w:eastAsia="仿宋_GB2312" w:cs="仿宋"/>
          <w:sz w:val="32"/>
          <w:szCs w:val="32"/>
        </w:rPr>
        <w:t>被搬迁房屋为</w:t>
      </w:r>
      <w:r>
        <w:rPr>
          <w:rFonts w:hint="eastAsia" w:ascii="仿宋_GB2312" w:hAnsi="仿宋" w:eastAsia="仿宋_GB2312" w:cs="仿宋"/>
          <w:kern w:val="0"/>
          <w:sz w:val="32"/>
          <w:szCs w:val="32"/>
        </w:rPr>
        <w:t>“住改商”的，</w:t>
      </w:r>
      <w:r>
        <w:rPr>
          <w:rFonts w:hint="eastAsia" w:ascii="仿宋_GB2312" w:hAnsi="仿宋" w:eastAsia="仿宋_GB2312" w:cs="仿宋"/>
          <w:sz w:val="32"/>
          <w:szCs w:val="32"/>
        </w:rPr>
        <w:t>被搬迁房屋按农牧民住房补偿标准予以补偿（见附件1），同时享受住宅房屋的拆迁奖励政策。</w:t>
      </w:r>
      <w:r>
        <w:rPr>
          <w:rFonts w:hint="eastAsia" w:ascii="仿宋_GB2312" w:hAnsi="仿宋" w:eastAsia="仿宋_GB2312" w:cs="仿宋"/>
          <w:kern w:val="0"/>
          <w:sz w:val="32"/>
          <w:szCs w:val="32"/>
        </w:rPr>
        <w:t>营业损失按照以下原则执行：经营三年以下（含3年）的，按实际经营房屋面积150元/平方米给予补偿；连续经营三年以上的，每增加一年补偿费用增加50元/平方米。</w:t>
      </w:r>
      <w:r>
        <w:rPr>
          <w:rFonts w:hint="eastAsia" w:ascii="仿宋_GB2312" w:hAnsi="仿宋" w:eastAsia="仿宋_GB2312" w:cs="仿宋"/>
          <w:sz w:val="32"/>
          <w:szCs w:val="32"/>
        </w:rPr>
        <w:t>征拆设施农用地上的厂房的补偿按第三方机构评估结果给予补偿。</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第十九条</w:t>
      </w:r>
      <w:r>
        <w:rPr>
          <w:rFonts w:hint="eastAsia" w:ascii="仿宋_GB2312" w:hAnsi="仿宋" w:eastAsia="仿宋_GB2312" w:cs="仿宋"/>
          <w:sz w:val="32"/>
          <w:szCs w:val="32"/>
        </w:rPr>
        <w:t xml:space="preserve"> 迁坟补偿</w:t>
      </w:r>
    </w:p>
    <w:p>
      <w:pPr>
        <w:pStyle w:val="3"/>
        <w:spacing w:before="0" w:beforeAutospacing="0" w:after="0"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单人砖葬20000元/座；双人砖葬27000元/座；单人土葬15000元/座；双人土葬20000元/座；迁坟择地费补偿15000元。</w:t>
      </w:r>
    </w:p>
    <w:p>
      <w:pPr>
        <w:pStyle w:val="3"/>
        <w:spacing w:before="0" w:beforeAutospacing="0" w:after="0" w:line="6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 xml:space="preserve">第二十条 </w:t>
      </w:r>
      <w:r>
        <w:rPr>
          <w:rFonts w:hint="eastAsia" w:ascii="仿宋_GB2312" w:hAnsi="仿宋" w:eastAsia="仿宋_GB2312" w:cs="仿宋"/>
          <w:sz w:val="32"/>
          <w:szCs w:val="32"/>
        </w:rPr>
        <w:t>其它附属设施及附着物的补偿标准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附属设施补偿标准见附件3；养殖棚圈补偿标准见附件4；养殖水面土方工程补偿标准见附件5；温室大棚补偿标准见附件6；零星树木补偿标准见附件7-1；林木补偿标准见附件7-2，上述附件中未明确的构筑物附着物由第三方机构评估确定。</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第二十一条</w:t>
      </w:r>
      <w:r>
        <w:rPr>
          <w:rFonts w:hint="eastAsia" w:ascii="仿宋_GB2312" w:hAnsi="仿宋" w:eastAsia="仿宋_GB2312" w:cs="仿宋"/>
          <w:sz w:val="32"/>
          <w:szCs w:val="32"/>
        </w:rPr>
        <w:t xml:space="preserve"> 出现下列情形不予补偿：</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1.在临时使用土地及移民搬迁安置通告发布之日起，抢建建筑物构筑物、抢栽抢种的附着物；</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2.未经审批，在林草地上的建筑物构筑物（包括房屋、温室、大棚等）；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3.开垦草地，在草地上种植的附着物；</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4.已到收获期可收获或出售的农作物、药材、花卉（不包括多年生农作物、药材、花卉）。</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5.建在耕地上的房屋，基本农田上的林木、鱼塘，枯死苗木；</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6.不适宜当地生长环境和条件、且与当地历史生产习惯严重不符的附着物；</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7.适宜温室大棚内生长的蔬菜、药材、菌类等植物，但不符合相关生产所需要的灌溉、温度、湿度、光照、遮阴、通风等条件的附着物（包括厂房、库房及村民闲置房屋内的附着物）；</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8.温室大棚内废弃的、没有菌丝的菌棒。</w:t>
      </w:r>
    </w:p>
    <w:p>
      <w:pPr>
        <w:spacing w:line="600" w:lineRule="exact"/>
        <w:ind w:firstLine="643" w:firstLineChars="200"/>
        <w:jc w:val="center"/>
        <w:rPr>
          <w:rFonts w:hint="eastAsia" w:ascii="仿宋_GB2312" w:hAnsi="仿宋" w:eastAsia="仿宋_GB2312" w:cs="仿宋"/>
          <w:b/>
          <w:bCs/>
          <w:sz w:val="32"/>
          <w:szCs w:val="32"/>
        </w:rPr>
      </w:pPr>
    </w:p>
    <w:p>
      <w:pPr>
        <w:spacing w:line="600" w:lineRule="exact"/>
        <w:jc w:val="center"/>
        <w:rPr>
          <w:rFonts w:hint="eastAsia" w:ascii="仿宋_GB2312" w:hAnsi="仿宋" w:eastAsia="仿宋_GB2312" w:cs="仿宋"/>
          <w:sz w:val="32"/>
          <w:szCs w:val="32"/>
        </w:rPr>
      </w:pPr>
      <w:r>
        <w:rPr>
          <w:rFonts w:hint="eastAsia" w:ascii="楷体_GB2312" w:hAnsi="楷体_GB2312" w:eastAsia="楷体_GB2312" w:cs="楷体_GB2312"/>
          <w:b/>
          <w:sz w:val="32"/>
          <w:szCs w:val="32"/>
        </w:rPr>
        <w:t>第六章 移民安置补偿</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第二十二条 </w:t>
      </w:r>
      <w:r>
        <w:rPr>
          <w:rFonts w:hint="eastAsia" w:ascii="仿宋_GB2312" w:hAnsi="仿宋" w:eastAsia="仿宋_GB2312" w:cs="仿宋"/>
          <w:sz w:val="32"/>
          <w:szCs w:val="32"/>
        </w:rPr>
        <w:t>按井工矿和露天矿生产需要，以采矿企业为单位，分批对所涉及村社集体经济组织成员进行移民搬迁安置。</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（一）移民搬迁安置范围</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矿区内的井工矿、露天矿采区范围内涉及的村社应统筹考虑，按照各采矿企业未来三年开采计划及土地塌陷情况确定整村整社移民搬迁安置范围。某矿区未来三年计划使用土地面积或土地塌陷面积占社集体土地总面积60%以上或耕地总面积70%以上的，对社集体成员进行整体移民搬迁安置。搬迁安置对象为移民搬迁通告发布之日前，移民搬迁安置范围内出生并落户的社集体成员。</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对整体搬迁范围外的个户，耕地被采矿企业征用或塌陷面积占其耕地总面积70%以上的，不涉及房屋拆迁的，只享受移民安置政策，不享受房屋拆迁政策。</w:t>
      </w:r>
    </w:p>
    <w:p>
      <w:pPr>
        <w:tabs>
          <w:tab w:val="left" w:pos="608"/>
        </w:tabs>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（二）安置补偿标准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1.房屋安置政策。确定为矿区移民安置范围内的社集体经济组织成员，给予按户籍每人12万元的购房补贴。</w:t>
      </w:r>
    </w:p>
    <w:p>
      <w:pPr>
        <w:autoSpaceDE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2.对在规定时间内签订搬迁安置协议，按户籍给予每人3万元的奖励。</w:t>
      </w:r>
    </w:p>
    <w:p>
      <w:pPr>
        <w:autoSpaceDE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kern w:val="0"/>
          <w:sz w:val="32"/>
          <w:szCs w:val="32"/>
        </w:rPr>
        <w:t>3.低保及残疾补助。被搬迁人属于五保户、低保户、残疾人家庭（五保户证明、低保户证明、残疾证由有权机关发放或登记注册），按期签订协议并拆除原有住房的，给予每户2—3万元的补助（其中，持一级或二级残疾证补助3万元，持三级或四级残疾证补助2万；持五保或低保证明的补助3万元；同时拥有上述2项或2项以上的，就高享受其中1项补助）。</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4.社保安置。矿区移民中所涉及社集体经济组织成员，一次性给予每人3.5万元的养老保险补贴。</w:t>
      </w:r>
    </w:p>
    <w:p>
      <w:pPr>
        <w:spacing w:line="600" w:lineRule="exact"/>
        <w:ind w:firstLine="640" w:firstLineChars="200"/>
        <w:rPr>
          <w:rFonts w:hint="eastAsia" w:ascii="楷体_GB2312" w:hAnsi="仿宋" w:eastAsia="楷体_GB2312" w:cs="仿宋"/>
          <w:sz w:val="32"/>
          <w:szCs w:val="32"/>
        </w:rPr>
      </w:pPr>
      <w:r>
        <w:rPr>
          <w:rFonts w:hint="eastAsia" w:ascii="楷体_GB2312" w:hAnsi="仿宋" w:eastAsia="楷体_GB2312" w:cs="仿宋"/>
          <w:sz w:val="32"/>
          <w:szCs w:val="32"/>
        </w:rPr>
        <w:t>（三）移民搬迁安置补偿金的筹集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同一社集体土地范围内涉及多个煤炭企业，采矿企业按井田面积占地比例支付社集体成员移民搬迁安置费用。多个采矿企业不在同一时间使用土地，由先期用地的煤炭企业垫付，待其它采矿企业使用该社土地时，偿还应承担的移民搬迁安置费用。涉及公共井田（边角资源）应承担的移民搬迁安置费用，也由先期用地的采矿企业垫付，待公共井田（边角资源）确定矿权人并使用该社土地时，偿还应承担的移民搬迁安置费用。能源局、自然资源局督促采矿企业按时交纳移民搬迁安置费用，并对垫付费用的偿还工作进行监督。</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第二十三条 </w:t>
      </w:r>
      <w:r>
        <w:rPr>
          <w:rFonts w:hint="eastAsia" w:ascii="仿宋_GB2312" w:hAnsi="仿宋" w:eastAsia="仿宋_GB2312" w:cs="仿宋"/>
          <w:sz w:val="32"/>
          <w:szCs w:val="32"/>
        </w:rPr>
        <w:t>已享受过矿区移民搬迁安置政策的人员，不再重复享受安置补偿政策。</w:t>
      </w:r>
    </w:p>
    <w:p>
      <w:pPr>
        <w:spacing w:line="600" w:lineRule="exact"/>
        <w:ind w:firstLine="643" w:firstLineChars="200"/>
        <w:jc w:val="center"/>
        <w:rPr>
          <w:rFonts w:hint="eastAsia" w:ascii="仿宋_GB2312" w:hAnsi="仿宋" w:eastAsia="仿宋_GB2312" w:cs="仿宋"/>
          <w:b/>
          <w:bCs/>
          <w:sz w:val="32"/>
          <w:szCs w:val="32"/>
        </w:rPr>
      </w:pPr>
    </w:p>
    <w:p>
      <w:pPr>
        <w:spacing w:line="60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第七章 生态环境补偿</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第二十四条 </w:t>
      </w:r>
      <w:r>
        <w:rPr>
          <w:rFonts w:hint="eastAsia" w:ascii="仿宋_GB2312" w:hAnsi="仿宋" w:eastAsia="仿宋_GB2312" w:cs="仿宋"/>
          <w:sz w:val="32"/>
          <w:szCs w:val="32"/>
        </w:rPr>
        <w:t>采矿企业开采造成爆破震动、生态环境影响和人畜饮水困难的，由采矿企业采取措施消除影响。如人畜饮水工程、灌溉水源及设施等因企业开采造成损毁的，采矿企业需对无法恢复或造成损失的设施进行相应补偿。</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（一）在本办法出台之前，采矿企业已与村社签订本项补偿协议的，按原协议约定条款进行补偿。</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（二）采矿企业征用或塌陷土地占社土地总面积50%以上或耕地总面积60%以上的，按社农业户籍人口给予不高于1000元/人/年补偿。</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（三）未达到上述占地比例，根据采矿企业征收或塌陷所占地比例，由自然资源局、相关苏木镇人民政府组织采矿企业和嘎查村社按占地比例确定补偿标准。</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（四）全年停产的采矿企业，不再发放生态环境补偿款。采矿企业生产不足一年的，按季度核算发放。</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（五）享受过安置补偿政策的不再享受生态环境补偿。</w:t>
      </w:r>
    </w:p>
    <w:p>
      <w:pPr>
        <w:tabs>
          <w:tab w:val="left" w:pos="3103"/>
        </w:tabs>
        <w:autoSpaceDE w:val="0"/>
        <w:spacing w:line="600" w:lineRule="exact"/>
        <w:jc w:val="center"/>
        <w:rPr>
          <w:rFonts w:hint="eastAsia" w:ascii="仿宋_GB2312" w:hAnsi="仿宋" w:eastAsia="仿宋_GB2312" w:cs="仿宋"/>
          <w:b/>
          <w:bCs/>
          <w:sz w:val="32"/>
          <w:szCs w:val="32"/>
          <w:shd w:val="clear" w:color="auto" w:fill="FFFFFF"/>
        </w:rPr>
      </w:pPr>
    </w:p>
    <w:p>
      <w:pPr>
        <w:spacing w:line="60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第八章 归还土地及利用管理</w:t>
      </w:r>
    </w:p>
    <w:p>
      <w:pPr>
        <w:tabs>
          <w:tab w:val="left" w:pos="3103"/>
        </w:tabs>
        <w:autoSpaceDE w:val="0"/>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第二十五条</w:t>
      </w:r>
      <w:r>
        <w:rPr>
          <w:rFonts w:hint="eastAsia" w:ascii="仿宋_GB2312" w:hAnsi="仿宋" w:eastAsia="仿宋_GB2312" w:cs="仿宋"/>
          <w:sz w:val="32"/>
          <w:szCs w:val="32"/>
        </w:rPr>
        <w:t xml:space="preserve"> 将生态优先、绿色发展导向贯穿于矿产资源规划勘查、开发利用与保护全过程,引领带动矿业走绿色发展道路，完成采矿并复垦的土地须归还村集体统一管理。村集体要坚持保护与发展并重的原则，在保护当地生态环境的情况下，积极在沉陷区、复垦区引进实施环境综合治理、新能源等项目，切实提高土地利用效率和村集体经济收入。</w:t>
      </w:r>
    </w:p>
    <w:p>
      <w:pPr>
        <w:pStyle w:val="3"/>
        <w:spacing w:before="0" w:beforeAutospacing="0" w:after="0"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 xml:space="preserve">第二十六条 </w:t>
      </w:r>
      <w:r>
        <w:rPr>
          <w:rFonts w:hint="eastAsia" w:ascii="仿宋_GB2312" w:hAnsi="仿宋" w:eastAsia="仿宋_GB2312" w:cs="仿宋"/>
          <w:sz w:val="32"/>
          <w:szCs w:val="32"/>
        </w:rPr>
        <w:t>利用新修编土地利用总体规划的契机，合理确定矿区土地用途，宜农则农、宜林则林、宜牧则牧、宜建则建。将新能源建设用地纳入土地利用总体规划，推动矿区经济效益、社会效益、生态效益有机统一。</w:t>
      </w:r>
    </w:p>
    <w:p>
      <w:pPr>
        <w:pStyle w:val="3"/>
        <w:spacing w:before="0" w:beforeAutospacing="0" w:after="0"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第二十七条</w:t>
      </w:r>
      <w:r>
        <w:rPr>
          <w:rFonts w:hint="eastAsia" w:ascii="仿宋_GB2312" w:hAnsi="仿宋" w:eastAsia="仿宋_GB2312" w:cs="仿宋"/>
          <w:sz w:val="32"/>
          <w:szCs w:val="32"/>
        </w:rPr>
        <w:t xml:space="preserve"> 已签订临时使用土地协议，并经上级部门批准的露天采矿用地，采矿企业在批准之日起8年（2年开采期、3年复垦期、3年保护期）内不能归还村集体经济的，给予村集体200元/亩/年补偿，补偿款由村集体支配，统筹用于矿区集体经济组织成员生产生活补贴、生态保护与开发。</w:t>
      </w:r>
    </w:p>
    <w:p>
      <w:pPr>
        <w:pStyle w:val="3"/>
        <w:spacing w:before="0" w:beforeAutospacing="0" w:after="0"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sz w:val="32"/>
          <w:szCs w:val="32"/>
        </w:rPr>
        <w:t xml:space="preserve">第二十八条 </w:t>
      </w:r>
      <w:r>
        <w:rPr>
          <w:rFonts w:hint="eastAsia" w:ascii="仿宋_GB2312" w:hAnsi="仿宋" w:eastAsia="仿宋_GB2312" w:cs="仿宋"/>
          <w:sz w:val="32"/>
          <w:szCs w:val="32"/>
        </w:rPr>
        <w:t>归还给村集体的土地收益分配。该类土地由村集体统一管理，通过植被恢复（包括优质牧草种植、种植经济林和发展林下经济等）、招商引资等方式壮大集体经济，集体收入主要用于集体经济组织成员生产生活补贴、扶贫救济、基础设施建设及生态环境保护等。</w:t>
      </w:r>
    </w:p>
    <w:p>
      <w:pPr>
        <w:pStyle w:val="3"/>
        <w:spacing w:before="0" w:beforeAutospacing="0" w:after="0" w:line="600" w:lineRule="exact"/>
        <w:jc w:val="center"/>
        <w:rPr>
          <w:rFonts w:hint="eastAsia" w:ascii="仿宋_GB2312" w:hAnsi="仿宋" w:eastAsia="仿宋_GB2312" w:cs="仿宋"/>
          <w:b/>
          <w:bCs/>
          <w:sz w:val="32"/>
          <w:szCs w:val="32"/>
          <w:shd w:val="clear" w:color="auto" w:fill="FFFFFF"/>
        </w:rPr>
      </w:pPr>
    </w:p>
    <w:p>
      <w:pPr>
        <w:spacing w:line="60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第九章 法律责任</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第二十九条 </w:t>
      </w:r>
      <w:r>
        <w:rPr>
          <w:rFonts w:hint="eastAsia" w:ascii="仿宋_GB2312" w:hAnsi="仿宋" w:eastAsia="仿宋_GB2312" w:cs="仿宋"/>
          <w:sz w:val="32"/>
          <w:szCs w:val="32"/>
        </w:rPr>
        <w:t>矿区移民搬迁补偿资金实行专户专项管理使用，并由审计部门全程监督。</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第三十条</w:t>
      </w:r>
      <w:r>
        <w:rPr>
          <w:rFonts w:hint="eastAsia" w:ascii="仿宋_GB2312" w:hAnsi="仿宋" w:eastAsia="仿宋_GB2312" w:cs="仿宋"/>
          <w:sz w:val="32"/>
          <w:szCs w:val="32"/>
        </w:rPr>
        <w:t xml:space="preserve"> 在移民搬迁安置工作中，有关部门及其工作人员有下列行为之一的，由其主管部门或者纪委监委责令其改正；情节严重的，对直接负责人依法给予处分，涉嫌犯罪的移送司法机关：</w:t>
      </w:r>
    </w:p>
    <w:p>
      <w:pPr>
        <w:autoSpaceDE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1.截留、挪用补偿费的；</w:t>
      </w:r>
    </w:p>
    <w:p>
      <w:pPr>
        <w:autoSpaceDE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2.移民搬迁安置工作中以权谋私、收受贿赂的；</w:t>
      </w:r>
    </w:p>
    <w:p>
      <w:pPr>
        <w:autoSpaceDE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3.有意激化矛盾的；</w:t>
      </w:r>
    </w:p>
    <w:p>
      <w:pPr>
        <w:autoSpaceDE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4.有滥用职权、徇私舞弊、玩忽职守的。</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第三十一条</w:t>
      </w:r>
      <w:r>
        <w:rPr>
          <w:rFonts w:hint="eastAsia" w:ascii="仿宋_GB2312" w:hAnsi="仿宋" w:eastAsia="仿宋_GB2312" w:cs="仿宋"/>
          <w:sz w:val="32"/>
          <w:szCs w:val="32"/>
        </w:rPr>
        <w:t xml:space="preserve"> 矿区移民搬迁安置工作中，相关苏木镇人民政府、旗有关部门要强化执法，严格落实相关法律法规和政策要求。</w:t>
      </w:r>
    </w:p>
    <w:p>
      <w:pPr>
        <w:autoSpaceDE w:val="0"/>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第三十二条 </w:t>
      </w:r>
      <w:r>
        <w:rPr>
          <w:rFonts w:hint="eastAsia" w:ascii="仿宋_GB2312" w:hAnsi="仿宋" w:eastAsia="仿宋_GB2312" w:cs="仿宋"/>
          <w:sz w:val="32"/>
          <w:szCs w:val="32"/>
        </w:rPr>
        <w:t>阻挠、破坏移民搬迁安置工作，或者妨碍执法人员依法执行公务的，由公安机关依照《中华人民共和国治安管理处罚法》予以处罚，构成犯罪的，依法追究刑事责任。</w:t>
      </w:r>
    </w:p>
    <w:p>
      <w:pPr>
        <w:autoSpaceDE w:val="0"/>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第三十三条 </w:t>
      </w:r>
      <w:r>
        <w:rPr>
          <w:rFonts w:hint="eastAsia" w:ascii="仿宋_GB2312" w:hAnsi="仿宋" w:eastAsia="仿宋_GB2312" w:cs="仿宋"/>
          <w:sz w:val="32"/>
          <w:szCs w:val="32"/>
        </w:rPr>
        <w:t>嘎查村社集体经济组织弄虚作假，冒领、截留、挪用或者私分补偿费的，由旗人民政府有关行政主管部门责令其改正，并依法予以处罚，构成犯罪的，依法追究刑事责任。</w:t>
      </w:r>
    </w:p>
    <w:p>
      <w:pPr>
        <w:spacing w:line="600" w:lineRule="exact"/>
        <w:ind w:firstLine="643" w:firstLineChars="200"/>
        <w:jc w:val="center"/>
        <w:rPr>
          <w:rFonts w:hint="eastAsia" w:ascii="仿宋_GB2312" w:hAnsi="仿宋" w:eastAsia="仿宋_GB2312" w:cs="仿宋"/>
          <w:b/>
          <w:bCs/>
          <w:sz w:val="32"/>
          <w:szCs w:val="32"/>
        </w:rPr>
      </w:pPr>
    </w:p>
    <w:p>
      <w:pPr>
        <w:spacing w:line="60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第十章 附则</w:t>
      </w:r>
    </w:p>
    <w:p>
      <w:pPr>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shd w:val="clear" w:color="auto" w:fill="FFFFFF"/>
        </w:rPr>
        <w:t xml:space="preserve">第三十四条 </w:t>
      </w:r>
      <w:r>
        <w:rPr>
          <w:rFonts w:hint="eastAsia" w:ascii="仿宋_GB2312" w:hAnsi="仿宋" w:eastAsia="仿宋_GB2312" w:cs="仿宋"/>
          <w:sz w:val="32"/>
          <w:szCs w:val="32"/>
        </w:rPr>
        <w:t>苏木镇人民政府、旗相关部门要建立搬迁补偿协调机制，对在搬迁过程中出现的问题，由自然资源局、苏木镇人民政府及相关部门协商解决。经调解无法达成一致意见的，依法向达拉特旗人民法院提起诉讼。</w:t>
      </w:r>
    </w:p>
    <w:p>
      <w:pPr>
        <w:pStyle w:val="7"/>
        <w:autoSpaceDE w:val="0"/>
        <w:snapToGrid w:val="0"/>
        <w:spacing w:line="600" w:lineRule="exact"/>
        <w:ind w:firstLine="643"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b/>
          <w:bCs/>
          <w:sz w:val="32"/>
          <w:szCs w:val="32"/>
        </w:rPr>
        <w:t>第三十五条</w:t>
      </w:r>
      <w:r>
        <w:rPr>
          <w:rFonts w:hint="eastAsia" w:ascii="仿宋_GB2312" w:hAnsi="仿宋" w:eastAsia="仿宋_GB2312" w:cs="仿宋"/>
          <w:sz w:val="32"/>
          <w:szCs w:val="32"/>
        </w:rPr>
        <w:t xml:space="preserve"> 本</w:t>
      </w:r>
      <w:r>
        <w:rPr>
          <w:rFonts w:hint="eastAsia" w:ascii="仿宋_GB2312" w:hAnsi="仿宋" w:eastAsia="仿宋_GB2312" w:cs="仿宋"/>
          <w:sz w:val="32"/>
          <w:szCs w:val="32"/>
          <w:shd w:val="clear" w:color="auto" w:fill="FFFFFF"/>
        </w:rPr>
        <w:t xml:space="preserve">办法未尽事宜或因国家政策调整、市场变动等情况，可结合实际制定补充办法，补充办法与本办法有同等法律效力。 </w:t>
      </w:r>
    </w:p>
    <w:p>
      <w:pPr>
        <w:pStyle w:val="7"/>
        <w:autoSpaceDE w:val="0"/>
        <w:snapToGrid w:val="0"/>
        <w:spacing w:line="6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shd w:val="clear" w:color="auto" w:fill="FFFFFF"/>
        </w:rPr>
        <w:t xml:space="preserve">第三十六条 </w:t>
      </w:r>
      <w:r>
        <w:rPr>
          <w:rFonts w:hint="eastAsia" w:ascii="仿宋_GB2312" w:hAnsi="仿宋" w:eastAsia="仿宋_GB2312" w:cs="仿宋"/>
          <w:sz w:val="32"/>
          <w:szCs w:val="32"/>
          <w:shd w:val="clear" w:color="auto" w:fill="FFFFFF"/>
        </w:rPr>
        <w:t>本办法自2022年11月1日起实施，有效期至2025年12月31日。</w:t>
      </w:r>
      <w:r>
        <w:rPr>
          <w:rFonts w:hint="eastAsia" w:ascii="仿宋_GB2312" w:hAnsi="仿宋" w:eastAsia="仿宋_GB2312" w:cs="仿宋"/>
          <w:sz w:val="32"/>
          <w:szCs w:val="32"/>
        </w:rPr>
        <w:t>原《达拉特旗人民政府关于印发&lt;达拉特旗矿区土地征收及移民安置补偿办法&gt;的通知》（达政发〔2019〕8号）同时废止。</w:t>
      </w:r>
    </w:p>
    <w:p>
      <w:pPr>
        <w:spacing w:line="60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sz w:val="32"/>
          <w:szCs w:val="32"/>
          <w:shd w:val="clear" w:color="auto" w:fill="FFFFFF"/>
        </w:rPr>
        <w:t>第三十七条</w:t>
      </w:r>
      <w:r>
        <w:rPr>
          <w:rFonts w:hint="eastAsia" w:ascii="仿宋_GB2312" w:hAnsi="仿宋" w:eastAsia="仿宋_GB2312" w:cs="仿宋"/>
          <w:sz w:val="32"/>
          <w:szCs w:val="32"/>
          <w:shd w:val="clear" w:color="auto" w:fill="FFFFFF"/>
        </w:rPr>
        <w:t xml:space="preserve"> </w:t>
      </w:r>
      <w:r>
        <w:rPr>
          <w:rFonts w:hint="eastAsia" w:ascii="仿宋_GB2312" w:hAnsi="仿宋" w:eastAsia="仿宋_GB2312" w:cs="仿宋"/>
          <w:kern w:val="0"/>
          <w:sz w:val="32"/>
          <w:szCs w:val="32"/>
        </w:rPr>
        <w:t>凡在本办法施行前已签订补偿安置协议并完成移民搬迁安置的仍按原标准执行（原协议约定的内容有效）。</w:t>
      </w:r>
    </w:p>
    <w:p>
      <w:pPr>
        <w:spacing w:line="600" w:lineRule="exact"/>
        <w:ind w:firstLine="643" w:firstLineChars="200"/>
        <w:rPr>
          <w:rFonts w:hint="eastAsia" w:ascii="仿宋_GB2312" w:hAnsi="仿宋" w:eastAsia="仿宋_GB2312" w:cs="仿宋"/>
          <w:kern w:val="0"/>
          <w:sz w:val="32"/>
          <w:szCs w:val="32"/>
        </w:rPr>
      </w:pPr>
      <w:r>
        <w:rPr>
          <w:rFonts w:hint="eastAsia" w:ascii="仿宋_GB2312" w:hAnsi="仿宋" w:eastAsia="仿宋_GB2312" w:cs="仿宋"/>
          <w:b/>
          <w:bCs/>
          <w:sz w:val="32"/>
          <w:szCs w:val="32"/>
        </w:rPr>
        <w:t>第三十八条</w:t>
      </w:r>
      <w:r>
        <w:rPr>
          <w:rFonts w:hint="eastAsia" w:ascii="仿宋_GB2312" w:hAnsi="仿宋" w:eastAsia="仿宋_GB2312" w:cs="仿宋"/>
          <w:sz w:val="32"/>
          <w:szCs w:val="32"/>
        </w:rPr>
        <w:t xml:space="preserve"> </w:t>
      </w:r>
      <w:r>
        <w:rPr>
          <w:rFonts w:hint="eastAsia" w:ascii="仿宋_GB2312" w:hAnsi="仿宋" w:eastAsia="仿宋_GB2312" w:cs="仿宋"/>
          <w:kern w:val="0"/>
          <w:sz w:val="32"/>
          <w:szCs w:val="32"/>
        </w:rPr>
        <w:t>凡在本办法施行后的补偿安置协议执行本办法。</w:t>
      </w:r>
    </w:p>
    <w:p>
      <w:pPr>
        <w:spacing w:line="600" w:lineRule="exact"/>
        <w:ind w:firstLine="643" w:firstLineChars="200"/>
        <w:jc w:val="left"/>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第三十九条 </w:t>
      </w:r>
      <w:r>
        <w:rPr>
          <w:rFonts w:hint="eastAsia" w:ascii="仿宋_GB2312" w:hAnsi="仿宋" w:eastAsia="仿宋_GB2312" w:cs="仿宋"/>
          <w:sz w:val="32"/>
          <w:szCs w:val="32"/>
        </w:rPr>
        <w:t>本办法由达拉特旗自然资源局负责解释。</w:t>
      </w:r>
    </w:p>
    <w:p>
      <w:pPr>
        <w:spacing w:line="600" w:lineRule="exact"/>
        <w:ind w:firstLine="640" w:firstLineChars="200"/>
        <w:jc w:val="left"/>
        <w:rPr>
          <w:rFonts w:hint="eastAsia" w:ascii="仿宋_GB2312" w:hAnsi="仿宋" w:eastAsia="仿宋_GB2312" w:cs="仿宋"/>
          <w:sz w:val="32"/>
          <w:szCs w:val="32"/>
        </w:rPr>
      </w:pPr>
    </w:p>
    <w:p>
      <w:pPr>
        <w:spacing w:line="60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附件：1.永久性征收土地补偿标准</w:t>
      </w:r>
    </w:p>
    <w:p>
      <w:pPr>
        <w:spacing w:line="600" w:lineRule="exact"/>
        <w:ind w:firstLine="1600" w:firstLineChars="500"/>
        <w:jc w:val="left"/>
        <w:rPr>
          <w:rFonts w:hint="eastAsia" w:ascii="仿宋_GB2312" w:hAnsi="仿宋" w:eastAsia="仿宋_GB2312" w:cs="仿宋"/>
          <w:sz w:val="32"/>
          <w:szCs w:val="32"/>
        </w:rPr>
      </w:pPr>
      <w:r>
        <w:rPr>
          <w:rFonts w:hint="eastAsia" w:ascii="仿宋_GB2312" w:hAnsi="仿宋" w:eastAsia="仿宋_GB2312" w:cs="仿宋"/>
          <w:sz w:val="32"/>
          <w:szCs w:val="32"/>
        </w:rPr>
        <w:t>2.房屋搬迁补偿标准</w:t>
      </w:r>
    </w:p>
    <w:p>
      <w:pPr>
        <w:spacing w:line="600" w:lineRule="exact"/>
        <w:ind w:firstLine="1600" w:firstLineChars="500"/>
        <w:rPr>
          <w:rFonts w:hint="eastAsia" w:ascii="仿宋_GB2312" w:hAnsi="仿宋" w:eastAsia="仿宋_GB2312" w:cs="仿宋"/>
          <w:sz w:val="32"/>
          <w:szCs w:val="32"/>
        </w:rPr>
      </w:pPr>
      <w:r>
        <w:rPr>
          <w:rFonts w:hint="eastAsia" w:ascii="仿宋_GB2312" w:hAnsi="仿宋" w:eastAsia="仿宋_GB2312" w:cs="仿宋"/>
          <w:sz w:val="32"/>
          <w:szCs w:val="32"/>
        </w:rPr>
        <w:t>3.附属设施补偿标准</w:t>
      </w:r>
    </w:p>
    <w:p>
      <w:pPr>
        <w:spacing w:line="600" w:lineRule="exact"/>
        <w:ind w:firstLine="1600" w:firstLineChars="500"/>
        <w:rPr>
          <w:rFonts w:hint="eastAsia" w:ascii="仿宋_GB2312" w:hAnsi="仿宋" w:eastAsia="仿宋_GB2312" w:cs="仿宋"/>
          <w:sz w:val="32"/>
          <w:szCs w:val="32"/>
        </w:rPr>
      </w:pPr>
      <w:r>
        <w:rPr>
          <w:rFonts w:hint="eastAsia" w:ascii="仿宋_GB2312" w:hAnsi="仿宋" w:eastAsia="仿宋_GB2312" w:cs="仿宋"/>
          <w:sz w:val="32"/>
          <w:szCs w:val="32"/>
        </w:rPr>
        <w:t>4.养殖棚圈补偿标准</w:t>
      </w:r>
    </w:p>
    <w:p>
      <w:pPr>
        <w:spacing w:line="600" w:lineRule="exact"/>
        <w:ind w:firstLine="1600" w:firstLineChars="500"/>
        <w:rPr>
          <w:rFonts w:hint="eastAsia" w:ascii="仿宋_GB2312" w:hAnsi="仿宋" w:eastAsia="仿宋_GB2312" w:cs="仿宋"/>
          <w:sz w:val="32"/>
          <w:szCs w:val="32"/>
        </w:rPr>
      </w:pPr>
      <w:r>
        <w:rPr>
          <w:rFonts w:hint="eastAsia" w:ascii="仿宋_GB2312" w:hAnsi="仿宋" w:eastAsia="仿宋_GB2312" w:cs="仿宋"/>
          <w:sz w:val="32"/>
          <w:szCs w:val="32"/>
        </w:rPr>
        <w:t>5.养殖水面土方工程补偿标准</w:t>
      </w:r>
    </w:p>
    <w:p>
      <w:pPr>
        <w:spacing w:line="600" w:lineRule="exact"/>
        <w:ind w:firstLine="1600" w:firstLineChars="500"/>
        <w:rPr>
          <w:rFonts w:hint="eastAsia" w:ascii="仿宋_GB2312" w:hAnsi="黑体" w:eastAsia="仿宋_GB2312" w:cs="黑体"/>
          <w:sz w:val="32"/>
          <w:szCs w:val="32"/>
        </w:rPr>
      </w:pPr>
      <w:r>
        <w:rPr>
          <w:rFonts w:hint="eastAsia" w:ascii="仿宋_GB2312" w:hAnsi="仿宋" w:eastAsia="仿宋_GB2312" w:cs="仿宋"/>
          <w:sz w:val="32"/>
          <w:szCs w:val="32"/>
        </w:rPr>
        <w:t>6.温室大棚补偿标准</w:t>
      </w:r>
    </w:p>
    <w:p>
      <w:pPr>
        <w:spacing w:line="600" w:lineRule="exact"/>
        <w:ind w:firstLine="1600" w:firstLineChars="500"/>
        <w:rPr>
          <w:rFonts w:hint="eastAsia" w:ascii="仿宋_GB2312" w:hAnsi="仿宋" w:eastAsia="仿宋_GB2312" w:cs="仿宋"/>
          <w:sz w:val="32"/>
          <w:szCs w:val="32"/>
        </w:rPr>
      </w:pPr>
      <w:r>
        <w:rPr>
          <w:rFonts w:hint="eastAsia" w:ascii="仿宋_GB2312" w:hAnsi="仿宋" w:eastAsia="仿宋_GB2312" w:cs="仿宋"/>
          <w:sz w:val="32"/>
          <w:szCs w:val="32"/>
        </w:rPr>
        <w:t>7-1.零星树木补偿标准</w:t>
      </w:r>
    </w:p>
    <w:p>
      <w:pPr>
        <w:spacing w:line="600" w:lineRule="exact"/>
        <w:ind w:firstLine="1600" w:firstLineChars="500"/>
        <w:jc w:val="left"/>
        <w:rPr>
          <w:rFonts w:hint="eastAsia" w:ascii="仿宋_GB2312" w:hAnsi="仿宋" w:eastAsia="仿宋_GB2312" w:cs="仿宋"/>
          <w:sz w:val="32"/>
          <w:szCs w:val="32"/>
        </w:rPr>
      </w:pPr>
      <w:r>
        <w:rPr>
          <w:rFonts w:hint="eastAsia" w:ascii="仿宋_GB2312" w:hAnsi="仿宋" w:eastAsia="仿宋_GB2312" w:cs="仿宋"/>
          <w:sz w:val="32"/>
          <w:szCs w:val="32"/>
        </w:rPr>
        <w:t>7-2.林木补偿标准</w:t>
      </w:r>
    </w:p>
    <w:p>
      <w:pPr>
        <w:pStyle w:val="2"/>
        <w:spacing w:line="554" w:lineRule="exact"/>
        <w:ind w:firstLine="640"/>
        <w:rPr>
          <w:rFonts w:hint="eastAsia" w:ascii="仿宋_GB2312" w:hAnsi="仿宋" w:cs="仿宋"/>
          <w:szCs w:val="32"/>
        </w:rPr>
      </w:pPr>
    </w:p>
    <w:p>
      <w:pPr>
        <w:rPr>
          <w:rFonts w:hint="eastAsia" w:ascii="仿宋_GB2312" w:hAnsi="仿宋" w:eastAsia="仿宋_GB2312" w:cs="仿宋"/>
          <w:sz w:val="32"/>
          <w:szCs w:val="32"/>
        </w:rPr>
      </w:pPr>
    </w:p>
    <w:p>
      <w:pPr>
        <w:spacing w:line="560" w:lineRule="exact"/>
        <w:jc w:val="left"/>
        <w:rPr>
          <w:rFonts w:ascii="黑体" w:hAnsi="黑体" w:eastAsia="黑体" w:cs="黑体"/>
          <w:bCs/>
          <w:sz w:val="32"/>
          <w:szCs w:val="32"/>
        </w:rPr>
      </w:pPr>
      <w:r>
        <w:rPr>
          <w:rFonts w:hint="eastAsia" w:ascii="黑体" w:hAnsi="黑体" w:eastAsia="黑体" w:cs="黑体"/>
          <w:bCs/>
          <w:sz w:val="32"/>
          <w:szCs w:val="32"/>
        </w:rPr>
        <w:t>附件1</w:t>
      </w:r>
    </w:p>
    <w:p>
      <w:pPr>
        <w:spacing w:line="560" w:lineRule="exact"/>
        <w:rPr>
          <w:rFonts w:hint="eastAsia" w:ascii="方正小标宋简体" w:hAnsi="仿宋" w:eastAsia="方正小标宋简体" w:cs="仿宋"/>
          <w:bCs/>
          <w:sz w:val="44"/>
          <w:szCs w:val="44"/>
        </w:rPr>
      </w:pPr>
    </w:p>
    <w:p>
      <w:pPr>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永久性征收土地补偿标准</w:t>
      </w:r>
    </w:p>
    <w:tbl>
      <w:tblPr>
        <w:tblStyle w:val="8"/>
        <w:tblW w:w="9600" w:type="dxa"/>
        <w:jc w:val="center"/>
        <w:tblLayout w:type="fixed"/>
        <w:tblCellMar>
          <w:top w:w="0" w:type="dxa"/>
          <w:left w:w="108" w:type="dxa"/>
          <w:bottom w:w="0" w:type="dxa"/>
          <w:right w:w="108" w:type="dxa"/>
        </w:tblCellMar>
      </w:tblPr>
      <w:tblGrid>
        <w:gridCol w:w="750"/>
        <w:gridCol w:w="5580"/>
        <w:gridCol w:w="1500"/>
        <w:gridCol w:w="855"/>
        <w:gridCol w:w="915"/>
      </w:tblGrid>
      <w:tr>
        <w:tblPrEx>
          <w:tblCellMar>
            <w:top w:w="0" w:type="dxa"/>
            <w:left w:w="108" w:type="dxa"/>
            <w:bottom w:w="0" w:type="dxa"/>
            <w:right w:w="108" w:type="dxa"/>
          </w:tblCellMar>
        </w:tblPrEx>
        <w:trPr>
          <w:trHeight w:val="852" w:hRule="atLeast"/>
          <w:jc w:val="center"/>
        </w:trPr>
        <w:tc>
          <w:tcPr>
            <w:tcW w:w="750" w:type="dxa"/>
            <w:tcBorders>
              <w:top w:val="single" w:color="auto" w:sz="6" w:space="0"/>
              <w:left w:val="single" w:color="auto" w:sz="6" w:space="0"/>
              <w:bottom w:val="nil"/>
              <w:right w:val="single" w:color="auto" w:sz="6" w:space="0"/>
            </w:tcBorders>
          </w:tcPr>
          <w:p>
            <w:pPr>
              <w:ind w:firstLine="632" w:firstLineChars="300"/>
              <w:rPr>
                <w:rFonts w:ascii="仿宋" w:hAnsi="仿宋" w:eastAsia="仿宋" w:cs="仿宋"/>
                <w:b/>
                <w:bCs/>
                <w:color w:val="000000"/>
                <w:szCs w:val="21"/>
              </w:rPr>
            </w:pPr>
            <w:r>
              <w:rPr>
                <w:rFonts w:hint="eastAsia" w:ascii="宋体" w:hAnsi="宋体" w:cs="宋体"/>
                <w:b/>
                <w:bCs/>
                <w:color w:val="000000"/>
                <w:szCs w:val="21"/>
              </w:rPr>
              <w:t> </w:t>
            </w:r>
            <w:r>
              <w:rPr>
                <w:rFonts w:hint="eastAsia" w:ascii="仿宋" w:hAnsi="仿宋" w:eastAsia="仿宋" w:cs="仿宋"/>
                <w:b/>
                <w:bCs/>
                <w:color w:val="000000"/>
                <w:szCs w:val="21"/>
              </w:rPr>
              <w:t>区域</w:t>
            </w:r>
          </w:p>
        </w:tc>
        <w:tc>
          <w:tcPr>
            <w:tcW w:w="5580" w:type="dxa"/>
            <w:tcBorders>
              <w:top w:val="single" w:color="auto" w:sz="6" w:space="0"/>
              <w:left w:val="nil"/>
              <w:bottom w:val="nil"/>
              <w:right w:val="single" w:color="auto" w:sz="6" w:space="0"/>
            </w:tcBorders>
          </w:tcPr>
          <w:p>
            <w:pPr>
              <w:rPr>
                <w:rFonts w:ascii="仿宋" w:hAnsi="仿宋" w:eastAsia="仿宋" w:cs="仿宋"/>
                <w:b/>
                <w:bCs/>
                <w:color w:val="000000"/>
                <w:szCs w:val="21"/>
              </w:rPr>
            </w:pPr>
          </w:p>
          <w:p>
            <w:pPr>
              <w:ind w:firstLine="1687" w:firstLineChars="800"/>
              <w:jc w:val="left"/>
              <w:rPr>
                <w:rFonts w:ascii="仿宋" w:hAnsi="仿宋" w:eastAsia="仿宋" w:cs="仿宋"/>
                <w:b/>
                <w:bCs/>
                <w:color w:val="000000"/>
                <w:szCs w:val="21"/>
              </w:rPr>
            </w:pPr>
            <w:r>
              <w:rPr>
                <w:rFonts w:hint="eastAsia" w:ascii="仿宋" w:hAnsi="仿宋" w:eastAsia="仿宋" w:cs="仿宋"/>
                <w:b/>
                <w:bCs/>
                <w:color w:val="000000"/>
                <w:szCs w:val="21"/>
              </w:rPr>
              <w:t>片</w:t>
            </w:r>
            <w:r>
              <w:rPr>
                <w:rFonts w:hint="eastAsia" w:ascii="宋体" w:hAnsi="宋体" w:cs="宋体"/>
                <w:b/>
                <w:bCs/>
                <w:color w:val="000000"/>
                <w:szCs w:val="21"/>
              </w:rPr>
              <w:t> </w:t>
            </w:r>
            <w:r>
              <w:rPr>
                <w:rFonts w:hint="eastAsia" w:ascii="仿宋" w:hAnsi="仿宋" w:eastAsia="仿宋" w:cs="仿宋"/>
                <w:b/>
                <w:bCs/>
                <w:color w:val="000000"/>
                <w:szCs w:val="21"/>
              </w:rPr>
              <w:t>区</w:t>
            </w:r>
            <w:r>
              <w:rPr>
                <w:rFonts w:hint="eastAsia" w:ascii="宋体" w:hAnsi="宋体" w:cs="宋体"/>
                <w:b/>
                <w:bCs/>
                <w:color w:val="000000"/>
                <w:szCs w:val="21"/>
              </w:rPr>
              <w:t> </w:t>
            </w:r>
            <w:r>
              <w:rPr>
                <w:rFonts w:hint="eastAsia" w:ascii="仿宋" w:hAnsi="仿宋" w:eastAsia="仿宋" w:cs="仿宋"/>
                <w:b/>
                <w:bCs/>
                <w:color w:val="000000"/>
                <w:szCs w:val="21"/>
              </w:rPr>
              <w:t>描</w:t>
            </w:r>
            <w:r>
              <w:rPr>
                <w:rFonts w:hint="eastAsia" w:ascii="宋体" w:hAnsi="宋体" w:cs="宋体"/>
                <w:b/>
                <w:bCs/>
                <w:color w:val="000000"/>
                <w:szCs w:val="21"/>
              </w:rPr>
              <w:t> </w:t>
            </w:r>
            <w:r>
              <w:rPr>
                <w:rFonts w:hint="eastAsia" w:ascii="仿宋" w:hAnsi="仿宋" w:eastAsia="仿宋" w:cs="仿宋"/>
                <w:b/>
                <w:bCs/>
                <w:color w:val="000000"/>
                <w:szCs w:val="21"/>
              </w:rPr>
              <w:t>述</w:t>
            </w:r>
          </w:p>
        </w:tc>
        <w:tc>
          <w:tcPr>
            <w:tcW w:w="1500" w:type="dxa"/>
            <w:tcBorders>
              <w:top w:val="single" w:color="auto" w:sz="6" w:space="0"/>
              <w:left w:val="nil"/>
              <w:bottom w:val="nil"/>
              <w:right w:val="single" w:color="auto" w:sz="6" w:space="0"/>
            </w:tcBorders>
          </w:tcPr>
          <w:p>
            <w:pPr>
              <w:ind w:left="239" w:leftChars="114" w:firstLine="632" w:firstLineChars="300"/>
              <w:rPr>
                <w:rFonts w:ascii="仿宋" w:hAnsi="仿宋" w:eastAsia="仿宋" w:cs="仿宋"/>
                <w:b/>
                <w:bCs/>
                <w:color w:val="000000"/>
                <w:szCs w:val="21"/>
              </w:rPr>
            </w:pPr>
            <w:r>
              <w:rPr>
                <w:rFonts w:hint="eastAsia" w:ascii="宋体" w:hAnsi="宋体" w:cs="宋体"/>
                <w:b/>
                <w:bCs/>
                <w:color w:val="000000"/>
                <w:szCs w:val="21"/>
              </w:rPr>
              <w:t> </w:t>
            </w:r>
          </w:p>
          <w:p>
            <w:pPr>
              <w:ind w:firstLine="211" w:firstLineChars="100"/>
              <w:rPr>
                <w:rFonts w:ascii="仿宋" w:hAnsi="仿宋" w:eastAsia="仿宋" w:cs="仿宋"/>
                <w:b/>
                <w:bCs/>
                <w:color w:val="000000"/>
                <w:szCs w:val="21"/>
              </w:rPr>
            </w:pPr>
            <w:r>
              <w:rPr>
                <w:rFonts w:hint="eastAsia" w:ascii="仿宋" w:hAnsi="仿宋" w:eastAsia="仿宋" w:cs="仿宋"/>
                <w:b/>
                <w:bCs/>
                <w:color w:val="000000"/>
                <w:szCs w:val="21"/>
              </w:rPr>
              <w:t>名  称</w:t>
            </w:r>
          </w:p>
        </w:tc>
        <w:tc>
          <w:tcPr>
            <w:tcW w:w="855" w:type="dxa"/>
            <w:tcBorders>
              <w:top w:val="single" w:color="auto" w:sz="6" w:space="0"/>
              <w:left w:val="nil"/>
              <w:bottom w:val="nil"/>
              <w:right w:val="single" w:color="auto" w:sz="6" w:space="0"/>
            </w:tcBorders>
          </w:tcPr>
          <w:p>
            <w:pPr>
              <w:jc w:val="left"/>
              <w:rPr>
                <w:rFonts w:ascii="仿宋" w:hAnsi="仿宋" w:eastAsia="仿宋" w:cs="仿宋"/>
                <w:b/>
                <w:bCs/>
                <w:color w:val="000000"/>
                <w:szCs w:val="21"/>
              </w:rPr>
            </w:pPr>
          </w:p>
          <w:p>
            <w:pPr>
              <w:jc w:val="left"/>
              <w:rPr>
                <w:rFonts w:ascii="仿宋" w:hAnsi="仿宋" w:eastAsia="仿宋" w:cs="仿宋"/>
                <w:b/>
                <w:bCs/>
                <w:color w:val="000000"/>
                <w:szCs w:val="21"/>
              </w:rPr>
            </w:pPr>
            <w:r>
              <w:rPr>
                <w:rFonts w:hint="eastAsia" w:ascii="仿宋" w:hAnsi="仿宋" w:eastAsia="仿宋" w:cs="仿宋"/>
                <w:b/>
                <w:bCs/>
                <w:color w:val="000000"/>
                <w:szCs w:val="21"/>
              </w:rPr>
              <w:t>单</w:t>
            </w:r>
            <w:r>
              <w:rPr>
                <w:rFonts w:hint="eastAsia" w:ascii="宋体" w:hAnsi="宋体" w:cs="宋体"/>
                <w:b/>
                <w:bCs/>
                <w:color w:val="000000"/>
                <w:szCs w:val="21"/>
              </w:rPr>
              <w:t> </w:t>
            </w:r>
            <w:r>
              <w:rPr>
                <w:rFonts w:hint="eastAsia" w:ascii="仿宋" w:hAnsi="仿宋" w:eastAsia="仿宋" w:cs="仿宋"/>
                <w:b/>
                <w:bCs/>
                <w:color w:val="000000"/>
                <w:szCs w:val="21"/>
              </w:rPr>
              <w:t>位</w:t>
            </w:r>
          </w:p>
        </w:tc>
        <w:tc>
          <w:tcPr>
            <w:tcW w:w="915" w:type="dxa"/>
            <w:tcBorders>
              <w:top w:val="single" w:color="auto" w:sz="6" w:space="0"/>
              <w:left w:val="nil"/>
              <w:bottom w:val="nil"/>
              <w:right w:val="single" w:color="auto" w:sz="6" w:space="0"/>
            </w:tcBorders>
          </w:tcPr>
          <w:p>
            <w:pPr>
              <w:rPr>
                <w:rFonts w:ascii="仿宋" w:hAnsi="仿宋" w:eastAsia="仿宋" w:cs="仿宋"/>
                <w:b/>
                <w:bCs/>
                <w:color w:val="000000"/>
                <w:szCs w:val="21"/>
              </w:rPr>
            </w:pPr>
          </w:p>
          <w:p>
            <w:pPr>
              <w:rPr>
                <w:rFonts w:ascii="仿宋" w:hAnsi="仿宋" w:eastAsia="仿宋" w:cs="仿宋"/>
                <w:b/>
                <w:bCs/>
                <w:color w:val="000000"/>
                <w:szCs w:val="21"/>
              </w:rPr>
            </w:pPr>
            <w:r>
              <w:rPr>
                <w:rFonts w:hint="eastAsia" w:ascii="仿宋" w:hAnsi="仿宋" w:eastAsia="仿宋" w:cs="仿宋"/>
                <w:b/>
                <w:bCs/>
                <w:color w:val="000000"/>
                <w:szCs w:val="21"/>
              </w:rPr>
              <w:t>标准（元）</w:t>
            </w:r>
          </w:p>
        </w:tc>
      </w:tr>
      <w:tr>
        <w:tblPrEx>
          <w:tblCellMar>
            <w:top w:w="0" w:type="dxa"/>
            <w:left w:w="108" w:type="dxa"/>
            <w:bottom w:w="0" w:type="dxa"/>
            <w:right w:w="108" w:type="dxa"/>
          </w:tblCellMar>
        </w:tblPrEx>
        <w:trPr>
          <w:trHeight w:val="750" w:hRule="atLeast"/>
          <w:jc w:val="center"/>
        </w:trPr>
        <w:tc>
          <w:tcPr>
            <w:tcW w:w="750" w:type="dxa"/>
            <w:vMerge w:val="restart"/>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color w:val="000000"/>
                <w:szCs w:val="21"/>
              </w:rPr>
            </w:pPr>
          </w:p>
          <w:p>
            <w:pPr>
              <w:jc w:val="center"/>
              <w:rPr>
                <w:rFonts w:ascii="仿宋" w:hAnsi="仿宋" w:eastAsia="仿宋" w:cs="仿宋"/>
                <w:color w:val="000000"/>
                <w:szCs w:val="21"/>
              </w:rPr>
            </w:pPr>
            <w:r>
              <w:rPr>
                <w:rFonts w:hint="eastAsia" w:ascii="仿宋" w:hAnsi="仿宋" w:eastAsia="仿宋" w:cs="仿宋"/>
                <w:color w:val="000000"/>
                <w:szCs w:val="21"/>
              </w:rPr>
              <w:t>四类</w:t>
            </w:r>
          </w:p>
        </w:tc>
        <w:tc>
          <w:tcPr>
            <w:tcW w:w="5580" w:type="dxa"/>
            <w:vMerge w:val="restart"/>
            <w:tcBorders>
              <w:top w:val="single" w:color="auto" w:sz="4" w:space="0"/>
              <w:left w:val="nil"/>
              <w:bottom w:val="single" w:color="auto" w:sz="4" w:space="0"/>
              <w:right w:val="single" w:color="auto" w:sz="6" w:space="0"/>
            </w:tcBorders>
            <w:vAlign w:val="center"/>
          </w:tcPr>
          <w:p>
            <w:pPr>
              <w:rPr>
                <w:rFonts w:ascii="仿宋" w:hAnsi="仿宋" w:eastAsia="仿宋" w:cs="仿宋"/>
                <w:color w:val="000000"/>
                <w:szCs w:val="21"/>
              </w:rPr>
            </w:pPr>
            <w:r>
              <w:rPr>
                <w:rFonts w:hint="eastAsia" w:ascii="仿宋" w:hAnsi="仿宋" w:eastAsia="仿宋" w:cs="仿宋"/>
                <w:color w:val="000000"/>
                <w:szCs w:val="21"/>
              </w:rPr>
              <w:t>树林召镇：(耳字壕村、城塔村、河洛图村、哈什拉村)、风水梁镇：(王家壕村、马场壕村、乌兰壕村、敖包梁村、石匠窑村、母哈日沟村、河图梁村、刘长沟村、盐店村、新民渠村)、恩格贝镇：(补录梁村、哈拉亥图壕村、耳字沟村、呼斯图村、査干沟村、元宝湾村、茶窑沟村、牛场梁村、黄母哈日村、武大仓村)、展旦召苏木：(赛乌素村、石活子村、查干沟村、哈达图村、和合成梁村、青达门村、塔并召村、枳机塔村)、昭君镇：(石巴圪图村、赛乌素村、高头窑村、查干沟村、白家塔村、吴四圪堵村)、中和西镇：(官井村、南布日嘎斯太村、蓿亥图牧业村、万太兴村)</w:t>
            </w:r>
          </w:p>
        </w:tc>
        <w:tc>
          <w:tcPr>
            <w:tcW w:w="1500" w:type="dxa"/>
            <w:tcBorders>
              <w:top w:val="single" w:color="auto" w:sz="6" w:space="0"/>
              <w:left w:val="nil"/>
              <w:bottom w:val="single" w:color="auto" w:sz="4" w:space="0"/>
              <w:right w:val="single" w:color="auto" w:sz="6"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水浇地</w:t>
            </w:r>
          </w:p>
        </w:tc>
        <w:tc>
          <w:tcPr>
            <w:tcW w:w="855" w:type="dxa"/>
            <w:tcBorders>
              <w:top w:val="single" w:color="auto" w:sz="6" w:space="0"/>
              <w:left w:val="nil"/>
              <w:bottom w:val="single" w:color="auto" w:sz="4" w:space="0"/>
              <w:right w:val="single" w:color="auto" w:sz="6"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亩</w:t>
            </w:r>
          </w:p>
        </w:tc>
        <w:tc>
          <w:tcPr>
            <w:tcW w:w="915" w:type="dxa"/>
            <w:tcBorders>
              <w:top w:val="single" w:color="auto" w:sz="6" w:space="0"/>
              <w:left w:val="nil"/>
              <w:bottom w:val="single" w:color="auto" w:sz="4" w:space="0"/>
              <w:right w:val="single" w:color="auto" w:sz="6"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26000</w:t>
            </w:r>
          </w:p>
        </w:tc>
      </w:tr>
      <w:tr>
        <w:tblPrEx>
          <w:tblCellMar>
            <w:top w:w="0" w:type="dxa"/>
            <w:left w:w="108" w:type="dxa"/>
            <w:bottom w:w="0" w:type="dxa"/>
            <w:right w:w="108" w:type="dxa"/>
          </w:tblCellMar>
        </w:tblPrEx>
        <w:trPr>
          <w:trHeight w:val="681" w:hRule="atLeast"/>
          <w:jc w:val="center"/>
        </w:trPr>
        <w:tc>
          <w:tcPr>
            <w:tcW w:w="750"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仿宋"/>
                <w:color w:val="000000"/>
                <w:szCs w:val="21"/>
              </w:rPr>
            </w:pPr>
          </w:p>
        </w:tc>
        <w:tc>
          <w:tcPr>
            <w:tcW w:w="5580" w:type="dxa"/>
            <w:vMerge w:val="continue"/>
            <w:tcBorders>
              <w:top w:val="single" w:color="auto" w:sz="4" w:space="0"/>
              <w:left w:val="nil"/>
              <w:bottom w:val="single" w:color="auto" w:sz="4" w:space="0"/>
              <w:right w:val="single" w:color="auto" w:sz="6" w:space="0"/>
            </w:tcBorders>
            <w:vAlign w:val="center"/>
          </w:tcPr>
          <w:p>
            <w:pPr>
              <w:widowControl/>
              <w:jc w:val="left"/>
              <w:rPr>
                <w:rFonts w:ascii="仿宋" w:hAnsi="仿宋" w:eastAsia="仿宋" w:cs="仿宋"/>
                <w:color w:val="000000"/>
                <w:szCs w:val="21"/>
              </w:rPr>
            </w:pPr>
          </w:p>
        </w:tc>
        <w:tc>
          <w:tcPr>
            <w:tcW w:w="1500" w:type="dxa"/>
            <w:tcBorders>
              <w:top w:val="single" w:color="auto" w:sz="6" w:space="0"/>
              <w:left w:val="nil"/>
              <w:bottom w:val="single" w:color="auto" w:sz="4" w:space="0"/>
              <w:right w:val="single" w:color="auto" w:sz="6"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旱  地</w:t>
            </w:r>
          </w:p>
        </w:tc>
        <w:tc>
          <w:tcPr>
            <w:tcW w:w="855" w:type="dxa"/>
            <w:tcBorders>
              <w:top w:val="single" w:color="auto" w:sz="6" w:space="0"/>
              <w:left w:val="nil"/>
              <w:bottom w:val="single" w:color="auto" w:sz="4" w:space="0"/>
              <w:right w:val="single" w:color="auto" w:sz="6"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亩</w:t>
            </w:r>
          </w:p>
        </w:tc>
        <w:tc>
          <w:tcPr>
            <w:tcW w:w="915" w:type="dxa"/>
            <w:tcBorders>
              <w:top w:val="single" w:color="auto" w:sz="6" w:space="0"/>
              <w:left w:val="nil"/>
              <w:bottom w:val="single" w:color="auto" w:sz="4" w:space="0"/>
              <w:right w:val="single" w:color="auto" w:sz="6"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23500</w:t>
            </w:r>
          </w:p>
        </w:tc>
      </w:tr>
      <w:tr>
        <w:tblPrEx>
          <w:tblCellMar>
            <w:top w:w="0" w:type="dxa"/>
            <w:left w:w="108" w:type="dxa"/>
            <w:bottom w:w="0" w:type="dxa"/>
            <w:right w:w="108" w:type="dxa"/>
          </w:tblCellMar>
        </w:tblPrEx>
        <w:trPr>
          <w:trHeight w:val="636" w:hRule="atLeast"/>
          <w:jc w:val="center"/>
        </w:trPr>
        <w:tc>
          <w:tcPr>
            <w:tcW w:w="750"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仿宋"/>
                <w:color w:val="000000"/>
                <w:szCs w:val="21"/>
              </w:rPr>
            </w:pPr>
          </w:p>
        </w:tc>
        <w:tc>
          <w:tcPr>
            <w:tcW w:w="5580" w:type="dxa"/>
            <w:vMerge w:val="continue"/>
            <w:tcBorders>
              <w:top w:val="single" w:color="auto" w:sz="4" w:space="0"/>
              <w:left w:val="nil"/>
              <w:bottom w:val="single" w:color="auto" w:sz="4" w:space="0"/>
              <w:right w:val="single" w:color="auto" w:sz="6" w:space="0"/>
            </w:tcBorders>
            <w:vAlign w:val="center"/>
          </w:tcPr>
          <w:p>
            <w:pPr>
              <w:widowControl/>
              <w:jc w:val="left"/>
              <w:rPr>
                <w:rFonts w:ascii="仿宋" w:hAnsi="仿宋" w:eastAsia="仿宋" w:cs="仿宋"/>
                <w:color w:val="000000"/>
                <w:szCs w:val="21"/>
              </w:rPr>
            </w:pPr>
          </w:p>
        </w:tc>
        <w:tc>
          <w:tcPr>
            <w:tcW w:w="1500" w:type="dxa"/>
            <w:tcBorders>
              <w:top w:val="single" w:color="auto" w:sz="4" w:space="0"/>
              <w:left w:val="nil"/>
              <w:bottom w:val="single" w:color="auto" w:sz="4" w:space="0"/>
              <w:right w:val="single" w:color="auto" w:sz="6" w:space="0"/>
            </w:tcBorders>
            <w:vAlign w:val="center"/>
          </w:tcPr>
          <w:p>
            <w:pPr>
              <w:ind w:firstLine="210" w:firstLineChars="100"/>
              <w:rPr>
                <w:rFonts w:ascii="仿宋" w:hAnsi="仿宋" w:eastAsia="仿宋" w:cs="仿宋"/>
                <w:color w:val="000000"/>
                <w:szCs w:val="21"/>
              </w:rPr>
            </w:pPr>
            <w:r>
              <w:rPr>
                <w:rFonts w:hint="eastAsia" w:ascii="仿宋" w:hAnsi="仿宋" w:eastAsia="仿宋" w:cs="仿宋"/>
                <w:color w:val="000000"/>
                <w:szCs w:val="21"/>
              </w:rPr>
              <w:t>林  地</w:t>
            </w:r>
          </w:p>
        </w:tc>
        <w:tc>
          <w:tcPr>
            <w:tcW w:w="855" w:type="dxa"/>
            <w:tcBorders>
              <w:top w:val="single" w:color="auto" w:sz="4" w:space="0"/>
              <w:left w:val="nil"/>
              <w:bottom w:val="single" w:color="auto" w:sz="4" w:space="0"/>
              <w:right w:val="single" w:color="auto" w:sz="6"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亩</w:t>
            </w:r>
          </w:p>
        </w:tc>
        <w:tc>
          <w:tcPr>
            <w:tcW w:w="915" w:type="dxa"/>
            <w:tcBorders>
              <w:top w:val="single" w:color="auto" w:sz="4" w:space="0"/>
              <w:left w:val="nil"/>
              <w:bottom w:val="single" w:color="auto" w:sz="4" w:space="0"/>
              <w:right w:val="single" w:color="auto" w:sz="6"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11500</w:t>
            </w:r>
          </w:p>
        </w:tc>
      </w:tr>
      <w:tr>
        <w:tblPrEx>
          <w:tblCellMar>
            <w:top w:w="0" w:type="dxa"/>
            <w:left w:w="108" w:type="dxa"/>
            <w:bottom w:w="0" w:type="dxa"/>
            <w:right w:w="108" w:type="dxa"/>
          </w:tblCellMar>
        </w:tblPrEx>
        <w:trPr>
          <w:trHeight w:val="752" w:hRule="atLeast"/>
          <w:jc w:val="center"/>
        </w:trPr>
        <w:tc>
          <w:tcPr>
            <w:tcW w:w="750"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仿宋"/>
                <w:color w:val="000000"/>
                <w:szCs w:val="21"/>
              </w:rPr>
            </w:pPr>
          </w:p>
        </w:tc>
        <w:tc>
          <w:tcPr>
            <w:tcW w:w="5580" w:type="dxa"/>
            <w:vMerge w:val="continue"/>
            <w:tcBorders>
              <w:top w:val="single" w:color="auto" w:sz="4" w:space="0"/>
              <w:left w:val="nil"/>
              <w:bottom w:val="single" w:color="auto" w:sz="4" w:space="0"/>
              <w:right w:val="single" w:color="auto" w:sz="6" w:space="0"/>
            </w:tcBorders>
            <w:vAlign w:val="center"/>
          </w:tcPr>
          <w:p>
            <w:pPr>
              <w:widowControl/>
              <w:jc w:val="left"/>
              <w:rPr>
                <w:rFonts w:ascii="仿宋" w:hAnsi="仿宋" w:eastAsia="仿宋" w:cs="仿宋"/>
                <w:color w:val="000000"/>
                <w:szCs w:val="21"/>
              </w:rPr>
            </w:pPr>
          </w:p>
        </w:tc>
        <w:tc>
          <w:tcPr>
            <w:tcW w:w="1500" w:type="dxa"/>
            <w:tcBorders>
              <w:top w:val="single" w:color="auto" w:sz="4" w:space="0"/>
              <w:left w:val="nil"/>
              <w:bottom w:val="single" w:color="auto" w:sz="4" w:space="0"/>
              <w:right w:val="single" w:color="auto" w:sz="6" w:space="0"/>
            </w:tcBorders>
            <w:vAlign w:val="center"/>
          </w:tcPr>
          <w:p>
            <w:pPr>
              <w:rPr>
                <w:rFonts w:ascii="仿宋" w:hAnsi="仿宋" w:eastAsia="仿宋" w:cs="仿宋"/>
                <w:color w:val="000000"/>
                <w:szCs w:val="21"/>
              </w:rPr>
            </w:pPr>
            <w:r>
              <w:rPr>
                <w:rFonts w:hint="eastAsia" w:ascii="仿宋" w:hAnsi="仿宋" w:eastAsia="仿宋" w:cs="仿宋"/>
                <w:color w:val="000000"/>
                <w:szCs w:val="21"/>
              </w:rPr>
              <w:t>人工牧草地</w:t>
            </w:r>
          </w:p>
        </w:tc>
        <w:tc>
          <w:tcPr>
            <w:tcW w:w="8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亩</w:t>
            </w:r>
          </w:p>
        </w:tc>
        <w:tc>
          <w:tcPr>
            <w:tcW w:w="915" w:type="dxa"/>
            <w:tcBorders>
              <w:top w:val="single" w:color="auto" w:sz="4" w:space="0"/>
              <w:left w:val="nil"/>
              <w:bottom w:val="single" w:color="auto" w:sz="4" w:space="0"/>
              <w:right w:val="single" w:color="auto" w:sz="6"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10400</w:t>
            </w:r>
          </w:p>
        </w:tc>
      </w:tr>
      <w:tr>
        <w:tblPrEx>
          <w:tblCellMar>
            <w:top w:w="0" w:type="dxa"/>
            <w:left w:w="108" w:type="dxa"/>
            <w:bottom w:w="0" w:type="dxa"/>
            <w:right w:w="108" w:type="dxa"/>
          </w:tblCellMar>
        </w:tblPrEx>
        <w:trPr>
          <w:trHeight w:val="740" w:hRule="atLeast"/>
          <w:jc w:val="center"/>
        </w:trPr>
        <w:tc>
          <w:tcPr>
            <w:tcW w:w="750"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仿宋"/>
                <w:color w:val="000000"/>
                <w:szCs w:val="21"/>
              </w:rPr>
            </w:pPr>
          </w:p>
        </w:tc>
        <w:tc>
          <w:tcPr>
            <w:tcW w:w="5580" w:type="dxa"/>
            <w:vMerge w:val="continue"/>
            <w:tcBorders>
              <w:top w:val="single" w:color="auto" w:sz="4" w:space="0"/>
              <w:left w:val="nil"/>
              <w:bottom w:val="single" w:color="auto" w:sz="4" w:space="0"/>
              <w:right w:val="single" w:color="auto" w:sz="6" w:space="0"/>
            </w:tcBorders>
            <w:vAlign w:val="center"/>
          </w:tcPr>
          <w:p>
            <w:pPr>
              <w:widowControl/>
              <w:jc w:val="left"/>
              <w:rPr>
                <w:rFonts w:ascii="仿宋" w:hAnsi="仿宋" w:eastAsia="仿宋" w:cs="仿宋"/>
                <w:color w:val="000000"/>
                <w:szCs w:val="21"/>
              </w:rPr>
            </w:pPr>
          </w:p>
        </w:tc>
        <w:tc>
          <w:tcPr>
            <w:tcW w:w="1500" w:type="dxa"/>
            <w:tcBorders>
              <w:top w:val="single" w:color="auto" w:sz="4" w:space="0"/>
              <w:left w:val="nil"/>
              <w:bottom w:val="single" w:color="auto" w:sz="4" w:space="0"/>
              <w:right w:val="single" w:color="auto" w:sz="6" w:space="0"/>
            </w:tcBorders>
            <w:vAlign w:val="center"/>
          </w:tcPr>
          <w:p>
            <w:pPr>
              <w:rPr>
                <w:rFonts w:ascii="仿宋" w:hAnsi="仿宋" w:eastAsia="仿宋" w:cs="仿宋"/>
                <w:color w:val="000000"/>
                <w:szCs w:val="21"/>
              </w:rPr>
            </w:pPr>
            <w:r>
              <w:rPr>
                <w:rFonts w:hint="eastAsia" w:ascii="仿宋" w:hAnsi="仿宋" w:eastAsia="仿宋" w:cs="仿宋"/>
                <w:color w:val="000000"/>
                <w:szCs w:val="21"/>
              </w:rPr>
              <w:t>天然牧草地</w:t>
            </w:r>
          </w:p>
        </w:tc>
        <w:tc>
          <w:tcPr>
            <w:tcW w:w="8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亩</w:t>
            </w:r>
          </w:p>
        </w:tc>
        <w:tc>
          <w:tcPr>
            <w:tcW w:w="915" w:type="dxa"/>
            <w:tcBorders>
              <w:top w:val="single" w:color="auto" w:sz="4" w:space="0"/>
              <w:left w:val="nil"/>
              <w:bottom w:val="single" w:color="auto" w:sz="4" w:space="0"/>
              <w:right w:val="single" w:color="auto" w:sz="6"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7000</w:t>
            </w:r>
          </w:p>
        </w:tc>
      </w:tr>
      <w:tr>
        <w:tblPrEx>
          <w:tblCellMar>
            <w:top w:w="0" w:type="dxa"/>
            <w:left w:w="108" w:type="dxa"/>
            <w:bottom w:w="0" w:type="dxa"/>
            <w:right w:w="108" w:type="dxa"/>
          </w:tblCellMar>
        </w:tblPrEx>
        <w:trPr>
          <w:trHeight w:val="626" w:hRule="atLeast"/>
          <w:jc w:val="center"/>
        </w:trPr>
        <w:tc>
          <w:tcPr>
            <w:tcW w:w="750" w:type="dxa"/>
            <w:vMerge w:val="continue"/>
            <w:tcBorders>
              <w:top w:val="single" w:color="auto" w:sz="4" w:space="0"/>
              <w:left w:val="single" w:color="auto" w:sz="6" w:space="0"/>
              <w:bottom w:val="single" w:color="auto" w:sz="4" w:space="0"/>
              <w:right w:val="single" w:color="auto" w:sz="6" w:space="0"/>
            </w:tcBorders>
            <w:vAlign w:val="center"/>
          </w:tcPr>
          <w:p>
            <w:pPr>
              <w:widowControl/>
              <w:jc w:val="left"/>
              <w:rPr>
                <w:rFonts w:ascii="仿宋" w:hAnsi="仿宋" w:eastAsia="仿宋" w:cs="仿宋"/>
                <w:color w:val="000000"/>
                <w:szCs w:val="21"/>
              </w:rPr>
            </w:pPr>
          </w:p>
        </w:tc>
        <w:tc>
          <w:tcPr>
            <w:tcW w:w="5580" w:type="dxa"/>
            <w:vMerge w:val="continue"/>
            <w:tcBorders>
              <w:top w:val="single" w:color="auto" w:sz="4" w:space="0"/>
              <w:left w:val="nil"/>
              <w:bottom w:val="single" w:color="auto" w:sz="4" w:space="0"/>
              <w:right w:val="single" w:color="auto" w:sz="6" w:space="0"/>
            </w:tcBorders>
            <w:vAlign w:val="center"/>
          </w:tcPr>
          <w:p>
            <w:pPr>
              <w:widowControl/>
              <w:jc w:val="left"/>
              <w:rPr>
                <w:rFonts w:ascii="仿宋" w:hAnsi="仿宋" w:eastAsia="仿宋" w:cs="仿宋"/>
                <w:color w:val="000000"/>
                <w:szCs w:val="21"/>
              </w:rPr>
            </w:pPr>
          </w:p>
        </w:tc>
        <w:tc>
          <w:tcPr>
            <w:tcW w:w="1500" w:type="dxa"/>
            <w:tcBorders>
              <w:top w:val="single" w:color="auto" w:sz="4" w:space="0"/>
              <w:left w:val="nil"/>
              <w:bottom w:val="single" w:color="auto" w:sz="6" w:space="0"/>
              <w:right w:val="single" w:color="auto" w:sz="4" w:space="0"/>
            </w:tcBorders>
            <w:vAlign w:val="center"/>
          </w:tcPr>
          <w:p>
            <w:pPr>
              <w:rPr>
                <w:rFonts w:ascii="仿宋" w:hAnsi="仿宋" w:eastAsia="仿宋" w:cs="仿宋"/>
                <w:color w:val="000000"/>
                <w:szCs w:val="21"/>
              </w:rPr>
            </w:pPr>
            <w:r>
              <w:rPr>
                <w:rFonts w:hint="eastAsia" w:ascii="仿宋" w:hAnsi="仿宋" w:eastAsia="仿宋" w:cs="仿宋"/>
                <w:color w:val="000000"/>
                <w:szCs w:val="21"/>
              </w:rPr>
              <w:t>其他农用地</w:t>
            </w:r>
          </w:p>
        </w:tc>
        <w:tc>
          <w:tcPr>
            <w:tcW w:w="855" w:type="dxa"/>
            <w:tcBorders>
              <w:top w:val="single" w:color="auto" w:sz="4" w:space="0"/>
              <w:left w:val="nil"/>
              <w:bottom w:val="single" w:color="auto" w:sz="6" w:space="0"/>
              <w:right w:val="single" w:color="auto" w:sz="4"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亩</w:t>
            </w:r>
          </w:p>
        </w:tc>
        <w:tc>
          <w:tcPr>
            <w:tcW w:w="915" w:type="dxa"/>
            <w:tcBorders>
              <w:top w:val="single" w:color="auto" w:sz="4" w:space="0"/>
              <w:left w:val="nil"/>
              <w:bottom w:val="single" w:color="auto" w:sz="6" w:space="0"/>
              <w:right w:val="single" w:color="auto" w:sz="6" w:space="0"/>
            </w:tcBorders>
            <w:vAlign w:val="center"/>
          </w:tcPr>
          <w:p>
            <w:pPr>
              <w:jc w:val="center"/>
              <w:rPr>
                <w:rFonts w:ascii="仿宋" w:hAnsi="仿宋" w:eastAsia="仿宋" w:cs="仿宋"/>
                <w:color w:val="000000"/>
                <w:szCs w:val="21"/>
              </w:rPr>
            </w:pPr>
            <w:r>
              <w:rPr>
                <w:rFonts w:hint="eastAsia" w:ascii="仿宋" w:hAnsi="仿宋" w:eastAsia="仿宋" w:cs="仿宋"/>
                <w:color w:val="000000"/>
                <w:szCs w:val="21"/>
              </w:rPr>
              <w:t>7000</w:t>
            </w:r>
          </w:p>
        </w:tc>
      </w:tr>
    </w:tbl>
    <w:p>
      <w:pPr>
        <w:pStyle w:val="3"/>
        <w:spacing w:before="0" w:beforeAutospacing="0" w:after="0" w:line="500" w:lineRule="exact"/>
        <w:rPr>
          <w:rFonts w:hint="eastAsia" w:ascii="黑体" w:hAnsi="黑体" w:eastAsia="黑体" w:cs="黑体"/>
          <w:b/>
          <w:bCs/>
          <w:color w:val="000000"/>
          <w:sz w:val="28"/>
          <w:szCs w:val="28"/>
        </w:rPr>
      </w:pPr>
    </w:p>
    <w:p>
      <w:pPr>
        <w:pStyle w:val="3"/>
        <w:spacing w:before="0" w:beforeAutospacing="0" w:after="0" w:line="500" w:lineRule="exact"/>
        <w:rPr>
          <w:rFonts w:hint="eastAsia" w:ascii="黑体" w:hAnsi="黑体" w:eastAsia="黑体" w:cs="黑体"/>
          <w:b/>
          <w:bCs/>
          <w:color w:val="000000"/>
          <w:sz w:val="28"/>
          <w:szCs w:val="28"/>
        </w:rPr>
      </w:pPr>
    </w:p>
    <w:p>
      <w:pPr>
        <w:pStyle w:val="3"/>
        <w:spacing w:before="0" w:beforeAutospacing="0" w:after="0" w:line="500" w:lineRule="exact"/>
        <w:rPr>
          <w:rFonts w:hint="eastAsia" w:ascii="黑体" w:hAnsi="黑体" w:eastAsia="黑体" w:cs="黑体"/>
          <w:b/>
          <w:bCs/>
          <w:color w:val="000000"/>
          <w:sz w:val="28"/>
          <w:szCs w:val="28"/>
        </w:rPr>
      </w:pPr>
    </w:p>
    <w:p>
      <w:pPr>
        <w:pStyle w:val="3"/>
        <w:spacing w:before="0" w:beforeAutospacing="0" w:after="0" w:line="500" w:lineRule="exact"/>
        <w:rPr>
          <w:rFonts w:hint="eastAsia" w:ascii="黑体" w:hAnsi="黑体" w:eastAsia="黑体" w:cs="黑体"/>
          <w:b/>
          <w:bCs/>
          <w:color w:val="000000"/>
          <w:sz w:val="28"/>
          <w:szCs w:val="28"/>
        </w:rPr>
      </w:pPr>
    </w:p>
    <w:p>
      <w:pPr>
        <w:pStyle w:val="3"/>
        <w:spacing w:before="0" w:beforeAutospacing="0" w:after="0" w:line="500" w:lineRule="exact"/>
        <w:rPr>
          <w:rFonts w:hint="eastAsia" w:ascii="黑体" w:hAnsi="黑体" w:eastAsia="黑体" w:cs="黑体"/>
          <w:b/>
          <w:bCs/>
          <w:color w:val="000000"/>
          <w:sz w:val="28"/>
          <w:szCs w:val="28"/>
        </w:rPr>
      </w:pPr>
    </w:p>
    <w:p>
      <w:pPr>
        <w:pStyle w:val="3"/>
        <w:spacing w:before="0" w:beforeAutospacing="0" w:after="0" w:line="500" w:lineRule="exact"/>
        <w:rPr>
          <w:rFonts w:hint="eastAsia" w:ascii="黑体" w:hAnsi="黑体" w:eastAsia="黑体" w:cs="黑体"/>
          <w:b/>
          <w:bCs/>
          <w:color w:val="000000"/>
          <w:sz w:val="28"/>
          <w:szCs w:val="28"/>
        </w:rPr>
      </w:pPr>
    </w:p>
    <w:p>
      <w:pPr>
        <w:pStyle w:val="3"/>
        <w:spacing w:before="0" w:beforeAutospacing="0" w:after="0" w:line="500" w:lineRule="exact"/>
        <w:rPr>
          <w:rFonts w:hint="eastAsia" w:ascii="黑体" w:hAnsi="黑体" w:eastAsia="黑体" w:cs="黑体"/>
          <w:b/>
          <w:bCs/>
          <w:color w:val="000000"/>
          <w:sz w:val="28"/>
          <w:szCs w:val="28"/>
        </w:rPr>
      </w:pPr>
    </w:p>
    <w:p>
      <w:pPr>
        <w:pStyle w:val="3"/>
        <w:spacing w:before="0" w:beforeAutospacing="0" w:after="0" w:line="500" w:lineRule="exact"/>
        <w:rPr>
          <w:rFonts w:hint="eastAsia" w:ascii="黑体" w:hAnsi="黑体" w:eastAsia="黑体" w:cs="黑体"/>
          <w:b/>
          <w:bCs/>
          <w:color w:val="000000"/>
          <w:sz w:val="28"/>
          <w:szCs w:val="28"/>
        </w:rPr>
      </w:pPr>
    </w:p>
    <w:p>
      <w:pPr>
        <w:pStyle w:val="3"/>
        <w:spacing w:before="0" w:beforeAutospacing="0" w:after="0" w:line="500" w:lineRule="exact"/>
        <w:rPr>
          <w:rFonts w:hint="eastAsia" w:ascii="黑体" w:hAnsi="黑体" w:eastAsia="黑体" w:cs="黑体"/>
          <w:b/>
          <w:bCs/>
          <w:color w:val="000000"/>
          <w:sz w:val="28"/>
          <w:szCs w:val="28"/>
        </w:rPr>
      </w:pPr>
    </w:p>
    <w:p>
      <w:pPr>
        <w:pStyle w:val="3"/>
        <w:spacing w:before="0" w:beforeAutospacing="0" w:after="0" w:line="500" w:lineRule="exact"/>
        <w:rPr>
          <w:rFonts w:hint="eastAsia" w:ascii="黑体" w:hAnsi="黑体" w:eastAsia="黑体" w:cs="黑体"/>
          <w:b/>
          <w:bCs/>
          <w:color w:val="000000"/>
          <w:sz w:val="28"/>
          <w:szCs w:val="28"/>
        </w:rPr>
      </w:pPr>
    </w:p>
    <w:p>
      <w:pPr>
        <w:pStyle w:val="3"/>
        <w:spacing w:before="0" w:beforeAutospacing="0" w:after="0" w:line="500" w:lineRule="exact"/>
        <w:rPr>
          <w:rFonts w:hint="eastAsia" w:ascii="黑体" w:hAnsi="黑体" w:eastAsia="黑体" w:cs="黑体"/>
          <w:b/>
          <w:bCs/>
          <w:color w:val="000000"/>
          <w:sz w:val="28"/>
          <w:szCs w:val="28"/>
        </w:rPr>
      </w:pPr>
    </w:p>
    <w:p>
      <w:pPr>
        <w:spacing w:line="560" w:lineRule="exact"/>
        <w:jc w:val="left"/>
        <w:rPr>
          <w:rFonts w:hint="eastAsia" w:ascii="黑体" w:hAnsi="黑体" w:eastAsia="黑体" w:cs="黑体"/>
          <w:bCs/>
          <w:sz w:val="32"/>
          <w:szCs w:val="32"/>
        </w:rPr>
      </w:pPr>
    </w:p>
    <w:p>
      <w:pPr>
        <w:spacing w:line="560" w:lineRule="exact"/>
        <w:jc w:val="left"/>
        <w:rPr>
          <w:rFonts w:hint="eastAsia" w:ascii="黑体" w:hAnsi="黑体" w:eastAsia="黑体" w:cs="黑体"/>
          <w:bCs/>
          <w:sz w:val="32"/>
          <w:szCs w:val="32"/>
        </w:rPr>
      </w:pPr>
    </w:p>
    <w:p>
      <w:pPr>
        <w:spacing w:line="560" w:lineRule="exact"/>
        <w:jc w:val="left"/>
        <w:rPr>
          <w:rFonts w:hint="eastAsia" w:ascii="黑体" w:hAnsi="黑体" w:eastAsia="黑体" w:cs="黑体"/>
          <w:bCs/>
          <w:sz w:val="32"/>
          <w:szCs w:val="32"/>
        </w:rPr>
      </w:pPr>
      <w:r>
        <w:rPr>
          <w:rFonts w:hint="eastAsia" w:ascii="黑体" w:hAnsi="黑体" w:eastAsia="黑体" w:cs="黑体"/>
          <w:bCs/>
          <w:sz w:val="32"/>
          <w:szCs w:val="32"/>
        </w:rPr>
        <w:t>附件2</w:t>
      </w:r>
    </w:p>
    <w:p>
      <w:pPr>
        <w:pStyle w:val="3"/>
        <w:spacing w:before="0" w:beforeAutospacing="0" w:afterLines="50" w:line="4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房屋补偿标准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336"/>
        <w:gridCol w:w="451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房屋结构</w:t>
            </w:r>
          </w:p>
        </w:tc>
        <w:tc>
          <w:tcPr>
            <w:tcW w:w="13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房屋檐高</w:t>
            </w:r>
          </w:p>
        </w:tc>
        <w:tc>
          <w:tcPr>
            <w:tcW w:w="45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标准条件</w:t>
            </w:r>
          </w:p>
        </w:tc>
        <w:tc>
          <w:tcPr>
            <w:tcW w:w="14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补偿标准</w:t>
            </w:r>
          </w:p>
          <w:p>
            <w:pPr>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（元/平米）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restart"/>
            <w:tcBorders>
              <w:top w:val="single" w:color="auto" w:sz="4" w:space="0"/>
              <w:left w:val="single" w:color="auto" w:sz="4" w:space="0"/>
              <w:bottom w:val="single" w:color="auto" w:sz="4" w:space="0"/>
              <w:right w:val="single" w:color="auto" w:sz="4" w:space="0"/>
            </w:tcBorders>
            <w:vAlign w:val="center"/>
          </w:tcPr>
          <w:p>
            <w:pPr>
              <w:pStyle w:val="3"/>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砖混主平房</w:t>
            </w: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3.2米以上</w:t>
            </w:r>
          </w:p>
        </w:tc>
        <w:tc>
          <w:tcPr>
            <w:tcW w:w="451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黑体"/>
                <w:color w:val="000000"/>
                <w:sz w:val="24"/>
                <w:szCs w:val="24"/>
              </w:rPr>
            </w:pPr>
            <w:r>
              <w:rPr>
                <w:rFonts w:hint="eastAsia" w:ascii="仿宋" w:hAnsi="仿宋" w:eastAsia="仿宋" w:cs="仿宋_GB2312"/>
                <w:color w:val="000000"/>
                <w:sz w:val="24"/>
                <w:szCs w:val="24"/>
              </w:rPr>
              <w:t>承重的主要结构为钢筋砼和机砖、预制板或现浇屋顶、外墙37cm、塑钢门窗齐全、普通照明、室内墙面刮白、地面80cm玻化砖以下。（外墙24cm</w:t>
            </w:r>
            <w:r>
              <w:rPr>
                <w:rFonts w:hint="eastAsia" w:ascii="仿宋" w:hAnsi="仿宋" w:eastAsia="仿宋" w:cs="黑体"/>
                <w:color w:val="000000"/>
                <w:sz w:val="24"/>
                <w:szCs w:val="24"/>
              </w:rPr>
              <w:t>补偿标准</w:t>
            </w:r>
            <w:r>
              <w:rPr>
                <w:rFonts w:hint="eastAsia" w:ascii="仿宋" w:hAnsi="仿宋" w:eastAsia="仿宋" w:cs="仿宋_GB2312"/>
                <w:color w:val="000000"/>
                <w:sz w:val="24"/>
                <w:szCs w:val="24"/>
              </w:rPr>
              <w:t>下调10%）</w:t>
            </w: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1320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3.0-3.2米</w:t>
            </w:r>
          </w:p>
        </w:tc>
        <w:tc>
          <w:tcPr>
            <w:tcW w:w="4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黑体"/>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1260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2.8-3.0米</w:t>
            </w:r>
          </w:p>
        </w:tc>
        <w:tc>
          <w:tcPr>
            <w:tcW w:w="4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黑体"/>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2.6-2.8米</w:t>
            </w:r>
          </w:p>
        </w:tc>
        <w:tc>
          <w:tcPr>
            <w:tcW w:w="4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黑体"/>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2.2-2.6米</w:t>
            </w:r>
          </w:p>
        </w:tc>
        <w:tc>
          <w:tcPr>
            <w:tcW w:w="4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黑体"/>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restart"/>
            <w:tcBorders>
              <w:top w:val="single" w:color="auto" w:sz="4" w:space="0"/>
              <w:left w:val="single" w:color="auto" w:sz="4" w:space="0"/>
              <w:bottom w:val="single" w:color="auto" w:sz="4" w:space="0"/>
              <w:right w:val="single" w:color="auto" w:sz="4" w:space="0"/>
            </w:tcBorders>
            <w:vAlign w:val="center"/>
          </w:tcPr>
          <w:p>
            <w:pPr>
              <w:pStyle w:val="3"/>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砖木起脊主房</w:t>
            </w: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3.2米以上</w:t>
            </w:r>
          </w:p>
        </w:tc>
        <w:tc>
          <w:tcPr>
            <w:tcW w:w="4519" w:type="dxa"/>
            <w:vMerge w:val="restart"/>
            <w:tcBorders>
              <w:top w:val="single" w:color="auto" w:sz="4" w:space="0"/>
              <w:left w:val="single" w:color="auto" w:sz="4" w:space="0"/>
              <w:bottom w:val="single" w:color="auto" w:sz="4" w:space="0"/>
              <w:right w:val="single" w:color="auto" w:sz="4" w:space="0"/>
            </w:tcBorders>
            <w:vAlign w:val="center"/>
          </w:tcPr>
          <w:p>
            <w:pPr>
              <w:pStyle w:val="3"/>
              <w:spacing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承重的主要结构为钢筋砼和机砖、椽檩草泥屋顶、外墙37cm、塑钢门窗齐全、普通照明、室内墙面刮白、地面80cm玻化砖以下。（外墙24cm</w:t>
            </w:r>
            <w:r>
              <w:rPr>
                <w:rFonts w:hint="eastAsia" w:ascii="仿宋" w:hAnsi="仿宋" w:eastAsia="仿宋" w:cs="黑体"/>
                <w:color w:val="000000"/>
                <w:sz w:val="24"/>
                <w:szCs w:val="24"/>
              </w:rPr>
              <w:t>补偿标准</w:t>
            </w:r>
            <w:r>
              <w:rPr>
                <w:rFonts w:hint="eastAsia" w:ascii="仿宋" w:hAnsi="仿宋" w:eastAsia="仿宋" w:cs="仿宋_GB2312"/>
                <w:color w:val="000000"/>
                <w:sz w:val="24"/>
                <w:szCs w:val="24"/>
              </w:rPr>
              <w:t>下调10%）</w:t>
            </w: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3.0-3.2米</w:t>
            </w:r>
          </w:p>
        </w:tc>
        <w:tc>
          <w:tcPr>
            <w:tcW w:w="4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2.8-3.0米</w:t>
            </w:r>
          </w:p>
        </w:tc>
        <w:tc>
          <w:tcPr>
            <w:tcW w:w="4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2.6-2.8米</w:t>
            </w:r>
          </w:p>
        </w:tc>
        <w:tc>
          <w:tcPr>
            <w:tcW w:w="4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2.2-2.6米</w:t>
            </w:r>
          </w:p>
        </w:tc>
        <w:tc>
          <w:tcPr>
            <w:tcW w:w="4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砖墙彩钢顶</w:t>
            </w:r>
          </w:p>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主房</w:t>
            </w: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2.8米以上</w:t>
            </w:r>
          </w:p>
        </w:tc>
        <w:tc>
          <w:tcPr>
            <w:tcW w:w="4519"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承重的主要结构为机制砖、复合彩钢顶、外墙37cm、塑钢门窗齐全、普通照明，室内墙面刮白、地面80cm玻化砖以下。（外墙24cm</w:t>
            </w:r>
            <w:r>
              <w:rPr>
                <w:rFonts w:hint="eastAsia" w:ascii="仿宋" w:hAnsi="仿宋" w:eastAsia="仿宋" w:cs="黑体"/>
                <w:color w:val="000000"/>
                <w:sz w:val="24"/>
                <w:szCs w:val="24"/>
              </w:rPr>
              <w:t>补偿标准</w:t>
            </w:r>
            <w:r>
              <w:rPr>
                <w:rFonts w:hint="eastAsia" w:ascii="仿宋" w:hAnsi="仿宋" w:eastAsia="仿宋" w:cs="仿宋_GB2312"/>
                <w:color w:val="000000"/>
                <w:sz w:val="24"/>
                <w:szCs w:val="24"/>
              </w:rPr>
              <w:t>下调10%）</w:t>
            </w: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2.6-2.8米</w:t>
            </w:r>
          </w:p>
        </w:tc>
        <w:tc>
          <w:tcPr>
            <w:tcW w:w="4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2.2-2.6米</w:t>
            </w:r>
          </w:p>
        </w:tc>
        <w:tc>
          <w:tcPr>
            <w:tcW w:w="4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砖木主平房</w:t>
            </w: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2.8米以上</w:t>
            </w:r>
          </w:p>
        </w:tc>
        <w:tc>
          <w:tcPr>
            <w:tcW w:w="4519"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rPr>
                <w:rFonts w:ascii="仿宋" w:hAnsi="仿宋" w:eastAsia="仿宋" w:cs="仿宋_GB2312"/>
                <w:color w:val="000000"/>
                <w:sz w:val="24"/>
                <w:szCs w:val="24"/>
              </w:rPr>
            </w:pPr>
            <w:r>
              <w:rPr>
                <w:rFonts w:hint="eastAsia" w:ascii="仿宋" w:hAnsi="仿宋" w:eastAsia="仿宋" w:cs="仿宋_GB2312"/>
                <w:color w:val="000000"/>
                <w:sz w:val="24"/>
                <w:szCs w:val="24"/>
              </w:rPr>
              <w:t>承重的主要结构机制砖、椽檩草泥屋顶、外墙37cm、塑钢门窗齐全、普通照明、室内墙面刮白、地面80cm玻化砖以下。（外墙24cm</w:t>
            </w:r>
            <w:r>
              <w:rPr>
                <w:rFonts w:hint="eastAsia" w:ascii="仿宋" w:hAnsi="仿宋" w:eastAsia="仿宋" w:cs="黑体"/>
                <w:color w:val="000000"/>
                <w:sz w:val="24"/>
                <w:szCs w:val="24"/>
              </w:rPr>
              <w:t>补偿标准</w:t>
            </w:r>
            <w:r>
              <w:rPr>
                <w:rFonts w:hint="eastAsia" w:ascii="仿宋" w:hAnsi="仿宋" w:eastAsia="仿宋" w:cs="仿宋_GB2312"/>
                <w:color w:val="000000"/>
                <w:sz w:val="24"/>
                <w:szCs w:val="24"/>
              </w:rPr>
              <w:t>下调10%）</w:t>
            </w: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2.6-2.8米</w:t>
            </w:r>
          </w:p>
        </w:tc>
        <w:tc>
          <w:tcPr>
            <w:tcW w:w="4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2.2-2.6米</w:t>
            </w:r>
          </w:p>
        </w:tc>
        <w:tc>
          <w:tcPr>
            <w:tcW w:w="4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半砖木主平房</w:t>
            </w: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2.8米以上</w:t>
            </w:r>
          </w:p>
        </w:tc>
        <w:tc>
          <w:tcPr>
            <w:tcW w:w="4519"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内墙为土坯、外墙为砖包门面、椽檩屋顶、外墙水泥勾缝、内墙草泥拉底、塑钢门窗齐全、普通照明、室内墙面刮白、地面80cm玻化砖以下。</w:t>
            </w: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2.6-2.8米</w:t>
            </w:r>
          </w:p>
        </w:tc>
        <w:tc>
          <w:tcPr>
            <w:tcW w:w="4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2.2-2.6米</w:t>
            </w:r>
          </w:p>
        </w:tc>
        <w:tc>
          <w:tcPr>
            <w:tcW w:w="4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766"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土木主平房</w:t>
            </w: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2.8米以上</w:t>
            </w:r>
          </w:p>
        </w:tc>
        <w:tc>
          <w:tcPr>
            <w:tcW w:w="4519"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土坯或土打外墙、草泥抹面、椽檩平顶、一坡出水、室内外门窗齐全、内墙泥沙抹面刷大白、达到住人条件。</w:t>
            </w: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2.6-2.8米</w:t>
            </w:r>
          </w:p>
        </w:tc>
        <w:tc>
          <w:tcPr>
            <w:tcW w:w="4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2.2-2.6米</w:t>
            </w:r>
          </w:p>
        </w:tc>
        <w:tc>
          <w:tcPr>
            <w:tcW w:w="4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砖混平凉房</w:t>
            </w: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2.2米以上</w:t>
            </w:r>
          </w:p>
        </w:tc>
        <w:tc>
          <w:tcPr>
            <w:tcW w:w="451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承重的主要结构为钢筋砼和机砖、预制板或现浇屋顶、外墙24cm、塑钢门窗齐全、普通照明、室内墙面刮白、地面60cm玻化砖以下。</w:t>
            </w: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砖木起脊凉房</w:t>
            </w: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2.2米以上</w:t>
            </w:r>
          </w:p>
        </w:tc>
        <w:tc>
          <w:tcPr>
            <w:tcW w:w="451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主承重的主要结构为钢筋砼和机砖、椽檩草泥屋顶、外墙24cm、塑钢门窗齐全、普通照明、室内墙面刮白、地面60cm玻化砖以下。</w:t>
            </w: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砖木平凉房</w:t>
            </w: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2.2米以上</w:t>
            </w:r>
          </w:p>
        </w:tc>
        <w:tc>
          <w:tcPr>
            <w:tcW w:w="451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主承重的主要结构机制砖、椽檩草泥屋顶、外墙24cm、塑钢门窗齐全、普通照明、室内墙面刮白、地面60cm玻化砖以下。</w:t>
            </w: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半砖木平凉房</w:t>
            </w: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2.2米以上</w:t>
            </w:r>
          </w:p>
        </w:tc>
        <w:tc>
          <w:tcPr>
            <w:tcW w:w="451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内墙为土坯、外墙为砖包门面、椽檩屋顶、外墙水泥勾缝、内墙草泥拉底、塑钢门窗齐全、普通照明、室内墙面刮白、地面60cm玻化砖以下。</w:t>
            </w: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土木平凉房</w:t>
            </w: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2.2米以上</w:t>
            </w:r>
          </w:p>
        </w:tc>
        <w:tc>
          <w:tcPr>
            <w:tcW w:w="451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内墙泥沙抹面拉底、屋顶完整。</w:t>
            </w: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彩钢房</w:t>
            </w: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钢结构</w:t>
            </w:r>
          </w:p>
        </w:tc>
        <w:tc>
          <w:tcPr>
            <w:tcW w:w="451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简易</w:t>
            </w:r>
          </w:p>
        </w:tc>
        <w:tc>
          <w:tcPr>
            <w:tcW w:w="451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p>
        </w:tc>
        <w:tc>
          <w:tcPr>
            <w:tcW w:w="1439"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060" w:type="dxa"/>
            <w:gridSpan w:val="4"/>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rPr>
                <w:rFonts w:ascii="仿宋" w:hAnsi="仿宋" w:eastAsia="仿宋" w:cs="仿宋_GB2312"/>
                <w:color w:val="000000"/>
                <w:sz w:val="24"/>
                <w:szCs w:val="24"/>
              </w:rPr>
            </w:pPr>
            <w:r>
              <w:rPr>
                <w:rFonts w:hint="eastAsia" w:ascii="仿宋" w:hAnsi="仿宋" w:eastAsia="仿宋" w:cs="仿宋_GB2312"/>
                <w:color w:val="000000"/>
                <w:sz w:val="24"/>
                <w:szCs w:val="24"/>
              </w:rPr>
              <w:t>备注：1.室内二次装修由第三方机构进行评估定价补偿；</w:t>
            </w:r>
          </w:p>
          <w:p>
            <w:pPr>
              <w:pStyle w:val="3"/>
              <w:spacing w:before="0" w:beforeAutospacing="0" w:after="0" w:line="400" w:lineRule="exact"/>
              <w:rPr>
                <w:rFonts w:hint="eastAsia" w:ascii="仿宋" w:hAnsi="仿宋" w:eastAsia="仿宋" w:cs="仿宋_GB2312"/>
                <w:color w:val="000000"/>
                <w:sz w:val="24"/>
                <w:szCs w:val="24"/>
              </w:rPr>
            </w:pPr>
            <w:r>
              <w:rPr>
                <w:rFonts w:hint="eastAsia" w:ascii="仿宋" w:hAnsi="仿宋" w:eastAsia="仿宋" w:cs="仿宋_GB2312"/>
                <w:color w:val="000000"/>
                <w:sz w:val="24"/>
                <w:szCs w:val="24"/>
              </w:rPr>
              <w:t xml:space="preserve">      2.达不到住人条件房屋由第三方机构按实际进行评估；  </w:t>
            </w:r>
          </w:p>
          <w:p>
            <w:pPr>
              <w:pStyle w:val="3"/>
              <w:spacing w:before="0" w:beforeAutospacing="0" w:after="0" w:line="400" w:lineRule="exact"/>
              <w:ind w:firstLine="720" w:firstLineChars="300"/>
              <w:rPr>
                <w:rFonts w:ascii="仿宋" w:hAnsi="仿宋" w:eastAsia="仿宋" w:cs="仿宋_GB2312"/>
                <w:color w:val="000000"/>
                <w:sz w:val="24"/>
                <w:szCs w:val="24"/>
              </w:rPr>
            </w:pPr>
            <w:r>
              <w:rPr>
                <w:rFonts w:hint="eastAsia" w:ascii="仿宋" w:hAnsi="仿宋" w:eastAsia="仿宋" w:cs="仿宋_GB2312"/>
                <w:color w:val="000000"/>
                <w:sz w:val="24"/>
                <w:szCs w:val="24"/>
              </w:rPr>
              <w:t>3.房屋内放入的菌棒等一切种养殖经济作物一律不予补偿。</w:t>
            </w:r>
          </w:p>
        </w:tc>
      </w:tr>
    </w:tbl>
    <w:p>
      <w:pPr>
        <w:pStyle w:val="3"/>
        <w:spacing w:before="0" w:beforeAutospacing="0" w:afterLines="50" w:line="400" w:lineRule="exact"/>
        <w:rPr>
          <w:rFonts w:hint="eastAsia" w:ascii="黑体" w:hAnsi="黑体" w:eastAsia="黑体" w:cs="黑体"/>
          <w:b/>
          <w:bCs/>
          <w:color w:val="000000"/>
          <w:sz w:val="28"/>
          <w:szCs w:val="28"/>
        </w:rPr>
      </w:pPr>
    </w:p>
    <w:p>
      <w:pPr>
        <w:pStyle w:val="3"/>
        <w:spacing w:before="0" w:beforeAutospacing="0" w:afterLines="50" w:line="400" w:lineRule="exact"/>
        <w:rPr>
          <w:rFonts w:hint="eastAsia" w:ascii="黑体" w:hAnsi="黑体" w:eastAsia="黑体" w:cs="黑体"/>
          <w:b/>
          <w:bCs/>
          <w:color w:val="000000"/>
          <w:sz w:val="28"/>
          <w:szCs w:val="28"/>
        </w:rPr>
      </w:pPr>
    </w:p>
    <w:p>
      <w:pPr>
        <w:pStyle w:val="3"/>
        <w:spacing w:before="0" w:beforeAutospacing="0" w:afterLines="50" w:line="400" w:lineRule="exact"/>
        <w:rPr>
          <w:rFonts w:hint="eastAsia" w:ascii="黑体" w:hAnsi="黑体" w:eastAsia="黑体" w:cs="黑体"/>
          <w:b/>
          <w:bCs/>
          <w:color w:val="000000"/>
          <w:sz w:val="28"/>
          <w:szCs w:val="28"/>
        </w:rPr>
      </w:pPr>
    </w:p>
    <w:p>
      <w:pPr>
        <w:pStyle w:val="3"/>
        <w:spacing w:before="0" w:beforeAutospacing="0" w:afterLines="50" w:line="400" w:lineRule="exact"/>
        <w:rPr>
          <w:rFonts w:hint="eastAsia" w:ascii="黑体" w:hAnsi="黑体" w:eastAsia="黑体" w:cs="黑体"/>
          <w:b/>
          <w:bCs/>
          <w:color w:val="000000"/>
          <w:sz w:val="28"/>
          <w:szCs w:val="28"/>
        </w:rPr>
      </w:pPr>
    </w:p>
    <w:p>
      <w:pPr>
        <w:pStyle w:val="3"/>
        <w:spacing w:before="0" w:beforeAutospacing="0" w:afterLines="50" w:line="400" w:lineRule="exact"/>
        <w:rPr>
          <w:rFonts w:hint="eastAsia" w:ascii="黑体" w:hAnsi="黑体" w:eastAsia="黑体" w:cs="黑体"/>
          <w:b/>
          <w:bCs/>
          <w:color w:val="000000"/>
          <w:sz w:val="28"/>
          <w:szCs w:val="28"/>
        </w:rPr>
      </w:pPr>
    </w:p>
    <w:p>
      <w:pPr>
        <w:pStyle w:val="3"/>
        <w:spacing w:before="0" w:beforeAutospacing="0" w:afterLines="50" w:line="400" w:lineRule="exact"/>
        <w:rPr>
          <w:rFonts w:hint="eastAsia" w:ascii="黑体" w:hAnsi="黑体" w:eastAsia="黑体" w:cs="黑体"/>
          <w:b/>
          <w:bCs/>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r>
        <w:rPr>
          <w:rFonts w:hint="eastAsia" w:ascii="黑体" w:hAnsi="黑体" w:eastAsia="黑体" w:cs="黑体"/>
          <w:color w:val="000000"/>
          <w:sz w:val="28"/>
          <w:szCs w:val="28"/>
        </w:rPr>
        <w:t>附件3</w:t>
      </w:r>
    </w:p>
    <w:p>
      <w:pPr>
        <w:pStyle w:val="3"/>
        <w:spacing w:before="0" w:beforeAutospacing="0" w:afterLines="50" w:line="4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附属设施补偿标准</w:t>
      </w:r>
    </w:p>
    <w:tbl>
      <w:tblPr>
        <w:tblStyle w:val="8"/>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1805"/>
        <w:gridCol w:w="1456"/>
        <w:gridCol w:w="1537"/>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pPr>
              <w:pStyle w:val="3"/>
              <w:spacing w:line="42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项目名称</w:t>
            </w:r>
          </w:p>
        </w:tc>
        <w:tc>
          <w:tcPr>
            <w:tcW w:w="1805" w:type="dxa"/>
            <w:tcBorders>
              <w:top w:val="single" w:color="auto" w:sz="4" w:space="0"/>
              <w:left w:val="single" w:color="auto" w:sz="4" w:space="0"/>
              <w:bottom w:val="single" w:color="auto" w:sz="4" w:space="0"/>
              <w:right w:val="single" w:color="auto" w:sz="4" w:space="0"/>
            </w:tcBorders>
            <w:vAlign w:val="center"/>
          </w:tcPr>
          <w:p>
            <w:pPr>
              <w:pStyle w:val="3"/>
              <w:spacing w:line="42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补偿标准</w:t>
            </w:r>
          </w:p>
        </w:tc>
        <w:tc>
          <w:tcPr>
            <w:tcW w:w="1456" w:type="dxa"/>
            <w:tcBorders>
              <w:top w:val="single" w:color="auto" w:sz="4" w:space="0"/>
              <w:left w:val="single" w:color="auto" w:sz="4" w:space="0"/>
              <w:bottom w:val="single" w:color="auto" w:sz="4" w:space="0"/>
              <w:right w:val="single" w:color="auto" w:sz="4" w:space="0"/>
            </w:tcBorders>
            <w:vAlign w:val="center"/>
          </w:tcPr>
          <w:p>
            <w:pPr>
              <w:pStyle w:val="3"/>
              <w:spacing w:line="42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项目名称</w:t>
            </w:r>
          </w:p>
        </w:tc>
        <w:tc>
          <w:tcPr>
            <w:tcW w:w="1537" w:type="dxa"/>
            <w:tcBorders>
              <w:top w:val="single" w:color="auto" w:sz="4" w:space="0"/>
              <w:left w:val="single" w:color="auto" w:sz="4" w:space="0"/>
              <w:bottom w:val="single" w:color="auto" w:sz="4" w:space="0"/>
              <w:right w:val="single" w:color="auto" w:sz="4" w:space="0"/>
            </w:tcBorders>
            <w:vAlign w:val="center"/>
          </w:tcPr>
          <w:p>
            <w:pPr>
              <w:pStyle w:val="3"/>
              <w:spacing w:line="42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补偿标准</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line="42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项目名称</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line="42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露天灶</w:t>
            </w:r>
          </w:p>
        </w:tc>
        <w:tc>
          <w:tcPr>
            <w:tcW w:w="180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500元/个</w:t>
            </w:r>
          </w:p>
        </w:tc>
        <w:tc>
          <w:tcPr>
            <w:tcW w:w="145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土青贮池</w:t>
            </w:r>
          </w:p>
        </w:tc>
        <w:tc>
          <w:tcPr>
            <w:tcW w:w="153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10元/立方米</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机井（＜50米）</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230元/米（不含配套）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铁大门</w:t>
            </w:r>
          </w:p>
        </w:tc>
        <w:tc>
          <w:tcPr>
            <w:tcW w:w="180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半包：200元/平米</w:t>
            </w:r>
          </w:p>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全包：250元/平米</w:t>
            </w:r>
          </w:p>
        </w:tc>
        <w:tc>
          <w:tcPr>
            <w:tcW w:w="145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砖混青贮池</w:t>
            </w:r>
          </w:p>
        </w:tc>
        <w:tc>
          <w:tcPr>
            <w:tcW w:w="153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180元/立方米</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机井（≥50米）</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350元/米（不含配套）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5"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清水墙厕所</w:t>
            </w:r>
          </w:p>
        </w:tc>
        <w:tc>
          <w:tcPr>
            <w:tcW w:w="1805"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320元/平米</w:t>
            </w:r>
          </w:p>
        </w:tc>
        <w:tc>
          <w:tcPr>
            <w:tcW w:w="145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240砖墙</w:t>
            </w:r>
          </w:p>
        </w:tc>
        <w:tc>
          <w:tcPr>
            <w:tcW w:w="153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320元/平米</w:t>
            </w:r>
          </w:p>
        </w:tc>
        <w:tc>
          <w:tcPr>
            <w:tcW w:w="1510"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大口井（直径＞1.2米）</w:t>
            </w:r>
          </w:p>
        </w:tc>
        <w:tc>
          <w:tcPr>
            <w:tcW w:w="1510"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1200元/米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370砖墙</w:t>
            </w:r>
          </w:p>
        </w:tc>
        <w:tc>
          <w:tcPr>
            <w:tcW w:w="153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390元/平米</w:t>
            </w:r>
          </w:p>
        </w:tc>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砌块墙</w:t>
            </w:r>
          </w:p>
        </w:tc>
        <w:tc>
          <w:tcPr>
            <w:tcW w:w="153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360元/立方米</w:t>
            </w:r>
          </w:p>
        </w:tc>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水泥抹面厕所</w:t>
            </w:r>
          </w:p>
        </w:tc>
        <w:tc>
          <w:tcPr>
            <w:tcW w:w="180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350元/平米</w:t>
            </w:r>
          </w:p>
        </w:tc>
        <w:tc>
          <w:tcPr>
            <w:tcW w:w="145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石头围墙</w:t>
            </w:r>
          </w:p>
        </w:tc>
        <w:tc>
          <w:tcPr>
            <w:tcW w:w="153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80元/平米</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渗水井</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混凝土台阶</w:t>
            </w:r>
          </w:p>
        </w:tc>
        <w:tc>
          <w:tcPr>
            <w:tcW w:w="180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450元/立方米</w:t>
            </w:r>
          </w:p>
        </w:tc>
        <w:tc>
          <w:tcPr>
            <w:tcW w:w="145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土围墙</w:t>
            </w:r>
          </w:p>
        </w:tc>
        <w:tc>
          <w:tcPr>
            <w:tcW w:w="153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10元/平米</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压水井</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2600元/眼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3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预制厕所</w:t>
            </w:r>
          </w:p>
        </w:tc>
        <w:tc>
          <w:tcPr>
            <w:tcW w:w="180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3200元/个</w:t>
            </w:r>
          </w:p>
        </w:tc>
        <w:tc>
          <w:tcPr>
            <w:tcW w:w="145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柳围栏</w:t>
            </w:r>
          </w:p>
        </w:tc>
        <w:tc>
          <w:tcPr>
            <w:tcW w:w="153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1元/米</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砖、石头、水泥、玻璃钢预制化粪池</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土厕所</w:t>
            </w:r>
          </w:p>
        </w:tc>
        <w:tc>
          <w:tcPr>
            <w:tcW w:w="180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500元/个</w:t>
            </w:r>
          </w:p>
        </w:tc>
        <w:tc>
          <w:tcPr>
            <w:tcW w:w="145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铁丝围栏（高≥1米）</w:t>
            </w:r>
          </w:p>
        </w:tc>
        <w:tc>
          <w:tcPr>
            <w:tcW w:w="153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6元/米</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土草房</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500元/个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外墙面瓷砖</w:t>
            </w:r>
          </w:p>
        </w:tc>
        <w:tc>
          <w:tcPr>
            <w:tcW w:w="180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50元/平米</w:t>
            </w:r>
          </w:p>
        </w:tc>
        <w:tc>
          <w:tcPr>
            <w:tcW w:w="145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水泥杆刺丝网围栏</w:t>
            </w:r>
          </w:p>
        </w:tc>
        <w:tc>
          <w:tcPr>
            <w:tcW w:w="153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18元/米</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暧气</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铸铁：50元/平方米</w:t>
            </w:r>
          </w:p>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采暖：60元/平方米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砖拱菜窖（预制或现浇顶）</w:t>
            </w:r>
          </w:p>
        </w:tc>
        <w:tc>
          <w:tcPr>
            <w:tcW w:w="180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420元/立方米</w:t>
            </w:r>
          </w:p>
        </w:tc>
        <w:tc>
          <w:tcPr>
            <w:tcW w:w="145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砖硬化院</w:t>
            </w:r>
          </w:p>
        </w:tc>
        <w:tc>
          <w:tcPr>
            <w:tcW w:w="153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35元/平米</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铁狗笼（高1.6米以上）</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150元/平米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土菜窖</w:t>
            </w:r>
          </w:p>
        </w:tc>
        <w:tc>
          <w:tcPr>
            <w:tcW w:w="180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500元/个</w:t>
            </w:r>
          </w:p>
        </w:tc>
        <w:tc>
          <w:tcPr>
            <w:tcW w:w="145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水泥砖硬化院</w:t>
            </w:r>
          </w:p>
        </w:tc>
        <w:tc>
          <w:tcPr>
            <w:tcW w:w="153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65元/平米</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铁鸡笼（钢架铁丝网）</w:t>
            </w:r>
          </w:p>
        </w:tc>
        <w:tc>
          <w:tcPr>
            <w:tcW w:w="151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2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10元/平米</w:t>
            </w:r>
          </w:p>
        </w:tc>
      </w:tr>
    </w:tbl>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r>
        <w:rPr>
          <w:rFonts w:hint="eastAsia" w:ascii="黑体" w:hAnsi="黑体" w:eastAsia="黑体" w:cs="黑体"/>
          <w:color w:val="000000"/>
          <w:sz w:val="28"/>
          <w:szCs w:val="28"/>
        </w:rPr>
        <w:t>附件4</w:t>
      </w:r>
    </w:p>
    <w:p>
      <w:pPr>
        <w:pStyle w:val="3"/>
        <w:spacing w:before="0" w:beforeAutospacing="0" w:afterLines="50" w:line="400" w:lineRule="exact"/>
        <w:jc w:val="center"/>
        <w:rPr>
          <w:rFonts w:hint="eastAsia" w:ascii="仿宋_GB2312" w:hAnsi="仿宋_GB2312" w:eastAsia="仿宋_GB2312" w:cs="仿宋_GB2312"/>
          <w:color w:val="000000"/>
          <w:sz w:val="24"/>
          <w:szCs w:val="24"/>
        </w:rPr>
      </w:pPr>
      <w:r>
        <w:rPr>
          <w:rFonts w:hint="eastAsia" w:ascii="方正小标宋简体" w:hAnsi="方正小标宋简体" w:eastAsia="方正小标宋简体" w:cs="方正小标宋简体"/>
          <w:color w:val="000000"/>
          <w:sz w:val="36"/>
          <w:szCs w:val="36"/>
        </w:rPr>
        <w:t>养殖棚圈补偿标准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3245"/>
        <w:gridCol w:w="1444"/>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_GB2312" w:hAnsi="仿宋_GB2312" w:eastAsia="仿宋_GB2312" w:cs="仿宋_GB2312"/>
                <w:color w:val="000000"/>
                <w:sz w:val="24"/>
                <w:szCs w:val="24"/>
              </w:rPr>
            </w:pPr>
            <w:r>
              <w:rPr>
                <w:rFonts w:hint="eastAsia" w:ascii="黑体" w:hAnsi="黑体" w:eastAsia="黑体" w:cs="黑体"/>
                <w:color w:val="000000"/>
                <w:sz w:val="24"/>
                <w:szCs w:val="24"/>
              </w:rPr>
              <w:t>项目名称</w:t>
            </w:r>
          </w:p>
        </w:tc>
        <w:tc>
          <w:tcPr>
            <w:tcW w:w="3470"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_GB2312" w:hAnsi="仿宋_GB2312" w:eastAsia="仿宋_GB2312" w:cs="仿宋_GB2312"/>
                <w:color w:val="000000"/>
                <w:sz w:val="24"/>
                <w:szCs w:val="24"/>
              </w:rPr>
            </w:pPr>
            <w:r>
              <w:rPr>
                <w:rFonts w:hint="eastAsia" w:ascii="黑体" w:hAnsi="黑体" w:eastAsia="黑体" w:cs="黑体"/>
                <w:color w:val="000000"/>
                <w:sz w:val="24"/>
                <w:szCs w:val="24"/>
              </w:rPr>
              <w:t>标准条件</w:t>
            </w:r>
          </w:p>
        </w:tc>
        <w:tc>
          <w:tcPr>
            <w:tcW w:w="15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黑体" w:hAnsi="黑体" w:eastAsia="黑体" w:cs="黑体"/>
                <w:color w:val="000000"/>
                <w:sz w:val="24"/>
                <w:szCs w:val="24"/>
              </w:rPr>
              <w:t>补偿标准</w:t>
            </w:r>
          </w:p>
        </w:tc>
        <w:tc>
          <w:tcPr>
            <w:tcW w:w="2658"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tcBorders>
              <w:top w:val="single" w:color="auto" w:sz="4" w:space="0"/>
              <w:left w:val="single" w:color="auto" w:sz="4" w:space="0"/>
              <w:bottom w:val="single" w:color="auto" w:sz="4" w:space="0"/>
              <w:right w:val="single" w:color="auto" w:sz="4" w:space="0"/>
            </w:tcBorders>
            <w:vAlign w:val="center"/>
          </w:tcPr>
          <w:p>
            <w:pPr>
              <w:pStyle w:val="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猪舍</w:t>
            </w:r>
          </w:p>
        </w:tc>
        <w:tc>
          <w:tcPr>
            <w:tcW w:w="3470"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砖砌墙、(配套设施齐全，有中间隔墙、小门及围墙）</w:t>
            </w:r>
          </w:p>
        </w:tc>
        <w:tc>
          <w:tcPr>
            <w:tcW w:w="1520"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280元/平米</w:t>
            </w:r>
          </w:p>
        </w:tc>
        <w:tc>
          <w:tcPr>
            <w:tcW w:w="2658"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按猪舍椽、檩、柳芭抹草泥屋顶面积计算（院墙另计）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石头砌墙、(配套设施齐全，有中间隔墙、小门及围墙）</w:t>
            </w:r>
          </w:p>
        </w:tc>
        <w:tc>
          <w:tcPr>
            <w:tcW w:w="152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200元/平米</w:t>
            </w:r>
          </w:p>
        </w:tc>
        <w:tc>
          <w:tcPr>
            <w:tcW w:w="265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按猪舍椽、檩、柳芭抹草泥屋顶面积计算（院墙另计）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Cs w:val="21"/>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简易猪舍（高1.2米左右）</w:t>
            </w:r>
          </w:p>
        </w:tc>
        <w:tc>
          <w:tcPr>
            <w:tcW w:w="152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150元/平米</w:t>
            </w:r>
          </w:p>
        </w:tc>
        <w:tc>
          <w:tcPr>
            <w:tcW w:w="265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有顶按屋顶面积计算，无顶按围墙面积计算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牛圈</w:t>
            </w:r>
          </w:p>
        </w:tc>
        <w:tc>
          <w:tcPr>
            <w:tcW w:w="347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砖砌墙（檐高1.8米以上）</w:t>
            </w:r>
          </w:p>
        </w:tc>
        <w:tc>
          <w:tcPr>
            <w:tcW w:w="152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280元/平米</w:t>
            </w:r>
          </w:p>
        </w:tc>
        <w:tc>
          <w:tcPr>
            <w:tcW w:w="265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按牛圈椽、檩、柳芭抹草泥屋顶面积计算（院墙另计）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羊圈</w:t>
            </w:r>
          </w:p>
        </w:tc>
        <w:tc>
          <w:tcPr>
            <w:tcW w:w="347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Cs w:val="21"/>
              </w:rPr>
              <w:t>砖砌墙（檐高1.8米以下）</w:t>
            </w:r>
          </w:p>
        </w:tc>
        <w:tc>
          <w:tcPr>
            <w:tcW w:w="152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Cs w:val="21"/>
              </w:rPr>
              <w:t>200元/平米</w:t>
            </w:r>
          </w:p>
        </w:tc>
        <w:tc>
          <w:tcPr>
            <w:tcW w:w="265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Cs w:val="21"/>
              </w:rPr>
              <w:t>按羊圈椽、檩、柳芭抹草泥屋顶面积计算（院墙另计）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szCs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Cs w:val="21"/>
              </w:rPr>
              <w:t>简易羊圈（高1.6米左右）</w:t>
            </w:r>
          </w:p>
        </w:tc>
        <w:tc>
          <w:tcPr>
            <w:tcW w:w="152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Cs w:val="21"/>
              </w:rPr>
              <w:t>150元/平米</w:t>
            </w:r>
          </w:p>
        </w:tc>
        <w:tc>
          <w:tcPr>
            <w:tcW w:w="265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Cs w:val="21"/>
              </w:rPr>
              <w:t>有顶按屋顶面积计算，无顶按围墙面积计算。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Cs w:val="21"/>
              </w:rPr>
              <w:t>鸽笼</w:t>
            </w:r>
          </w:p>
        </w:tc>
        <w:tc>
          <w:tcPr>
            <w:tcW w:w="347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铁网带钢架</w:t>
            </w:r>
          </w:p>
        </w:tc>
        <w:tc>
          <w:tcPr>
            <w:tcW w:w="152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100元/平米</w:t>
            </w:r>
          </w:p>
        </w:tc>
        <w:tc>
          <w:tcPr>
            <w:tcW w:w="265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szCs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铁网带钢架单彩顶</w:t>
            </w:r>
          </w:p>
        </w:tc>
        <w:tc>
          <w:tcPr>
            <w:tcW w:w="152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150元/平米</w:t>
            </w:r>
          </w:p>
        </w:tc>
        <w:tc>
          <w:tcPr>
            <w:tcW w:w="265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szCs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单彩钢一面及顶</w:t>
            </w:r>
          </w:p>
        </w:tc>
        <w:tc>
          <w:tcPr>
            <w:tcW w:w="152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250元/平米</w:t>
            </w:r>
          </w:p>
        </w:tc>
        <w:tc>
          <w:tcPr>
            <w:tcW w:w="265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szCs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单彩钢三面及顶</w:t>
            </w:r>
          </w:p>
        </w:tc>
        <w:tc>
          <w:tcPr>
            <w:tcW w:w="152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300元/平米</w:t>
            </w:r>
          </w:p>
        </w:tc>
        <w:tc>
          <w:tcPr>
            <w:tcW w:w="265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szCs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复合彩钢一面及顶</w:t>
            </w:r>
          </w:p>
        </w:tc>
        <w:tc>
          <w:tcPr>
            <w:tcW w:w="152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350元/平米</w:t>
            </w:r>
          </w:p>
        </w:tc>
        <w:tc>
          <w:tcPr>
            <w:tcW w:w="265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szCs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复合彩钢三面及顶</w:t>
            </w:r>
          </w:p>
        </w:tc>
        <w:tc>
          <w:tcPr>
            <w:tcW w:w="152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400元/平米</w:t>
            </w:r>
          </w:p>
        </w:tc>
        <w:tc>
          <w:tcPr>
            <w:tcW w:w="265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_GB2312" w:hAnsi="仿宋_GB2312" w:eastAsia="仿宋_GB2312" w:cs="仿宋_GB2312"/>
                <w:color w:val="000000"/>
                <w:szCs w:val="21"/>
              </w:rPr>
            </w:pPr>
          </w:p>
        </w:tc>
      </w:tr>
    </w:tbl>
    <w:p>
      <w:pPr>
        <w:pStyle w:val="3"/>
        <w:spacing w:before="0" w:beforeAutospacing="0" w:afterLines="50" w:line="400" w:lineRule="exact"/>
        <w:rPr>
          <w:rFonts w:hint="eastAsia" w:ascii="黑体" w:hAnsi="黑体" w:eastAsia="黑体" w:cs="黑体"/>
          <w:b/>
          <w:bCs/>
          <w:color w:val="000000"/>
          <w:sz w:val="28"/>
          <w:szCs w:val="28"/>
        </w:rPr>
      </w:pPr>
    </w:p>
    <w:p>
      <w:pPr>
        <w:pStyle w:val="3"/>
        <w:spacing w:before="0" w:beforeAutospacing="0" w:afterLines="50" w:line="400" w:lineRule="exact"/>
        <w:rPr>
          <w:rFonts w:hint="eastAsia" w:ascii="黑体" w:hAnsi="黑体" w:eastAsia="黑体" w:cs="黑体"/>
          <w:b/>
          <w:bCs/>
          <w:color w:val="000000"/>
          <w:sz w:val="28"/>
          <w:szCs w:val="28"/>
        </w:rPr>
      </w:pPr>
    </w:p>
    <w:p>
      <w:pPr>
        <w:pStyle w:val="3"/>
        <w:spacing w:before="0" w:beforeAutospacing="0" w:afterLines="50" w:line="400" w:lineRule="exact"/>
        <w:rPr>
          <w:rFonts w:hint="eastAsia" w:ascii="黑体" w:hAnsi="黑体" w:eastAsia="黑体" w:cs="黑体"/>
          <w:b/>
          <w:bCs/>
          <w:color w:val="000000"/>
          <w:sz w:val="28"/>
          <w:szCs w:val="28"/>
        </w:rPr>
      </w:pPr>
    </w:p>
    <w:p>
      <w:pPr>
        <w:pStyle w:val="3"/>
        <w:spacing w:before="0" w:beforeAutospacing="0" w:afterLines="50" w:line="400" w:lineRule="exact"/>
        <w:rPr>
          <w:rFonts w:hint="eastAsia" w:ascii="黑体" w:hAnsi="黑体" w:eastAsia="黑体" w:cs="黑体"/>
          <w:b/>
          <w:bCs/>
          <w:color w:val="000000"/>
          <w:sz w:val="28"/>
          <w:szCs w:val="28"/>
        </w:rPr>
      </w:pPr>
    </w:p>
    <w:p>
      <w:pPr>
        <w:pStyle w:val="3"/>
        <w:spacing w:before="0" w:beforeAutospacing="0" w:afterLines="50" w:line="400" w:lineRule="exact"/>
        <w:rPr>
          <w:rFonts w:hint="eastAsia" w:ascii="黑体" w:hAnsi="黑体" w:eastAsia="黑体" w:cs="黑体"/>
          <w:b/>
          <w:bCs/>
          <w:color w:val="000000"/>
          <w:sz w:val="28"/>
          <w:szCs w:val="28"/>
        </w:rPr>
      </w:pPr>
    </w:p>
    <w:p>
      <w:pPr>
        <w:pStyle w:val="3"/>
        <w:spacing w:before="0" w:beforeAutospacing="0" w:afterLines="50" w:line="400" w:lineRule="exact"/>
        <w:rPr>
          <w:rFonts w:hint="eastAsia" w:ascii="黑体" w:hAnsi="黑体" w:eastAsia="黑体" w:cs="黑体"/>
          <w:b/>
          <w:bCs/>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r>
        <w:rPr>
          <w:rFonts w:hint="eastAsia" w:ascii="黑体" w:hAnsi="黑体" w:eastAsia="黑体" w:cs="黑体"/>
          <w:color w:val="000000"/>
          <w:sz w:val="28"/>
          <w:szCs w:val="28"/>
        </w:rPr>
        <w:t>附件5</w:t>
      </w:r>
    </w:p>
    <w:p>
      <w:pPr>
        <w:pStyle w:val="3"/>
        <w:spacing w:before="0" w:beforeAutospacing="0" w:afterLines="50" w:line="4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养殖水面土方工程补偿标准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387"/>
        <w:gridCol w:w="4025"/>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黑体" w:hAnsi="黑体" w:eastAsia="黑体" w:cs="黑体"/>
                <w:color w:val="000000"/>
                <w:sz w:val="24"/>
                <w:szCs w:val="24"/>
              </w:rPr>
            </w:pPr>
            <w:r>
              <w:rPr>
                <w:rFonts w:hint="eastAsia" w:ascii="黑体" w:hAnsi="黑体" w:eastAsia="黑体" w:cs="黑体"/>
                <w:color w:val="000000"/>
                <w:sz w:val="24"/>
                <w:szCs w:val="24"/>
              </w:rPr>
              <w:t>项目名称</w:t>
            </w:r>
          </w:p>
        </w:tc>
        <w:tc>
          <w:tcPr>
            <w:tcW w:w="4025"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_GB2312" w:hAnsi="仿宋_GB2312" w:eastAsia="仿宋_GB2312" w:cs="仿宋_GB2312"/>
                <w:color w:val="000000"/>
                <w:sz w:val="24"/>
                <w:szCs w:val="24"/>
              </w:rPr>
            </w:pPr>
            <w:r>
              <w:rPr>
                <w:rFonts w:hint="eastAsia" w:ascii="黑体" w:hAnsi="黑体" w:eastAsia="黑体" w:cs="黑体"/>
                <w:color w:val="000000"/>
                <w:sz w:val="24"/>
                <w:szCs w:val="24"/>
              </w:rPr>
              <w:t>标准条件</w:t>
            </w:r>
          </w:p>
        </w:tc>
        <w:tc>
          <w:tcPr>
            <w:tcW w:w="198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黑体" w:hAnsi="黑体" w:eastAsia="黑体" w:cs="黑体"/>
                <w:color w:val="000000"/>
                <w:sz w:val="24"/>
                <w:szCs w:val="24"/>
              </w:rPr>
              <w:t>补偿标准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鱼塘</w:t>
            </w:r>
          </w:p>
        </w:tc>
        <w:tc>
          <w:tcPr>
            <w:tcW w:w="138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养殖水面</w:t>
            </w:r>
          </w:p>
        </w:tc>
        <w:tc>
          <w:tcPr>
            <w:tcW w:w="4025"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具有相关部门的养殖手续</w:t>
            </w:r>
          </w:p>
        </w:tc>
        <w:tc>
          <w:tcPr>
            <w:tcW w:w="198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5800元/亩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38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土方</w:t>
            </w:r>
          </w:p>
        </w:tc>
        <w:tc>
          <w:tcPr>
            <w:tcW w:w="4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98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8元/立方米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水塘</w:t>
            </w:r>
          </w:p>
        </w:tc>
        <w:tc>
          <w:tcPr>
            <w:tcW w:w="138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水面</w:t>
            </w:r>
          </w:p>
        </w:tc>
        <w:tc>
          <w:tcPr>
            <w:tcW w:w="4025"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无</w:t>
            </w:r>
          </w:p>
        </w:tc>
        <w:tc>
          <w:tcPr>
            <w:tcW w:w="198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2900元/亩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38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土方</w:t>
            </w:r>
          </w:p>
        </w:tc>
        <w:tc>
          <w:tcPr>
            <w:tcW w:w="4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98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7元/立方米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拦河坝</w:t>
            </w:r>
          </w:p>
        </w:tc>
        <w:tc>
          <w:tcPr>
            <w:tcW w:w="138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水面</w:t>
            </w:r>
          </w:p>
        </w:tc>
        <w:tc>
          <w:tcPr>
            <w:tcW w:w="4025"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自然河道上建设</w:t>
            </w:r>
          </w:p>
        </w:tc>
        <w:tc>
          <w:tcPr>
            <w:tcW w:w="198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水面不予补偿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387"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土方</w:t>
            </w:r>
          </w:p>
        </w:tc>
        <w:tc>
          <w:tcPr>
            <w:tcW w:w="4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988"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00" w:lineRule="exact"/>
              <w:jc w:val="center"/>
              <w:rPr>
                <w:rFonts w:ascii="仿宋" w:hAnsi="仿宋" w:eastAsia="仿宋" w:cs="仿宋"/>
                <w:color w:val="000000"/>
                <w:szCs w:val="21"/>
              </w:rPr>
            </w:pPr>
            <w:r>
              <w:rPr>
                <w:rFonts w:hint="eastAsia" w:ascii="仿宋" w:hAnsi="仿宋" w:eastAsia="仿宋" w:cs="仿宋"/>
                <w:color w:val="000000"/>
                <w:szCs w:val="21"/>
              </w:rPr>
              <w:t>7元/立方米</w:t>
            </w:r>
          </w:p>
        </w:tc>
      </w:tr>
    </w:tbl>
    <w:p>
      <w:pPr>
        <w:pStyle w:val="3"/>
        <w:spacing w:before="0" w:beforeAutospacing="0" w:afterLines="50" w:line="400" w:lineRule="exact"/>
        <w:rPr>
          <w:rFonts w:hint="eastAsia" w:ascii="仿宋" w:hAnsi="仿宋" w:eastAsia="仿宋" w:cs="仿宋"/>
          <w:color w:val="000000"/>
          <w:sz w:val="24"/>
          <w:szCs w:val="24"/>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36"/>
          <w:szCs w:val="36"/>
        </w:rPr>
      </w:pPr>
      <w:r>
        <w:rPr>
          <w:rFonts w:hint="eastAsia" w:ascii="黑体" w:hAnsi="黑体" w:eastAsia="黑体" w:cs="黑体"/>
          <w:color w:val="000000"/>
          <w:sz w:val="28"/>
          <w:szCs w:val="28"/>
        </w:rPr>
        <w:t>附件6</w:t>
      </w:r>
    </w:p>
    <w:p>
      <w:pPr>
        <w:pStyle w:val="3"/>
        <w:spacing w:before="0" w:beforeAutospacing="0" w:afterLines="50" w:line="4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温室大棚补偿标准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463"/>
        <w:gridCol w:w="1228"/>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_GB2312" w:hAnsi="仿宋_GB2312" w:eastAsia="仿宋_GB2312" w:cs="仿宋_GB2312"/>
                <w:color w:val="000000"/>
                <w:sz w:val="24"/>
                <w:szCs w:val="24"/>
              </w:rPr>
            </w:pPr>
            <w:r>
              <w:rPr>
                <w:rFonts w:hint="eastAsia" w:ascii="黑体" w:hAnsi="黑体" w:eastAsia="黑体" w:cs="黑体"/>
                <w:color w:val="000000"/>
                <w:sz w:val="24"/>
                <w:szCs w:val="24"/>
              </w:rPr>
              <w:t>项目名称</w:t>
            </w:r>
          </w:p>
        </w:tc>
        <w:tc>
          <w:tcPr>
            <w:tcW w:w="3463"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_GB2312" w:hAnsi="仿宋_GB2312" w:eastAsia="仿宋_GB2312" w:cs="仿宋_GB2312"/>
                <w:color w:val="000000"/>
                <w:sz w:val="24"/>
                <w:szCs w:val="24"/>
              </w:rPr>
            </w:pPr>
            <w:r>
              <w:rPr>
                <w:rFonts w:hint="eastAsia" w:ascii="黑体" w:hAnsi="黑体" w:eastAsia="黑体" w:cs="黑体"/>
                <w:color w:val="000000"/>
                <w:sz w:val="24"/>
                <w:szCs w:val="24"/>
              </w:rPr>
              <w:t>标准条件</w:t>
            </w:r>
          </w:p>
        </w:tc>
        <w:tc>
          <w:tcPr>
            <w:tcW w:w="122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24"/>
                <w:szCs w:val="24"/>
              </w:rPr>
            </w:pPr>
            <w:r>
              <w:rPr>
                <w:rFonts w:hint="eastAsia" w:ascii="黑体" w:hAnsi="黑体" w:eastAsia="黑体" w:cs="黑体"/>
                <w:color w:val="000000"/>
                <w:sz w:val="24"/>
                <w:szCs w:val="24"/>
              </w:rPr>
              <w:t>补偿标准</w:t>
            </w:r>
          </w:p>
        </w:tc>
        <w:tc>
          <w:tcPr>
            <w:tcW w:w="3189"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180" w:type="dxa"/>
            <w:vMerge w:val="restart"/>
            <w:tcBorders>
              <w:top w:val="single" w:color="auto" w:sz="4" w:space="0"/>
              <w:left w:val="single" w:color="auto" w:sz="4" w:space="0"/>
              <w:bottom w:val="single" w:color="auto" w:sz="4" w:space="0"/>
              <w:right w:val="single" w:color="auto" w:sz="4" w:space="0"/>
            </w:tcBorders>
            <w:vAlign w:val="center"/>
          </w:tcPr>
          <w:p>
            <w:pPr>
              <w:pStyle w:val="3"/>
              <w:jc w:val="center"/>
              <w:rPr>
                <w:rFonts w:ascii="仿宋" w:hAnsi="仿宋" w:eastAsia="仿宋" w:cs="仿宋"/>
                <w:color w:val="000000"/>
                <w:szCs w:val="21"/>
              </w:rPr>
            </w:pPr>
            <w:r>
              <w:rPr>
                <w:rFonts w:hint="eastAsia" w:ascii="仿宋" w:hAnsi="仿宋" w:eastAsia="仿宋" w:cs="仿宋"/>
                <w:color w:val="000000"/>
                <w:szCs w:val="21"/>
              </w:rPr>
              <w:t>温室</w:t>
            </w:r>
          </w:p>
        </w:tc>
        <w:tc>
          <w:tcPr>
            <w:tcW w:w="3463"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 w:hAnsi="仿宋" w:eastAsia="仿宋" w:cs="仿宋"/>
                <w:color w:val="000000"/>
                <w:szCs w:val="21"/>
              </w:rPr>
            </w:pPr>
            <w:r>
              <w:rPr>
                <w:rFonts w:hint="eastAsia" w:ascii="仿宋" w:hAnsi="仿宋" w:eastAsia="仿宋" w:cs="仿宋"/>
                <w:color w:val="000000"/>
                <w:szCs w:val="21"/>
              </w:rPr>
              <w:t>砖砌墙240，向阳，墙高在2米以上、土地平整、有正常用途，有铁架。</w:t>
            </w:r>
          </w:p>
        </w:tc>
        <w:tc>
          <w:tcPr>
            <w:tcW w:w="1228"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 w:hAnsi="仿宋" w:eastAsia="仿宋" w:cs="仿宋"/>
                <w:color w:val="000000"/>
                <w:szCs w:val="21"/>
              </w:rPr>
            </w:pPr>
            <w:r>
              <w:rPr>
                <w:rFonts w:hint="eastAsia" w:ascii="仿宋" w:hAnsi="仿宋" w:eastAsia="仿宋" w:cs="仿宋"/>
                <w:color w:val="000000"/>
                <w:szCs w:val="21"/>
              </w:rPr>
              <w:t>80元/平米</w:t>
            </w:r>
          </w:p>
        </w:tc>
        <w:tc>
          <w:tcPr>
            <w:tcW w:w="3189" w:type="dxa"/>
            <w:vMerge w:val="restart"/>
            <w:tcBorders>
              <w:top w:val="single" w:color="auto" w:sz="4" w:space="0"/>
              <w:left w:val="single" w:color="auto" w:sz="4" w:space="0"/>
              <w:bottom w:val="single" w:color="auto" w:sz="4" w:space="0"/>
              <w:right w:val="single" w:color="auto" w:sz="4" w:space="0"/>
            </w:tcBorders>
            <w:vAlign w:val="center"/>
          </w:tcPr>
          <w:p>
            <w:pPr>
              <w:pStyle w:val="3"/>
              <w:rPr>
                <w:rFonts w:ascii="仿宋" w:hAnsi="仿宋" w:eastAsia="仿宋" w:cs="仿宋"/>
                <w:szCs w:val="21"/>
              </w:rPr>
            </w:pPr>
            <w:r>
              <w:rPr>
                <w:rFonts w:hint="eastAsia" w:ascii="仿宋" w:hAnsi="仿宋" w:eastAsia="仿宋" w:cs="仿宋"/>
                <w:szCs w:val="21"/>
              </w:rPr>
              <w:t>1.仅有砖墙的半成品温室大棚，按照砖墙的补偿标准进行补偿；2.大棚覆盖的塑料布、棉帘、遮阳网、电动卷帘由第三方机构评估定价补偿；3.对适宜温室内生长且不到收获期的植物，经第三方机构评估确定。4.正在出菇的菌棒，经第三方机构评估确定。5.废弃菌棒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3463"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 w:hAnsi="仿宋" w:eastAsia="仿宋" w:cs="仿宋"/>
                <w:color w:val="000000"/>
                <w:szCs w:val="21"/>
              </w:rPr>
            </w:pPr>
            <w:r>
              <w:rPr>
                <w:rFonts w:hint="eastAsia" w:ascii="仿宋" w:hAnsi="仿宋" w:eastAsia="仿宋" w:cs="仿宋"/>
                <w:color w:val="000000"/>
                <w:szCs w:val="21"/>
              </w:rPr>
              <w:t>砖砌墙370，向阳，墙高在2米以上、土地平整、有正常用途，有铁架。</w:t>
            </w:r>
          </w:p>
        </w:tc>
        <w:tc>
          <w:tcPr>
            <w:tcW w:w="1228"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 w:hAnsi="仿宋" w:eastAsia="仿宋" w:cs="仿宋"/>
                <w:color w:val="000000"/>
                <w:szCs w:val="21"/>
              </w:rPr>
            </w:pPr>
            <w:r>
              <w:rPr>
                <w:rFonts w:hint="eastAsia" w:ascii="仿宋" w:hAnsi="仿宋" w:eastAsia="仿宋" w:cs="仿宋"/>
                <w:color w:val="000000"/>
                <w:szCs w:val="21"/>
              </w:rPr>
              <w:t>95元/平米</w:t>
            </w:r>
          </w:p>
        </w:tc>
        <w:tc>
          <w:tcPr>
            <w:tcW w:w="3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180" w:type="dxa"/>
            <w:vMerge w:val="restart"/>
            <w:tcBorders>
              <w:top w:val="single" w:color="auto" w:sz="4" w:space="0"/>
              <w:left w:val="single" w:color="auto" w:sz="4" w:space="0"/>
              <w:bottom w:val="single" w:color="auto" w:sz="4" w:space="0"/>
              <w:right w:val="single" w:color="auto" w:sz="4" w:space="0"/>
            </w:tcBorders>
            <w:vAlign w:val="center"/>
          </w:tcPr>
          <w:p>
            <w:pPr>
              <w:pStyle w:val="3"/>
              <w:jc w:val="center"/>
              <w:rPr>
                <w:rFonts w:ascii="仿宋" w:hAnsi="仿宋" w:eastAsia="仿宋" w:cs="仿宋"/>
                <w:color w:val="000000"/>
                <w:szCs w:val="21"/>
              </w:rPr>
            </w:pPr>
            <w:r>
              <w:rPr>
                <w:rFonts w:hint="eastAsia" w:ascii="仿宋" w:hAnsi="仿宋" w:eastAsia="仿宋" w:cs="仿宋"/>
                <w:color w:val="000000"/>
                <w:szCs w:val="21"/>
              </w:rPr>
              <w:t>钢架大棚</w:t>
            </w:r>
          </w:p>
        </w:tc>
        <w:tc>
          <w:tcPr>
            <w:tcW w:w="3463"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 w:hAnsi="仿宋" w:eastAsia="仿宋" w:cs="仿宋"/>
                <w:color w:val="000000"/>
                <w:szCs w:val="21"/>
              </w:rPr>
            </w:pPr>
            <w:r>
              <w:rPr>
                <w:rFonts w:hint="eastAsia" w:ascii="仿宋" w:hAnsi="仿宋" w:eastAsia="仿宋" w:cs="仿宋"/>
                <w:color w:val="000000"/>
                <w:szCs w:val="21"/>
              </w:rPr>
              <w:t>跨度8米</w:t>
            </w:r>
          </w:p>
        </w:tc>
        <w:tc>
          <w:tcPr>
            <w:tcW w:w="1228"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 w:hAnsi="仿宋" w:eastAsia="仿宋" w:cs="仿宋"/>
                <w:color w:val="000000"/>
                <w:szCs w:val="21"/>
              </w:rPr>
            </w:pPr>
            <w:r>
              <w:rPr>
                <w:rFonts w:hint="eastAsia" w:ascii="仿宋" w:hAnsi="仿宋" w:eastAsia="仿宋" w:cs="仿宋"/>
                <w:color w:val="000000"/>
                <w:szCs w:val="21"/>
              </w:rPr>
              <w:t>120元/根</w:t>
            </w:r>
          </w:p>
        </w:tc>
        <w:tc>
          <w:tcPr>
            <w:tcW w:w="3189" w:type="dxa"/>
            <w:vMerge w:val="restart"/>
            <w:tcBorders>
              <w:top w:val="single" w:color="auto" w:sz="4" w:space="0"/>
              <w:left w:val="single" w:color="auto" w:sz="4" w:space="0"/>
              <w:bottom w:val="single" w:color="auto" w:sz="4" w:space="0"/>
              <w:right w:val="single" w:color="auto" w:sz="4" w:space="0"/>
            </w:tcBorders>
            <w:vAlign w:val="center"/>
          </w:tcPr>
          <w:p>
            <w:pPr>
              <w:pStyle w:val="3"/>
              <w:rPr>
                <w:rFonts w:ascii="仿宋" w:hAnsi="仿宋" w:eastAsia="仿宋" w:cs="仿宋"/>
                <w:szCs w:val="21"/>
              </w:rPr>
            </w:pPr>
            <w:r>
              <w:rPr>
                <w:rFonts w:hint="eastAsia" w:ascii="仿宋" w:hAnsi="仿宋" w:eastAsia="仿宋" w:cs="仿宋"/>
                <w:szCs w:val="21"/>
              </w:rPr>
              <w:t>1.大棚覆盖的塑料布、棉帘、遮阳网等由第三方机构评估定价补偿；2.对适宜大棚内生长且不到收获期的植物，经第三方机构评估确定。3.正在出菇的菌棒，经第三方机构评估确定。4.废弃菌棒不予补偿。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3463"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 w:hAnsi="仿宋" w:eastAsia="仿宋" w:cs="仿宋"/>
                <w:color w:val="000000"/>
                <w:szCs w:val="21"/>
              </w:rPr>
            </w:pPr>
            <w:r>
              <w:rPr>
                <w:rFonts w:hint="eastAsia" w:ascii="仿宋" w:hAnsi="仿宋" w:eastAsia="仿宋" w:cs="仿宋"/>
                <w:color w:val="000000"/>
                <w:szCs w:val="21"/>
              </w:rPr>
              <w:t>跨度10米</w:t>
            </w:r>
          </w:p>
        </w:tc>
        <w:tc>
          <w:tcPr>
            <w:tcW w:w="1228"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 w:hAnsi="仿宋" w:eastAsia="仿宋" w:cs="仿宋"/>
                <w:color w:val="000000"/>
                <w:szCs w:val="21"/>
              </w:rPr>
            </w:pPr>
            <w:r>
              <w:rPr>
                <w:rFonts w:hint="eastAsia" w:ascii="仿宋" w:hAnsi="仿宋" w:eastAsia="仿宋" w:cs="仿宋"/>
                <w:color w:val="000000"/>
                <w:szCs w:val="21"/>
              </w:rPr>
              <w:t>140元/根</w:t>
            </w:r>
          </w:p>
        </w:tc>
        <w:tc>
          <w:tcPr>
            <w:tcW w:w="3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3463"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 w:hAnsi="仿宋" w:eastAsia="仿宋" w:cs="仿宋"/>
                <w:color w:val="000000"/>
                <w:szCs w:val="21"/>
              </w:rPr>
            </w:pPr>
            <w:r>
              <w:rPr>
                <w:rFonts w:hint="eastAsia" w:ascii="仿宋" w:hAnsi="仿宋" w:eastAsia="仿宋" w:cs="仿宋"/>
                <w:color w:val="000000"/>
                <w:szCs w:val="21"/>
              </w:rPr>
              <w:t>跨度12米</w:t>
            </w:r>
          </w:p>
        </w:tc>
        <w:tc>
          <w:tcPr>
            <w:tcW w:w="1228" w:type="dxa"/>
            <w:tcBorders>
              <w:top w:val="single" w:color="auto" w:sz="4" w:space="0"/>
              <w:left w:val="single" w:color="auto" w:sz="4" w:space="0"/>
              <w:bottom w:val="single" w:color="auto" w:sz="4" w:space="0"/>
              <w:right w:val="single" w:color="auto" w:sz="4" w:space="0"/>
            </w:tcBorders>
            <w:vAlign w:val="center"/>
          </w:tcPr>
          <w:p>
            <w:pPr>
              <w:pStyle w:val="3"/>
              <w:jc w:val="center"/>
              <w:rPr>
                <w:rFonts w:ascii="仿宋" w:hAnsi="仿宋" w:eastAsia="仿宋" w:cs="仿宋"/>
                <w:color w:val="000000"/>
                <w:szCs w:val="21"/>
              </w:rPr>
            </w:pPr>
            <w:r>
              <w:rPr>
                <w:rFonts w:hint="eastAsia" w:ascii="仿宋" w:hAnsi="仿宋" w:eastAsia="仿宋" w:cs="仿宋"/>
                <w:color w:val="000000"/>
                <w:szCs w:val="21"/>
              </w:rPr>
              <w:t>160元/根</w:t>
            </w:r>
          </w:p>
        </w:tc>
        <w:tc>
          <w:tcPr>
            <w:tcW w:w="31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szCs w:val="21"/>
              </w:rPr>
            </w:pPr>
          </w:p>
        </w:tc>
      </w:tr>
    </w:tbl>
    <w:p>
      <w:pPr>
        <w:pStyle w:val="3"/>
        <w:spacing w:before="0" w:beforeAutospacing="0" w:after="0" w:line="400" w:lineRule="exact"/>
        <w:ind w:firstLine="420" w:firstLineChars="200"/>
        <w:rPr>
          <w:rFonts w:hint="eastAsia" w:ascii="仿宋" w:hAnsi="仿宋" w:eastAsia="仿宋" w:cs="仿宋"/>
          <w:color w:val="000000"/>
          <w:szCs w:val="21"/>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pStyle w:val="3"/>
        <w:spacing w:before="0" w:beforeAutospacing="0" w:afterLines="50" w:line="400" w:lineRule="exact"/>
        <w:rPr>
          <w:rFonts w:hint="eastAsia" w:ascii="黑体" w:hAnsi="黑体" w:eastAsia="黑体" w:cs="黑体"/>
          <w:color w:val="000000"/>
          <w:sz w:val="28"/>
          <w:szCs w:val="28"/>
        </w:rPr>
      </w:pPr>
    </w:p>
    <w:p>
      <w:pPr>
        <w:spacing w:line="500" w:lineRule="exact"/>
        <w:rPr>
          <w:rFonts w:hint="eastAsia" w:ascii="黑体" w:hAnsi="黑体" w:eastAsia="黑体" w:cs="黑体"/>
          <w:color w:val="000000"/>
          <w:sz w:val="28"/>
          <w:szCs w:val="28"/>
        </w:rPr>
      </w:pPr>
    </w:p>
    <w:p>
      <w:pPr>
        <w:spacing w:line="500" w:lineRule="exact"/>
        <w:rPr>
          <w:rFonts w:hint="eastAsia" w:ascii="黑体" w:hAnsi="黑体" w:eastAsia="黑体" w:cs="黑体"/>
          <w:color w:val="000000"/>
          <w:sz w:val="28"/>
          <w:szCs w:val="28"/>
        </w:rPr>
      </w:pPr>
    </w:p>
    <w:p>
      <w:pPr>
        <w:spacing w:line="500" w:lineRule="exact"/>
        <w:rPr>
          <w:rFonts w:hint="eastAsia" w:ascii="黑体" w:hAnsi="黑体" w:eastAsia="黑体" w:cs="黑体"/>
          <w:color w:val="000000"/>
          <w:sz w:val="28"/>
          <w:szCs w:val="28"/>
        </w:rPr>
      </w:pPr>
    </w:p>
    <w:p>
      <w:pPr>
        <w:spacing w:line="500" w:lineRule="exact"/>
        <w:rPr>
          <w:rFonts w:hint="eastAsia" w:ascii="黑体" w:hAnsi="黑体" w:eastAsia="黑体" w:cs="黑体"/>
          <w:color w:val="000000"/>
          <w:sz w:val="28"/>
          <w:szCs w:val="28"/>
        </w:rPr>
      </w:pPr>
    </w:p>
    <w:p>
      <w:pPr>
        <w:spacing w:line="500" w:lineRule="exact"/>
        <w:rPr>
          <w:rFonts w:hint="eastAsia" w:ascii="黑体" w:hAnsi="黑体" w:eastAsia="黑体" w:cs="黑体"/>
          <w:color w:val="000000"/>
          <w:sz w:val="28"/>
          <w:szCs w:val="28"/>
        </w:rPr>
      </w:pPr>
      <w:r>
        <w:rPr>
          <w:rFonts w:hint="eastAsia" w:ascii="黑体" w:hAnsi="黑体" w:eastAsia="黑体" w:cs="黑体"/>
          <w:color w:val="000000"/>
          <w:sz w:val="28"/>
          <w:szCs w:val="28"/>
        </w:rPr>
        <w:t>附件7-1</w:t>
      </w:r>
    </w:p>
    <w:p>
      <w:pPr>
        <w:pStyle w:val="3"/>
        <w:spacing w:before="0" w:beforeAutospacing="0" w:afterLines="50" w:line="4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零星树木补偿标准</w:t>
      </w:r>
    </w:p>
    <w:tbl>
      <w:tblPr>
        <w:tblStyle w:val="8"/>
        <w:tblpPr w:leftFromText="180" w:rightFromText="180" w:vertAnchor="text" w:horzAnchor="page" w:tblpX="1828" w:tblpY="84"/>
        <w:tblOverlap w:val="never"/>
        <w:tblW w:w="8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85"/>
        <w:gridCol w:w="1540"/>
        <w:gridCol w:w="878"/>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种类</w:t>
            </w: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规格</w:t>
            </w: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标准（元）</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单位</w:t>
            </w:r>
          </w:p>
        </w:tc>
        <w:tc>
          <w:tcPr>
            <w:tcW w:w="2492"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8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沙</w:t>
            </w:r>
            <w:r>
              <w:rPr>
                <w:rFonts w:hint="eastAsia" w:ascii="宋体" w:hAnsi="宋体" w:cs="宋体"/>
                <w:color w:val="000000"/>
                <w:kern w:val="0"/>
                <w:szCs w:val="21"/>
              </w:rPr>
              <w:t> </w:t>
            </w:r>
            <w:r>
              <w:rPr>
                <w:rFonts w:hint="eastAsia" w:ascii="仿宋" w:hAnsi="仿宋" w:eastAsia="仿宋" w:cs="仿宋"/>
                <w:color w:val="000000"/>
                <w:kern w:val="0"/>
                <w:szCs w:val="21"/>
              </w:rPr>
              <w:t>棘</w:t>
            </w: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20</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丛</w:t>
            </w:r>
          </w:p>
        </w:tc>
        <w:tc>
          <w:tcPr>
            <w:tcW w:w="2492" w:type="dxa"/>
            <w:vMerge w:val="restart"/>
            <w:tcBorders>
              <w:top w:val="nil"/>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沙</w:t>
            </w:r>
            <w:r>
              <w:rPr>
                <w:rFonts w:hint="eastAsia" w:ascii="宋体" w:hAnsi="宋体" w:cs="宋体"/>
                <w:color w:val="000000"/>
                <w:kern w:val="0"/>
                <w:szCs w:val="21"/>
              </w:rPr>
              <w:t> </w:t>
            </w:r>
            <w:r>
              <w:rPr>
                <w:rFonts w:hint="eastAsia" w:ascii="仿宋" w:hAnsi="仿宋" w:eastAsia="仿宋" w:cs="仿宋"/>
                <w:color w:val="000000"/>
                <w:kern w:val="0"/>
                <w:szCs w:val="21"/>
              </w:rPr>
              <w:t>柳</w:t>
            </w: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丛</w:t>
            </w:r>
          </w:p>
        </w:tc>
        <w:tc>
          <w:tcPr>
            <w:tcW w:w="249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苜</w:t>
            </w:r>
            <w:r>
              <w:rPr>
                <w:rFonts w:hint="eastAsia" w:ascii="宋体" w:hAnsi="宋体" w:cs="宋体"/>
                <w:color w:val="000000"/>
                <w:kern w:val="0"/>
                <w:szCs w:val="21"/>
              </w:rPr>
              <w:t> </w:t>
            </w:r>
            <w:r>
              <w:rPr>
                <w:rFonts w:hint="eastAsia" w:ascii="仿宋" w:hAnsi="仿宋" w:eastAsia="仿宋" w:cs="仿宋"/>
                <w:color w:val="000000"/>
                <w:kern w:val="0"/>
                <w:szCs w:val="21"/>
              </w:rPr>
              <w:t>蓿</w:t>
            </w: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800</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亩</w:t>
            </w:r>
          </w:p>
        </w:tc>
        <w:tc>
          <w:tcPr>
            <w:tcW w:w="249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8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标准网围栏</w:t>
            </w: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18</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米</w:t>
            </w:r>
          </w:p>
        </w:tc>
        <w:tc>
          <w:tcPr>
            <w:tcW w:w="2492"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highlight w:val="yellow"/>
              </w:rPr>
            </w:pPr>
            <w:r>
              <w:rPr>
                <w:rFonts w:hint="eastAsia" w:ascii="仿宋" w:hAnsi="仿宋" w:eastAsia="仿宋" w:cs="仿宋"/>
                <w:color w:val="000000"/>
                <w:kern w:val="0"/>
                <w:szCs w:val="21"/>
              </w:rPr>
              <w:t>铁丝网每10米1根水泥杆（含杆）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零</w:t>
            </w:r>
          </w:p>
          <w:p>
            <w:pPr>
              <w:spacing w:line="400" w:lineRule="exact"/>
              <w:jc w:val="center"/>
              <w:rPr>
                <w:rFonts w:hint="eastAsia" w:ascii="仿宋" w:hAnsi="仿宋" w:eastAsia="仿宋" w:cs="仿宋"/>
                <w:color w:val="000000"/>
                <w:kern w:val="0"/>
                <w:szCs w:val="21"/>
              </w:rPr>
            </w:pPr>
          </w:p>
          <w:p>
            <w:pPr>
              <w:spacing w:line="40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星</w:t>
            </w:r>
          </w:p>
          <w:p>
            <w:pPr>
              <w:spacing w:line="400" w:lineRule="exact"/>
              <w:jc w:val="center"/>
              <w:rPr>
                <w:rFonts w:hint="eastAsia" w:ascii="仿宋" w:hAnsi="仿宋" w:eastAsia="仿宋" w:cs="仿宋"/>
                <w:kern w:val="0"/>
                <w:szCs w:val="21"/>
              </w:rPr>
            </w:pPr>
          </w:p>
          <w:p>
            <w:pPr>
              <w:spacing w:line="400" w:lineRule="exact"/>
              <w:jc w:val="center"/>
              <w:rPr>
                <w:rFonts w:hint="eastAsia" w:ascii="仿宋" w:hAnsi="仿宋" w:eastAsia="仿宋" w:cs="仿宋"/>
                <w:kern w:val="0"/>
                <w:szCs w:val="21"/>
              </w:rPr>
            </w:pPr>
            <w:r>
              <w:rPr>
                <w:rFonts w:hint="eastAsia" w:ascii="仿宋" w:hAnsi="仿宋" w:eastAsia="仿宋" w:cs="仿宋"/>
                <w:kern w:val="0"/>
                <w:szCs w:val="21"/>
              </w:rPr>
              <w:t>乔</w:t>
            </w:r>
          </w:p>
          <w:p>
            <w:pPr>
              <w:spacing w:line="400" w:lineRule="exact"/>
              <w:jc w:val="center"/>
              <w:rPr>
                <w:rFonts w:hint="eastAsia" w:ascii="仿宋" w:hAnsi="仿宋" w:eastAsia="仿宋" w:cs="仿宋"/>
                <w:kern w:val="0"/>
                <w:szCs w:val="21"/>
              </w:rPr>
            </w:pPr>
          </w:p>
          <w:p>
            <w:pPr>
              <w:spacing w:line="400" w:lineRule="exact"/>
              <w:jc w:val="center"/>
              <w:rPr>
                <w:rFonts w:ascii="仿宋" w:hAnsi="仿宋" w:eastAsia="仿宋" w:cs="仿宋"/>
                <w:kern w:val="0"/>
                <w:szCs w:val="21"/>
              </w:rPr>
            </w:pPr>
            <w:r>
              <w:rPr>
                <w:rFonts w:hint="eastAsia" w:ascii="仿宋" w:hAnsi="仿宋" w:eastAsia="仿宋" w:cs="仿宋"/>
                <w:kern w:val="0"/>
                <w:szCs w:val="21"/>
              </w:rPr>
              <w:t>木</w:t>
            </w: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2cm以下</w:t>
            </w: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4</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株</w:t>
            </w:r>
          </w:p>
        </w:tc>
        <w:tc>
          <w:tcPr>
            <w:tcW w:w="2492" w:type="dxa"/>
            <w:vMerge w:val="restart"/>
            <w:tcBorders>
              <w:top w:val="nil"/>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胸径</w:t>
            </w:r>
          </w:p>
          <w:p>
            <w:pPr>
              <w:spacing w:line="400" w:lineRule="exact"/>
              <w:jc w:val="center"/>
              <w:rPr>
                <w:rFonts w:ascii="仿宋" w:hAnsi="仿宋" w:eastAsia="仿宋" w:cs="仿宋"/>
                <w:color w:val="000000"/>
                <w:szCs w:val="21"/>
                <w:highlight w:val="yellow"/>
              </w:rPr>
            </w:pPr>
            <w:r>
              <w:rPr>
                <w:rFonts w:hint="eastAsia" w:ascii="仿宋" w:hAnsi="仿宋" w:eastAsia="仿宋" w:cs="仿宋"/>
                <w:color w:val="000000"/>
                <w:kern w:val="0"/>
                <w:szCs w:val="21"/>
              </w:rPr>
              <w:t>区分规格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3-5cm</w:t>
            </w: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6</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株</w:t>
            </w:r>
          </w:p>
        </w:tc>
        <w:tc>
          <w:tcPr>
            <w:tcW w:w="249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仿宋"/>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6-10cm</w:t>
            </w: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16</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株</w:t>
            </w:r>
          </w:p>
        </w:tc>
        <w:tc>
          <w:tcPr>
            <w:tcW w:w="249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仿宋"/>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11-15cm</w:t>
            </w: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50</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株</w:t>
            </w:r>
          </w:p>
        </w:tc>
        <w:tc>
          <w:tcPr>
            <w:tcW w:w="249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仿宋"/>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16-20cm</w:t>
            </w: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70</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株</w:t>
            </w:r>
          </w:p>
        </w:tc>
        <w:tc>
          <w:tcPr>
            <w:tcW w:w="249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仿宋"/>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21-25cm</w:t>
            </w: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90</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株</w:t>
            </w:r>
          </w:p>
        </w:tc>
        <w:tc>
          <w:tcPr>
            <w:tcW w:w="249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仿宋"/>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26-30cm</w:t>
            </w: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110</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株</w:t>
            </w:r>
          </w:p>
        </w:tc>
        <w:tc>
          <w:tcPr>
            <w:tcW w:w="249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仿宋"/>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31-35cm</w:t>
            </w: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180</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株</w:t>
            </w:r>
          </w:p>
        </w:tc>
        <w:tc>
          <w:tcPr>
            <w:tcW w:w="249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仿宋"/>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1"/>
              </w:rPr>
            </w:pP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35cm以上</w:t>
            </w: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300</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株</w:t>
            </w:r>
          </w:p>
        </w:tc>
        <w:tc>
          <w:tcPr>
            <w:tcW w:w="249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仿宋"/>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73"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幼果树</w:t>
            </w: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2cm以下</w:t>
            </w: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10</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株</w:t>
            </w:r>
          </w:p>
        </w:tc>
        <w:tc>
          <w:tcPr>
            <w:tcW w:w="2492" w:type="dxa"/>
            <w:vMerge w:val="restart"/>
            <w:tcBorders>
              <w:top w:val="nil"/>
              <w:left w:val="nil"/>
              <w:bottom w:val="single" w:color="auto" w:sz="4" w:space="0"/>
              <w:right w:val="single" w:color="auto" w:sz="4" w:space="0"/>
            </w:tcBorders>
            <w:vAlign w:val="center"/>
          </w:tcPr>
          <w:p>
            <w:pPr>
              <w:spacing w:line="400" w:lineRule="exact"/>
              <w:rPr>
                <w:rFonts w:ascii="仿宋" w:hAnsi="仿宋" w:eastAsia="仿宋" w:cs="仿宋"/>
                <w:color w:val="000000"/>
                <w:kern w:val="0"/>
                <w:szCs w:val="21"/>
              </w:rPr>
            </w:pPr>
            <w:r>
              <w:rPr>
                <w:rFonts w:hint="eastAsia" w:ascii="仿宋" w:hAnsi="仿宋" w:eastAsia="仿宋" w:cs="仿宋"/>
                <w:color w:val="000000"/>
                <w:kern w:val="0"/>
                <w:szCs w:val="21"/>
              </w:rPr>
              <w:t>按地径区分，每亩补偿不超过8000元；</w:t>
            </w:r>
            <w:r>
              <w:rPr>
                <w:rFonts w:hint="eastAsia" w:ascii="仿宋" w:hAnsi="仿宋" w:eastAsia="仿宋" w:cs="仿宋_GB2312"/>
                <w:color w:val="000000"/>
                <w:szCs w:val="21"/>
              </w:rPr>
              <w:t>山桃、山杏在此基础上下调20%。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3-4cm</w:t>
            </w: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株</w:t>
            </w:r>
          </w:p>
        </w:tc>
        <w:tc>
          <w:tcPr>
            <w:tcW w:w="2492"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初果树</w:t>
            </w: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5-6cm（冠幅1—1.5米）</w:t>
            </w: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150</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株</w:t>
            </w:r>
          </w:p>
        </w:tc>
        <w:tc>
          <w:tcPr>
            <w:tcW w:w="2492" w:type="dxa"/>
            <w:vMerge w:val="restart"/>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仿宋"/>
                <w:color w:val="000000"/>
                <w:kern w:val="0"/>
                <w:szCs w:val="21"/>
              </w:rPr>
            </w:pPr>
            <w:r>
              <w:rPr>
                <w:rFonts w:hint="eastAsia" w:ascii="仿宋" w:hAnsi="仿宋" w:eastAsia="仿宋" w:cs="仿宋"/>
                <w:color w:val="000000"/>
                <w:kern w:val="0"/>
                <w:szCs w:val="21"/>
              </w:rPr>
              <w:t xml:space="preserve">   1.按果园标准种植，</w:t>
            </w:r>
            <w:r>
              <w:rPr>
                <w:rFonts w:hint="eastAsia" w:ascii="仿宋" w:hAnsi="仿宋" w:eastAsia="仿宋" w:cs="仿宋_GB2312"/>
                <w:color w:val="000000"/>
                <w:szCs w:val="21"/>
              </w:rPr>
              <w:t>数量不得高于110株/亩，</w:t>
            </w:r>
            <w:r>
              <w:rPr>
                <w:rFonts w:hint="eastAsia" w:ascii="仿宋" w:hAnsi="仿宋" w:eastAsia="仿宋" w:cs="仿宋"/>
                <w:color w:val="000000"/>
                <w:kern w:val="0"/>
                <w:szCs w:val="21"/>
              </w:rPr>
              <w:t>按地径区分，执行此标准。</w:t>
            </w:r>
          </w:p>
          <w:p>
            <w:pPr>
              <w:spacing w:line="400" w:lineRule="exact"/>
              <w:rPr>
                <w:rFonts w:hint="eastAsia" w:ascii="仿宋" w:hAnsi="仿宋" w:eastAsia="仿宋" w:cs="仿宋_GB2312"/>
                <w:color w:val="000000"/>
                <w:szCs w:val="21"/>
              </w:rPr>
            </w:pPr>
            <w:r>
              <w:rPr>
                <w:rFonts w:hint="eastAsia" w:ascii="仿宋" w:hAnsi="仿宋" w:eastAsia="仿宋" w:cs="仿宋_GB2312"/>
                <w:color w:val="000000"/>
                <w:szCs w:val="21"/>
              </w:rPr>
              <w:t xml:space="preserve">   2.每亩低于110株据实计算。 </w:t>
            </w:r>
          </w:p>
          <w:p>
            <w:pPr>
              <w:spacing w:line="400" w:lineRule="exact"/>
              <w:rPr>
                <w:rFonts w:hint="eastAsia" w:ascii="仿宋" w:hAnsi="仿宋" w:eastAsia="仿宋" w:cs="仿宋_GB2312"/>
                <w:color w:val="000000"/>
                <w:szCs w:val="21"/>
              </w:rPr>
            </w:pPr>
            <w:r>
              <w:rPr>
                <w:rFonts w:hint="eastAsia" w:ascii="仿宋" w:hAnsi="仿宋" w:eastAsia="仿宋" w:cs="仿宋_GB2312"/>
                <w:color w:val="000000"/>
                <w:szCs w:val="21"/>
              </w:rPr>
              <w:t>3.山桃、山杏在此基础上下调20%。</w:t>
            </w:r>
          </w:p>
          <w:p>
            <w:pPr>
              <w:widowControl/>
              <w:spacing w:line="400" w:lineRule="exact"/>
              <w:jc w:val="left"/>
              <w:rPr>
                <w:rFonts w:ascii="仿宋" w:hAnsi="仿宋" w:eastAsia="仿宋" w:cs="仿宋"/>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Cs w:val="21"/>
              </w:rPr>
            </w:pP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7-8cm（冠幅1.5—2.0米）</w:t>
            </w: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300</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株</w:t>
            </w:r>
          </w:p>
        </w:tc>
        <w:tc>
          <w:tcPr>
            <w:tcW w:w="2492"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3"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盛果树</w:t>
            </w: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9-10cm （冠幅2.0—3.0米）</w:t>
            </w: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650</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株</w:t>
            </w:r>
          </w:p>
        </w:tc>
        <w:tc>
          <w:tcPr>
            <w:tcW w:w="2492"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873"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szCs w:val="21"/>
              </w:rPr>
            </w:pPr>
          </w:p>
        </w:tc>
        <w:tc>
          <w:tcPr>
            <w:tcW w:w="1486"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11以上（冠幅3.0米以上）</w:t>
            </w:r>
          </w:p>
        </w:tc>
        <w:tc>
          <w:tcPr>
            <w:tcW w:w="1541"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950</w:t>
            </w:r>
          </w:p>
        </w:tc>
        <w:tc>
          <w:tcPr>
            <w:tcW w:w="87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color w:val="000000"/>
                <w:szCs w:val="21"/>
              </w:rPr>
            </w:pPr>
            <w:r>
              <w:rPr>
                <w:rFonts w:hint="eastAsia" w:ascii="仿宋" w:hAnsi="仿宋" w:eastAsia="仿宋" w:cs="仿宋"/>
                <w:color w:val="000000"/>
                <w:kern w:val="0"/>
                <w:szCs w:val="21"/>
              </w:rPr>
              <w:t>株</w:t>
            </w:r>
          </w:p>
        </w:tc>
        <w:tc>
          <w:tcPr>
            <w:tcW w:w="2492"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000000"/>
                <w:szCs w:val="21"/>
                <w:highlight w:val="yellow"/>
              </w:rPr>
            </w:pPr>
          </w:p>
        </w:tc>
      </w:tr>
    </w:tbl>
    <w:p>
      <w:pPr>
        <w:pStyle w:val="3"/>
        <w:spacing w:before="0" w:beforeAutospacing="0" w:afterLines="50" w:line="400" w:lineRule="exact"/>
        <w:jc w:val="center"/>
        <w:rPr>
          <w:rFonts w:hint="eastAsia" w:ascii="黑体" w:hAnsi="黑体" w:eastAsia="黑体" w:cs="黑体"/>
          <w:color w:val="000000"/>
          <w:sz w:val="36"/>
          <w:szCs w:val="36"/>
        </w:rPr>
      </w:pPr>
    </w:p>
    <w:p>
      <w:pPr>
        <w:pStyle w:val="3"/>
        <w:spacing w:before="0" w:beforeAutospacing="0" w:afterLines="50" w:line="400" w:lineRule="exact"/>
        <w:rPr>
          <w:rFonts w:hint="eastAsia" w:ascii="黑体" w:hAnsi="黑体" w:eastAsia="黑体" w:cs="黑体"/>
          <w:color w:val="000000"/>
          <w:sz w:val="32"/>
          <w:szCs w:val="32"/>
        </w:rPr>
      </w:pPr>
    </w:p>
    <w:p>
      <w:pPr>
        <w:pStyle w:val="3"/>
        <w:spacing w:before="0" w:beforeAutospacing="0" w:afterLines="50" w:line="400" w:lineRule="exact"/>
        <w:rPr>
          <w:rFonts w:hint="eastAsia" w:ascii="黑体" w:hAnsi="黑体" w:eastAsia="黑体" w:cs="黑体"/>
          <w:color w:val="000000"/>
          <w:sz w:val="32"/>
          <w:szCs w:val="32"/>
        </w:rPr>
      </w:pPr>
    </w:p>
    <w:p>
      <w:pPr>
        <w:pStyle w:val="3"/>
        <w:spacing w:before="0" w:beforeAutospacing="0" w:afterLines="50" w:line="4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附件7-2</w:t>
      </w:r>
    </w:p>
    <w:p>
      <w:pPr>
        <w:pStyle w:val="3"/>
        <w:spacing w:before="0" w:beforeAutospacing="0" w:afterLines="50" w:line="400" w:lineRule="exact"/>
        <w:jc w:val="center"/>
        <w:rPr>
          <w:rFonts w:hint="eastAsia"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36"/>
          <w:szCs w:val="36"/>
        </w:rPr>
        <w:t>林木补偿标准</w:t>
      </w:r>
    </w:p>
    <w:tbl>
      <w:tblPr>
        <w:tblStyle w:val="8"/>
        <w:tblW w:w="940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4218"/>
        <w:gridCol w:w="1526"/>
        <w:gridCol w:w="2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Borders>
              <w:top w:val="single" w:color="auto" w:sz="4" w:space="0"/>
              <w:left w:val="single" w:color="auto" w:sz="4" w:space="0"/>
              <w:bottom w:val="single" w:color="auto" w:sz="4" w:space="0"/>
              <w:right w:val="single" w:color="auto" w:sz="4" w:space="0"/>
            </w:tcBorders>
            <w:vAlign w:val="center"/>
          </w:tcPr>
          <w:p>
            <w:pPr>
              <w:pStyle w:val="3"/>
              <w:spacing w:line="440" w:lineRule="exact"/>
              <w:jc w:val="center"/>
              <w:rPr>
                <w:rFonts w:ascii="仿宋" w:hAnsi="仿宋" w:eastAsia="仿宋" w:cs="仿宋_GB2312"/>
                <w:color w:val="000000"/>
                <w:sz w:val="24"/>
                <w:szCs w:val="24"/>
              </w:rPr>
            </w:pPr>
            <w:r>
              <w:rPr>
                <w:rFonts w:hint="eastAsia" w:ascii="仿宋" w:hAnsi="仿宋" w:eastAsia="仿宋" w:cs="黑体"/>
                <w:color w:val="000000"/>
                <w:sz w:val="24"/>
                <w:szCs w:val="24"/>
              </w:rPr>
              <w:t>项目名称</w:t>
            </w: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line="440" w:lineRule="exact"/>
              <w:jc w:val="center"/>
              <w:rPr>
                <w:rFonts w:ascii="仿宋" w:hAnsi="仿宋" w:eastAsia="仿宋" w:cs="仿宋_GB2312"/>
                <w:color w:val="000000"/>
                <w:sz w:val="24"/>
                <w:szCs w:val="24"/>
              </w:rPr>
            </w:pPr>
            <w:r>
              <w:rPr>
                <w:rFonts w:hint="eastAsia" w:ascii="仿宋" w:hAnsi="仿宋" w:eastAsia="仿宋" w:cs="黑体"/>
                <w:color w:val="000000"/>
                <w:sz w:val="24"/>
                <w:szCs w:val="24"/>
              </w:rPr>
              <w:t>标准条件</w:t>
            </w:r>
          </w:p>
        </w:tc>
        <w:tc>
          <w:tcPr>
            <w:tcW w:w="1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 w:hAnsi="仿宋" w:eastAsia="仿宋" w:cs="仿宋_GB2312"/>
                <w:color w:val="000000"/>
                <w:sz w:val="24"/>
                <w:szCs w:val="24"/>
              </w:rPr>
            </w:pPr>
            <w:r>
              <w:rPr>
                <w:rFonts w:hint="eastAsia" w:ascii="仿宋" w:hAnsi="仿宋" w:eastAsia="仿宋" w:cs="黑体"/>
                <w:color w:val="000000"/>
                <w:sz w:val="24"/>
                <w:szCs w:val="24"/>
              </w:rPr>
              <w:t>补偿标准</w:t>
            </w:r>
          </w:p>
        </w:tc>
        <w:tc>
          <w:tcPr>
            <w:tcW w:w="2350" w:type="dxa"/>
            <w:tcBorders>
              <w:top w:val="single" w:color="auto" w:sz="4" w:space="0"/>
              <w:left w:val="single" w:color="auto" w:sz="4" w:space="0"/>
              <w:bottom w:val="single" w:color="auto" w:sz="4" w:space="0"/>
              <w:right w:val="single" w:color="auto" w:sz="4" w:space="0"/>
            </w:tcBorders>
            <w:vAlign w:val="center"/>
          </w:tcPr>
          <w:p>
            <w:pPr>
              <w:pStyle w:val="3"/>
              <w:spacing w:line="440" w:lineRule="exact"/>
              <w:jc w:val="center"/>
              <w:rPr>
                <w:rFonts w:ascii="仿宋" w:hAnsi="仿宋" w:eastAsia="仿宋" w:cs="仿宋_GB2312"/>
                <w:color w:val="000000"/>
                <w:sz w:val="24"/>
                <w:szCs w:val="24"/>
              </w:rPr>
            </w:pPr>
            <w:r>
              <w:rPr>
                <w:rFonts w:hint="eastAsia" w:ascii="仿宋" w:hAnsi="仿宋" w:eastAsia="仿宋" w:cs="黑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松  树</w:t>
            </w:r>
          </w:p>
          <w:p>
            <w:pPr>
              <w:pStyle w:val="3"/>
              <w:spacing w:before="0" w:beforeAutospacing="0" w:after="0" w:line="440" w:lineRule="exact"/>
              <w:jc w:val="center"/>
              <w:rPr>
                <w:rFonts w:ascii="仿宋" w:hAnsi="仿宋" w:eastAsia="仿宋" w:cs="仿宋_GB2312"/>
                <w:color w:val="000000"/>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主杆高度20</w:t>
            </w:r>
            <w:r>
              <w:rPr>
                <w:rFonts w:hint="eastAsia" w:ascii="仿宋" w:hAnsi="仿宋" w:eastAsia="仿宋" w:cs="仿宋"/>
                <w:color w:val="000000"/>
                <w:kern w:val="0"/>
                <w:szCs w:val="21"/>
              </w:rPr>
              <w:t xml:space="preserve"> cm</w:t>
            </w:r>
            <w:r>
              <w:rPr>
                <w:rFonts w:hint="eastAsia" w:ascii="仿宋" w:hAnsi="仿宋" w:eastAsia="仿宋" w:cs="仿宋_GB2312"/>
                <w:color w:val="000000"/>
                <w:szCs w:val="21"/>
              </w:rPr>
              <w:t>以下</w:t>
            </w:r>
          </w:p>
        </w:tc>
        <w:tc>
          <w:tcPr>
            <w:tcW w:w="152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5元/株</w:t>
            </w:r>
          </w:p>
        </w:tc>
        <w:tc>
          <w:tcPr>
            <w:tcW w:w="2350"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每亩不超过5000元</w:t>
            </w:r>
          </w:p>
          <w:p>
            <w:pPr>
              <w:pStyle w:val="3"/>
              <w:spacing w:line="440" w:lineRule="exact"/>
              <w:jc w:val="center"/>
              <w:rPr>
                <w:rFonts w:ascii="仿宋" w:hAnsi="仿宋" w:eastAsia="仿宋"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主杆高度20—30</w:t>
            </w:r>
            <w:r>
              <w:rPr>
                <w:rFonts w:hint="eastAsia" w:ascii="仿宋" w:hAnsi="仿宋" w:eastAsia="仿宋" w:cs="仿宋"/>
                <w:color w:val="000000"/>
                <w:kern w:val="0"/>
                <w:szCs w:val="21"/>
              </w:rPr>
              <w:t xml:space="preserve"> cm</w:t>
            </w:r>
            <w:r>
              <w:rPr>
                <w:rFonts w:hint="eastAsia" w:ascii="仿宋" w:hAnsi="仿宋" w:eastAsia="仿宋" w:cs="仿宋_GB2312"/>
                <w:color w:val="000000"/>
                <w:szCs w:val="21"/>
              </w:rPr>
              <w:t>（含20</w:t>
            </w:r>
            <w:r>
              <w:rPr>
                <w:rFonts w:hint="eastAsia" w:ascii="仿宋" w:hAnsi="仿宋" w:eastAsia="仿宋" w:cs="仿宋"/>
                <w:color w:val="000000"/>
                <w:kern w:val="0"/>
                <w:szCs w:val="21"/>
              </w:rPr>
              <w:t xml:space="preserve"> cm</w:t>
            </w:r>
            <w:r>
              <w:rPr>
                <w:rFonts w:hint="eastAsia" w:ascii="仿宋" w:hAnsi="仿宋" w:eastAsia="仿宋" w:cs="仿宋_GB2312"/>
                <w:color w:val="000000"/>
                <w:szCs w:val="21"/>
              </w:rPr>
              <w:t>）</w:t>
            </w:r>
          </w:p>
        </w:tc>
        <w:tc>
          <w:tcPr>
            <w:tcW w:w="152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10元/株</w:t>
            </w:r>
          </w:p>
        </w:tc>
        <w:tc>
          <w:tcPr>
            <w:tcW w:w="2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主杆高度30—50</w:t>
            </w:r>
            <w:r>
              <w:rPr>
                <w:rFonts w:hint="eastAsia" w:ascii="仿宋" w:hAnsi="仿宋" w:eastAsia="仿宋" w:cs="仿宋"/>
                <w:color w:val="000000"/>
                <w:kern w:val="0"/>
                <w:szCs w:val="21"/>
              </w:rPr>
              <w:t xml:space="preserve"> cm</w:t>
            </w:r>
            <w:r>
              <w:rPr>
                <w:rFonts w:hint="eastAsia" w:ascii="仿宋" w:hAnsi="仿宋" w:eastAsia="仿宋" w:cs="仿宋_GB2312"/>
                <w:color w:val="000000"/>
                <w:szCs w:val="21"/>
              </w:rPr>
              <w:t>（含30</w:t>
            </w:r>
            <w:r>
              <w:rPr>
                <w:rFonts w:hint="eastAsia" w:ascii="仿宋" w:hAnsi="仿宋" w:eastAsia="仿宋" w:cs="仿宋"/>
                <w:color w:val="000000"/>
                <w:kern w:val="0"/>
                <w:szCs w:val="21"/>
              </w:rPr>
              <w:t xml:space="preserve"> cm</w:t>
            </w:r>
            <w:r>
              <w:rPr>
                <w:rFonts w:hint="eastAsia" w:ascii="仿宋" w:hAnsi="仿宋" w:eastAsia="仿宋" w:cs="仿宋_GB2312"/>
                <w:color w:val="000000"/>
                <w:szCs w:val="21"/>
              </w:rPr>
              <w:t>）</w:t>
            </w:r>
          </w:p>
        </w:tc>
        <w:tc>
          <w:tcPr>
            <w:tcW w:w="152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30元/株</w:t>
            </w:r>
          </w:p>
        </w:tc>
        <w:tc>
          <w:tcPr>
            <w:tcW w:w="2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主杆高度50—100</w:t>
            </w:r>
            <w:r>
              <w:rPr>
                <w:rFonts w:hint="eastAsia" w:ascii="仿宋" w:hAnsi="仿宋" w:eastAsia="仿宋" w:cs="仿宋"/>
                <w:color w:val="000000"/>
                <w:kern w:val="0"/>
                <w:szCs w:val="21"/>
              </w:rPr>
              <w:t xml:space="preserve"> cm</w:t>
            </w:r>
            <w:r>
              <w:rPr>
                <w:rFonts w:hint="eastAsia" w:ascii="仿宋" w:hAnsi="仿宋" w:eastAsia="仿宋" w:cs="仿宋_GB2312"/>
                <w:color w:val="000000"/>
                <w:szCs w:val="21"/>
              </w:rPr>
              <w:t>（含50</w:t>
            </w:r>
            <w:r>
              <w:rPr>
                <w:rFonts w:hint="eastAsia" w:ascii="仿宋" w:hAnsi="仿宋" w:eastAsia="仿宋" w:cs="仿宋"/>
                <w:color w:val="000000"/>
                <w:kern w:val="0"/>
                <w:szCs w:val="21"/>
              </w:rPr>
              <w:t xml:space="preserve"> cm</w:t>
            </w:r>
            <w:r>
              <w:rPr>
                <w:rFonts w:hint="eastAsia" w:ascii="仿宋" w:hAnsi="仿宋" w:eastAsia="仿宋" w:cs="仿宋_GB2312"/>
                <w:color w:val="000000"/>
                <w:szCs w:val="21"/>
              </w:rPr>
              <w:t>）</w:t>
            </w:r>
          </w:p>
        </w:tc>
        <w:tc>
          <w:tcPr>
            <w:tcW w:w="152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50元/株</w:t>
            </w:r>
          </w:p>
        </w:tc>
        <w:tc>
          <w:tcPr>
            <w:tcW w:w="235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每亩不超过6000元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主杆高度100—150</w:t>
            </w:r>
            <w:r>
              <w:rPr>
                <w:rFonts w:hint="eastAsia" w:ascii="仿宋" w:hAnsi="仿宋" w:eastAsia="仿宋" w:cs="仿宋"/>
                <w:color w:val="000000"/>
                <w:kern w:val="0"/>
                <w:szCs w:val="21"/>
              </w:rPr>
              <w:t xml:space="preserve"> cm</w:t>
            </w:r>
            <w:r>
              <w:rPr>
                <w:rFonts w:hint="eastAsia" w:ascii="仿宋" w:hAnsi="仿宋" w:eastAsia="仿宋" w:cs="仿宋_GB2312"/>
                <w:color w:val="000000"/>
                <w:szCs w:val="21"/>
              </w:rPr>
              <w:t>（含100</w:t>
            </w:r>
            <w:r>
              <w:rPr>
                <w:rFonts w:hint="eastAsia" w:ascii="仿宋" w:hAnsi="仿宋" w:eastAsia="仿宋" w:cs="仿宋"/>
                <w:color w:val="000000"/>
                <w:kern w:val="0"/>
                <w:szCs w:val="21"/>
              </w:rPr>
              <w:t xml:space="preserve"> cm</w:t>
            </w:r>
            <w:r>
              <w:rPr>
                <w:rFonts w:hint="eastAsia" w:ascii="仿宋" w:hAnsi="仿宋" w:eastAsia="仿宋" w:cs="仿宋_GB2312"/>
                <w:color w:val="000000"/>
                <w:szCs w:val="21"/>
              </w:rPr>
              <w:t>）</w:t>
            </w:r>
          </w:p>
        </w:tc>
        <w:tc>
          <w:tcPr>
            <w:tcW w:w="152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60元/株</w:t>
            </w:r>
          </w:p>
        </w:tc>
        <w:tc>
          <w:tcPr>
            <w:tcW w:w="235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每亩不超过7200元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主杆高度150—200</w:t>
            </w:r>
            <w:r>
              <w:rPr>
                <w:rFonts w:hint="eastAsia" w:ascii="仿宋" w:hAnsi="仿宋" w:eastAsia="仿宋" w:cs="仿宋"/>
                <w:color w:val="000000"/>
                <w:kern w:val="0"/>
                <w:szCs w:val="21"/>
              </w:rPr>
              <w:t>cm</w:t>
            </w:r>
            <w:r>
              <w:rPr>
                <w:rFonts w:hint="eastAsia" w:ascii="仿宋" w:hAnsi="仿宋" w:eastAsia="仿宋" w:cs="仿宋_GB2312"/>
                <w:color w:val="000000"/>
                <w:szCs w:val="21"/>
              </w:rPr>
              <w:t>（含150</w:t>
            </w:r>
            <w:r>
              <w:rPr>
                <w:rFonts w:hint="eastAsia" w:ascii="仿宋" w:hAnsi="仿宋" w:eastAsia="仿宋" w:cs="仿宋"/>
                <w:color w:val="000000"/>
                <w:kern w:val="0"/>
                <w:szCs w:val="21"/>
              </w:rPr>
              <w:t xml:space="preserve"> cm</w:t>
            </w:r>
            <w:r>
              <w:rPr>
                <w:rFonts w:hint="eastAsia" w:ascii="仿宋" w:hAnsi="仿宋" w:eastAsia="仿宋" w:cs="仿宋_GB2312"/>
                <w:color w:val="000000"/>
                <w:szCs w:val="21"/>
              </w:rPr>
              <w:t>）</w:t>
            </w:r>
          </w:p>
        </w:tc>
        <w:tc>
          <w:tcPr>
            <w:tcW w:w="152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80元/株</w:t>
            </w:r>
          </w:p>
        </w:tc>
        <w:tc>
          <w:tcPr>
            <w:tcW w:w="235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每亩不超过9600元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主杆高度200—250</w:t>
            </w:r>
            <w:r>
              <w:rPr>
                <w:rFonts w:hint="eastAsia" w:ascii="仿宋" w:hAnsi="仿宋" w:eastAsia="仿宋" w:cs="仿宋"/>
                <w:color w:val="000000"/>
                <w:kern w:val="0"/>
                <w:szCs w:val="21"/>
              </w:rPr>
              <w:t xml:space="preserve"> cm</w:t>
            </w:r>
            <w:r>
              <w:rPr>
                <w:rFonts w:hint="eastAsia" w:ascii="仿宋" w:hAnsi="仿宋" w:eastAsia="仿宋" w:cs="仿宋_GB2312"/>
                <w:color w:val="000000"/>
                <w:szCs w:val="21"/>
              </w:rPr>
              <w:t>（含200</w:t>
            </w:r>
            <w:r>
              <w:rPr>
                <w:rFonts w:hint="eastAsia" w:ascii="仿宋" w:hAnsi="仿宋" w:eastAsia="仿宋" w:cs="仿宋"/>
                <w:color w:val="000000"/>
                <w:kern w:val="0"/>
                <w:szCs w:val="21"/>
              </w:rPr>
              <w:t xml:space="preserve"> cm</w:t>
            </w:r>
            <w:r>
              <w:rPr>
                <w:rFonts w:hint="eastAsia" w:ascii="仿宋" w:hAnsi="仿宋" w:eastAsia="仿宋" w:cs="仿宋_GB2312"/>
                <w:color w:val="000000"/>
                <w:szCs w:val="21"/>
              </w:rPr>
              <w:t>）</w:t>
            </w:r>
          </w:p>
        </w:tc>
        <w:tc>
          <w:tcPr>
            <w:tcW w:w="152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100元/株</w:t>
            </w:r>
          </w:p>
        </w:tc>
        <w:tc>
          <w:tcPr>
            <w:tcW w:w="235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每亩不超过12000元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主杆高度250—300</w:t>
            </w:r>
            <w:r>
              <w:rPr>
                <w:rFonts w:hint="eastAsia" w:ascii="仿宋" w:hAnsi="仿宋" w:eastAsia="仿宋" w:cs="仿宋"/>
                <w:color w:val="000000"/>
                <w:kern w:val="0"/>
                <w:szCs w:val="21"/>
              </w:rPr>
              <w:t xml:space="preserve"> cm</w:t>
            </w:r>
            <w:r>
              <w:rPr>
                <w:rFonts w:hint="eastAsia" w:ascii="仿宋" w:hAnsi="仿宋" w:eastAsia="仿宋" w:cs="仿宋_GB2312"/>
                <w:color w:val="000000"/>
                <w:szCs w:val="21"/>
              </w:rPr>
              <w:t>（含250</w:t>
            </w:r>
            <w:r>
              <w:rPr>
                <w:rFonts w:hint="eastAsia" w:ascii="仿宋" w:hAnsi="仿宋" w:eastAsia="仿宋" w:cs="仿宋"/>
                <w:color w:val="000000"/>
                <w:kern w:val="0"/>
                <w:szCs w:val="21"/>
              </w:rPr>
              <w:t xml:space="preserve"> cm</w:t>
            </w:r>
            <w:r>
              <w:rPr>
                <w:rFonts w:hint="eastAsia" w:ascii="仿宋" w:hAnsi="仿宋" w:eastAsia="仿宋" w:cs="仿宋_GB2312"/>
                <w:color w:val="000000"/>
                <w:szCs w:val="21"/>
              </w:rPr>
              <w:t>）</w:t>
            </w:r>
          </w:p>
        </w:tc>
        <w:tc>
          <w:tcPr>
            <w:tcW w:w="152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150元/株</w:t>
            </w:r>
          </w:p>
        </w:tc>
        <w:tc>
          <w:tcPr>
            <w:tcW w:w="235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每亩不超过18000元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主杆高度300</w:t>
            </w:r>
            <w:r>
              <w:rPr>
                <w:rFonts w:hint="eastAsia" w:ascii="仿宋" w:hAnsi="仿宋" w:eastAsia="仿宋" w:cs="仿宋"/>
                <w:color w:val="000000"/>
                <w:kern w:val="0"/>
                <w:szCs w:val="21"/>
              </w:rPr>
              <w:t>cm</w:t>
            </w:r>
            <w:r>
              <w:rPr>
                <w:rFonts w:hint="eastAsia" w:ascii="仿宋" w:hAnsi="仿宋" w:eastAsia="仿宋" w:cs="仿宋_GB2312"/>
                <w:color w:val="000000"/>
                <w:szCs w:val="21"/>
              </w:rPr>
              <w:t>以上</w:t>
            </w:r>
          </w:p>
        </w:tc>
        <w:tc>
          <w:tcPr>
            <w:tcW w:w="152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200元/株</w:t>
            </w:r>
          </w:p>
        </w:tc>
        <w:tc>
          <w:tcPr>
            <w:tcW w:w="2350"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每亩不超过24000元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葡  萄</w:t>
            </w:r>
          </w:p>
          <w:p>
            <w:pPr>
              <w:pStyle w:val="3"/>
              <w:spacing w:before="0" w:beforeAutospacing="0" w:after="0" w:line="440" w:lineRule="exact"/>
              <w:jc w:val="center"/>
              <w:rPr>
                <w:rFonts w:ascii="仿宋" w:hAnsi="仿宋" w:eastAsia="仿宋" w:cs="仿宋_GB2312"/>
                <w:color w:val="000000"/>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地径3厘米（含3厘米）以下</w:t>
            </w:r>
          </w:p>
        </w:tc>
        <w:tc>
          <w:tcPr>
            <w:tcW w:w="152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8元/株</w:t>
            </w:r>
          </w:p>
        </w:tc>
        <w:tc>
          <w:tcPr>
            <w:tcW w:w="2350" w:type="dxa"/>
            <w:vMerge w:val="restart"/>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亩株数量不得高于223株，高于223株按223株计算，低于223株据实计算；（从藤条</w:t>
            </w:r>
          </w:p>
          <w:p>
            <w:pPr>
              <w:pStyle w:val="3"/>
              <w:spacing w:before="0" w:beforeAutospacing="0" w:after="0" w:line="440" w:lineRule="exact"/>
              <w:rPr>
                <w:rFonts w:ascii="仿宋" w:hAnsi="仿宋" w:eastAsia="仿宋" w:cs="仿宋_GB2312"/>
                <w:color w:val="000000"/>
                <w:szCs w:val="21"/>
              </w:rPr>
            </w:pPr>
            <w:r>
              <w:rPr>
                <w:rFonts w:hint="eastAsia" w:ascii="仿宋" w:hAnsi="仿宋" w:eastAsia="仿宋" w:cs="仿宋_GB2312"/>
                <w:color w:val="000000"/>
                <w:szCs w:val="21"/>
              </w:rPr>
              <w:t>根部量）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地径3—5厘米（含5厘米）</w:t>
            </w:r>
          </w:p>
        </w:tc>
        <w:tc>
          <w:tcPr>
            <w:tcW w:w="152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20元/株</w:t>
            </w:r>
          </w:p>
        </w:tc>
        <w:tc>
          <w:tcPr>
            <w:tcW w:w="2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地径5厘米以上</w:t>
            </w:r>
          </w:p>
        </w:tc>
        <w:tc>
          <w:tcPr>
            <w:tcW w:w="152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120元/株</w:t>
            </w:r>
          </w:p>
        </w:tc>
        <w:tc>
          <w:tcPr>
            <w:tcW w:w="2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地径2—4厘米（含4厘米）；冠幅0.8—1米（含1米）</w:t>
            </w:r>
          </w:p>
        </w:tc>
        <w:tc>
          <w:tcPr>
            <w:tcW w:w="152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80元/株</w:t>
            </w:r>
          </w:p>
        </w:tc>
        <w:tc>
          <w:tcPr>
            <w:tcW w:w="2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地径4—8厘米（含8厘米）；冠幅1—2米（含2米）</w:t>
            </w:r>
          </w:p>
        </w:tc>
        <w:tc>
          <w:tcPr>
            <w:tcW w:w="152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150元/株</w:t>
            </w:r>
          </w:p>
        </w:tc>
        <w:tc>
          <w:tcPr>
            <w:tcW w:w="2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根径8—10厘米（含10厘米）；冠幅2—3米（含3米）</w:t>
            </w:r>
          </w:p>
        </w:tc>
        <w:tc>
          <w:tcPr>
            <w:tcW w:w="152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200元/株</w:t>
            </w:r>
          </w:p>
        </w:tc>
        <w:tc>
          <w:tcPr>
            <w:tcW w:w="2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c>
          <w:tcPr>
            <w:tcW w:w="4216"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根径10厘米以上；冠幅3米以上</w:t>
            </w:r>
          </w:p>
        </w:tc>
        <w:tc>
          <w:tcPr>
            <w:tcW w:w="1525" w:type="dxa"/>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line="440" w:lineRule="exact"/>
              <w:jc w:val="center"/>
              <w:rPr>
                <w:rFonts w:ascii="仿宋" w:hAnsi="仿宋" w:eastAsia="仿宋" w:cs="仿宋_GB2312"/>
                <w:color w:val="000000"/>
                <w:szCs w:val="21"/>
              </w:rPr>
            </w:pPr>
            <w:r>
              <w:rPr>
                <w:rFonts w:hint="eastAsia" w:ascii="仿宋" w:hAnsi="仿宋" w:eastAsia="仿宋" w:cs="仿宋_GB2312"/>
                <w:color w:val="000000"/>
                <w:szCs w:val="21"/>
              </w:rPr>
              <w:t>400元/株</w:t>
            </w:r>
          </w:p>
        </w:tc>
        <w:tc>
          <w:tcPr>
            <w:tcW w:w="23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_GB2312"/>
                <w:color w:val="000000"/>
                <w:szCs w:val="21"/>
              </w:rPr>
            </w:pPr>
          </w:p>
        </w:tc>
      </w:tr>
    </w:tbl>
    <w:p>
      <w:pPr>
        <w:pStyle w:val="3"/>
        <w:spacing w:line="440" w:lineRule="exact"/>
        <w:rPr>
          <w:rFonts w:hint="eastAsia" w:ascii="仿宋" w:hAnsi="仿宋" w:eastAsia="仿宋" w:cs="仿宋_GB2312"/>
          <w:color w:val="000000"/>
          <w:sz w:val="24"/>
          <w:szCs w:val="24"/>
        </w:rPr>
      </w:pPr>
      <w:r>
        <w:rPr>
          <w:rFonts w:hint="eastAsia" w:ascii="仿宋" w:hAnsi="仿宋" w:eastAsia="仿宋" w:cs="仿宋_GB2312"/>
          <w:color w:val="000000"/>
          <w:szCs w:val="21"/>
        </w:rPr>
        <w:t>备注：油松、云杉、樟子松、侧柏等针叶树种按松树的标准予以补偿（从出土处测量）；</w:t>
      </w:r>
    </w:p>
    <w:p>
      <w:pPr>
        <w:pStyle w:val="3"/>
        <w:spacing w:line="500" w:lineRule="exact"/>
        <w:rPr>
          <w:rFonts w:hint="eastAsia" w:ascii="仿宋_GB2312" w:hAnsi="仿宋" w:eastAsia="仿宋_GB2312" w:cs="仿宋"/>
          <w:sz w:val="32"/>
          <w:szCs w:val="32"/>
        </w:rPr>
      </w:pPr>
    </w:p>
    <w:p>
      <w:pPr>
        <w:pStyle w:val="3"/>
        <w:spacing w:line="500" w:lineRule="exact"/>
        <w:rPr>
          <w:rFonts w:hint="eastAsia" w:ascii="仿宋_GB2312" w:hAnsi="仿宋" w:eastAsia="仿宋_GB2312" w:cs="仿宋"/>
          <w:sz w:val="32"/>
          <w:szCs w:val="32"/>
        </w:rPr>
      </w:pPr>
    </w:p>
    <w:p>
      <w:pPr>
        <w:pStyle w:val="3"/>
        <w:spacing w:line="500" w:lineRule="exact"/>
        <w:rPr>
          <w:rFonts w:hint="eastAsia" w:ascii="仿宋_GB2312" w:hAnsi="仿宋" w:eastAsia="仿宋_GB2312"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2CB152-B975-457F-8B80-5BBEBAFBDF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BF4CE77-C120-4149-9D66-AF767ED70C22}"/>
  </w:font>
  <w:font w:name="仿宋_GB2312">
    <w:panose1 w:val="02010609030101010101"/>
    <w:charset w:val="86"/>
    <w:family w:val="modern"/>
    <w:pitch w:val="default"/>
    <w:sig w:usb0="00000001" w:usb1="080E0000" w:usb2="00000000" w:usb3="00000000" w:csb0="00040000" w:csb1="00000000"/>
    <w:embedRegular r:id="rId3" w:fontKey="{8E4B74AA-A6CA-432A-A0B5-737EB9589A93}"/>
  </w:font>
  <w:font w:name="Courier New">
    <w:panose1 w:val="02070309020205020404"/>
    <w:charset w:val="00"/>
    <w:family w:val="modern"/>
    <w:pitch w:val="default"/>
    <w:sig w:usb0="E0002E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4" w:fontKey="{D84D0F08-5EF4-4E72-80B3-660529E852C8}"/>
  </w:font>
  <w:font w:name="楷体_GB2312">
    <w:panose1 w:val="02010609030101010101"/>
    <w:charset w:val="86"/>
    <w:family w:val="modern"/>
    <w:pitch w:val="default"/>
    <w:sig w:usb0="00000001" w:usb1="080E0000" w:usb2="00000000" w:usb3="00000000" w:csb0="00040000" w:csb1="00000000"/>
    <w:embedRegular r:id="rId5" w:fontKey="{58F1D2F2-E8E2-4B4B-AB4E-E18984D23076}"/>
  </w:font>
  <w:font w:name="仿宋">
    <w:panose1 w:val="02010609060101010101"/>
    <w:charset w:val="86"/>
    <w:family w:val="modern"/>
    <w:pitch w:val="default"/>
    <w:sig w:usb0="800002BF" w:usb1="38CF7CFA" w:usb2="00000016" w:usb3="00000000" w:csb0="00040001" w:csb1="00000000"/>
    <w:embedRegular r:id="rId6" w:fontKey="{CCAF877C-6446-4482-BEA8-8CE3F85AC11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8EB0A8"/>
    <w:multiLevelType w:val="singleLevel"/>
    <w:tmpl w:val="BB8EB0A8"/>
    <w:lvl w:ilvl="0" w:tentative="0">
      <w:start w:val="12"/>
      <w:numFmt w:val="chineseCounting"/>
      <w:suff w:val="nothing"/>
      <w:lvlText w:val="（%1）"/>
      <w:lvlJc w:val="left"/>
      <w:pPr>
        <w:ind w:left="0" w:firstLine="0"/>
      </w:pPr>
    </w:lvl>
  </w:abstractNum>
  <w:num w:numId="1">
    <w:abstractNumId w:val="0"/>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3E21A5"/>
    <w:rsid w:val="00156925"/>
    <w:rsid w:val="0033618D"/>
    <w:rsid w:val="003E21A5"/>
    <w:rsid w:val="008028DE"/>
    <w:rsid w:val="00997300"/>
    <w:rsid w:val="00E44469"/>
    <w:rsid w:val="00EB568C"/>
    <w:rsid w:val="1EAB0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semiHidden/>
    <w:unhideWhenUsed/>
    <w:qFormat/>
    <w:uiPriority w:val="99"/>
    <w:pPr>
      <w:ind w:firstLine="420" w:firstLineChars="200"/>
    </w:pPr>
    <w:rPr>
      <w:rFonts w:eastAsia="仿宋_GB2312"/>
      <w:sz w:val="32"/>
    </w:rPr>
  </w:style>
  <w:style w:type="paragraph" w:styleId="3">
    <w:name w:val="Body Text"/>
    <w:basedOn w:val="1"/>
    <w:link w:val="14"/>
    <w:unhideWhenUsed/>
    <w:qFormat/>
    <w:uiPriority w:val="99"/>
    <w:pPr>
      <w:spacing w:before="100" w:beforeAutospacing="1" w:after="120"/>
    </w:pPr>
  </w:style>
  <w:style w:type="paragraph" w:styleId="4">
    <w:name w:val="Plain Text"/>
    <w:basedOn w:val="1"/>
    <w:link w:val="15"/>
    <w:semiHidden/>
    <w:unhideWhenUsed/>
    <w:qFormat/>
    <w:uiPriority w:val="99"/>
    <w:rPr>
      <w:rFonts w:ascii="宋体" w:hAnsi="Courier New" w:cs="Courier New"/>
      <w:szCs w:val="21"/>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szCs w:val="24"/>
    </w:rPr>
  </w:style>
  <w:style w:type="table" w:styleId="9">
    <w:name w:val="Table Grid"/>
    <w:basedOn w:val="8"/>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semiHidden/>
    <w:uiPriority w:val="99"/>
    <w:rPr>
      <w:sz w:val="18"/>
      <w:szCs w:val="18"/>
    </w:rPr>
  </w:style>
  <w:style w:type="character" w:customStyle="1" w:styleId="13">
    <w:name w:val="页脚 Char"/>
    <w:basedOn w:val="10"/>
    <w:link w:val="5"/>
    <w:semiHidden/>
    <w:uiPriority w:val="99"/>
    <w:rPr>
      <w:sz w:val="18"/>
      <w:szCs w:val="18"/>
    </w:rPr>
  </w:style>
  <w:style w:type="character" w:customStyle="1" w:styleId="14">
    <w:name w:val="正文文本 Char"/>
    <w:basedOn w:val="10"/>
    <w:link w:val="3"/>
    <w:qFormat/>
    <w:uiPriority w:val="99"/>
    <w:rPr>
      <w:rFonts w:ascii="Calibri" w:hAnsi="Calibri" w:eastAsia="宋体" w:cs="Times New Roman"/>
    </w:rPr>
  </w:style>
  <w:style w:type="character" w:customStyle="1" w:styleId="15">
    <w:name w:val="纯文本 Char"/>
    <w:basedOn w:val="10"/>
    <w:link w:val="4"/>
    <w:semiHidden/>
    <w:qFormat/>
    <w:uiPriority w:val="99"/>
    <w:rPr>
      <w:rFonts w:ascii="宋体" w:hAnsi="Courier New" w:eastAsia="宋体" w:cs="Courier New"/>
      <w:szCs w:val="21"/>
    </w:rPr>
  </w:style>
  <w:style w:type="paragraph" w:customStyle="1" w:styleId="16">
    <w:name w:val="正文文本 21"/>
    <w:basedOn w:val="1"/>
    <w:qFormat/>
    <w:uiPriority w:val="99"/>
    <w:pPr>
      <w:spacing w:after="120" w:line="480" w:lineRule="auto"/>
    </w:pPr>
  </w:style>
  <w:style w:type="paragraph" w:customStyle="1" w:styleId="17">
    <w:name w:val="开头2"/>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27</Pages>
  <Words>1975</Words>
  <Characters>11261</Characters>
  <Lines>93</Lines>
  <Paragraphs>26</Paragraphs>
  <TotalTime>1</TotalTime>
  <ScaleCrop>false</ScaleCrop>
  <LinksUpToDate>false</LinksUpToDate>
  <CharactersWithSpaces>13210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2022-11-15T03:59:00Z</dcterms:created>
  <dc:creator>演示人</dc:creator>
  <cp:lastModifiedBy>3</cp:lastModifiedBy>
  <dcterms:modified xsi:type="dcterms:W3CDTF">2023-11-14T00:29:11Z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1C05390371314CE1A36783F56FB925EB_12</vt:lpwstr>
  </property>
</Properties>
</file>