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3A" w:rsidRDefault="002A340E" w:rsidP="00C165B7">
      <w:pPr>
        <w:pStyle w:val="1"/>
        <w:spacing w:beforeLines="50"/>
        <w:rPr>
          <w:rFonts w:ascii="黑体" w:eastAsia="黑体" w:hAnsi="黑体" w:cs="黑体"/>
          <w:b w:val="0"/>
          <w:bCs w:val="0"/>
          <w:color w:val="000000" w:themeColor="text1"/>
          <w:sz w:val="28"/>
          <w:szCs w:val="28"/>
        </w:rPr>
      </w:pPr>
      <w:r>
        <w:rPr>
          <w:rFonts w:ascii="黑体" w:eastAsia="黑体" w:hAnsi="黑体" w:cs="黑体" w:hint="eastAsia"/>
          <w:b w:val="0"/>
          <w:bCs w:val="0"/>
          <w:color w:val="000000" w:themeColor="text1"/>
          <w:sz w:val="28"/>
          <w:szCs w:val="28"/>
        </w:rPr>
        <w:t>附件</w:t>
      </w:r>
      <w:r>
        <w:rPr>
          <w:rFonts w:ascii="黑体" w:eastAsia="黑体" w:hAnsi="黑体" w:cs="黑体" w:hint="eastAsia"/>
          <w:b w:val="0"/>
          <w:bCs w:val="0"/>
          <w:color w:val="000000" w:themeColor="text1"/>
          <w:sz w:val="28"/>
          <w:szCs w:val="28"/>
        </w:rPr>
        <w:t>1</w:t>
      </w:r>
    </w:p>
    <w:p w:rsidR="000A523A" w:rsidRDefault="002A340E">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达拉特旗</w:t>
      </w:r>
      <w:r>
        <w:rPr>
          <w:rFonts w:ascii="方正小标宋简体" w:eastAsia="方正小标宋简体" w:hAnsi="方正小标宋简体" w:cs="方正小标宋简体" w:hint="eastAsia"/>
          <w:color w:val="000000" w:themeColor="text1"/>
          <w:sz w:val="44"/>
          <w:szCs w:val="44"/>
        </w:rPr>
        <w:t>“</w:t>
      </w:r>
      <w:r>
        <w:rPr>
          <w:rFonts w:ascii="方正小标宋简体" w:eastAsia="方正小标宋简体" w:hAnsi="方正小标宋简体" w:cs="方正小标宋简体" w:hint="eastAsia"/>
          <w:color w:val="000000" w:themeColor="text1"/>
          <w:sz w:val="44"/>
          <w:szCs w:val="44"/>
        </w:rPr>
        <w:t>十四五</w:t>
      </w:r>
      <w:r>
        <w:rPr>
          <w:rFonts w:ascii="方正小标宋简体" w:eastAsia="方正小标宋简体" w:hAnsi="方正小标宋简体" w:cs="方正小标宋简体" w:hint="eastAsia"/>
          <w:color w:val="000000" w:themeColor="text1"/>
          <w:sz w:val="44"/>
          <w:szCs w:val="44"/>
        </w:rPr>
        <w:t>”</w:t>
      </w:r>
      <w:r>
        <w:rPr>
          <w:rFonts w:ascii="方正小标宋简体" w:eastAsia="方正小标宋简体" w:hAnsi="方正小标宋简体" w:cs="方正小标宋简体" w:hint="eastAsia"/>
          <w:color w:val="000000" w:themeColor="text1"/>
          <w:sz w:val="44"/>
          <w:szCs w:val="44"/>
        </w:rPr>
        <w:t>期间新建工业项目</w:t>
      </w:r>
    </w:p>
    <w:p w:rsidR="000A523A" w:rsidRDefault="002A340E">
      <w:pPr>
        <w:spacing w:line="600" w:lineRule="exact"/>
        <w:jc w:val="center"/>
        <w:rPr>
          <w:b/>
          <w:bCs/>
          <w:color w:val="000000" w:themeColor="text1"/>
          <w:sz w:val="44"/>
          <w:szCs w:val="44"/>
        </w:rPr>
      </w:pPr>
      <w:r>
        <w:rPr>
          <w:rFonts w:ascii="方正小标宋简体" w:eastAsia="方正小标宋简体" w:hAnsi="方正小标宋简体" w:cs="方正小标宋简体" w:hint="eastAsia"/>
          <w:color w:val="000000" w:themeColor="text1"/>
          <w:sz w:val="44"/>
          <w:szCs w:val="44"/>
        </w:rPr>
        <w:t>能效综合评价实施细则（试行）</w:t>
      </w:r>
    </w:p>
    <w:p w:rsidR="000A523A" w:rsidRDefault="000A523A">
      <w:pPr>
        <w:pStyle w:val="BodyText"/>
      </w:pP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严格贯彻落实“十四五”期间国家能耗“双控”以及“双碳”战略实施有关政策要求，发挥达拉特旗碳达峰数字化监测平台（下简称“碳达峰平台”）作用，提高工业项目投入产出效益，加快产业结构升级，更好的为地方政府引进优质项目提供科学决策支撑，根据内蒙古自治区《内蒙古自治区政府核准的投资项目目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年本）》《关于“十四五”推进沿黄重点地区工业项目入园及严控高污染、高耗水、高耗能项目的通知》等文件精神，结合达拉特旗实际，制定本实施细则。</w:t>
      </w:r>
    </w:p>
    <w:p w:rsidR="000A523A" w:rsidRDefault="002A340E">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一、总体要求</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指导思想。</w:t>
      </w:r>
      <w:r>
        <w:rPr>
          <w:rFonts w:ascii="仿宋_GB2312" w:eastAsia="仿宋_GB2312" w:hAnsi="仿宋_GB2312" w:cs="仿宋_GB2312" w:hint="eastAsia"/>
          <w:sz w:val="32"/>
          <w:szCs w:val="32"/>
        </w:rPr>
        <w:t>以习近平新时代中国特色社会主义思想为指导，深入贯彻落实习近平生态文明思想，围绕“碳达峰、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碳中和”工作目标，坚定不移贯彻新发展理念，严格“三高”项目准入管理，切实转变发展方式，推动我旗经济社会绿色发展、高质量发展。</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（二）基本原则。</w:t>
      </w:r>
      <w:r>
        <w:rPr>
          <w:rFonts w:ascii="仿宋_GB2312" w:eastAsia="仿宋_GB2312" w:hAnsi="仿宋_GB2312" w:cs="仿宋_GB2312" w:hint="eastAsia"/>
          <w:sz w:val="32"/>
          <w:szCs w:val="32"/>
        </w:rPr>
        <w:t>统筹双控双碳衔接。项目必须符合国家环境保护、安全生产、节能降耗以及碳达峰碳中和等方面有关政策规定和要求，在项目能耗总量批复基础上，强化对项目能耗强度、碳排放强度及碳排放总量的管理。促进产业转型升级。项目必须</w:t>
      </w:r>
      <w:r>
        <w:rPr>
          <w:rFonts w:ascii="仿宋_GB2312" w:eastAsia="仿宋_GB2312" w:hAnsi="仿宋_GB2312" w:cs="仿宋_GB2312" w:hint="eastAsia"/>
          <w:sz w:val="32"/>
          <w:szCs w:val="32"/>
        </w:rPr>
        <w:lastRenderedPageBreak/>
        <w:t>符合国家、自治区、市、旗产业发展引导原则和空间布局指引，坚持发展高端战略新兴产业及延链补链强链项目，严控“三高”产业发展。坚持综合效益优先。综合考量能耗、土地、碳排放、水耗等要素指标占用，以及产值、税收、</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、就业带动效应，“以效益论英雄”，促进资源要素向高产出、高效益产业和项目倾斜。</w:t>
      </w:r>
    </w:p>
    <w:p w:rsidR="000A523A" w:rsidRDefault="002A340E">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二、评价对象</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十四五”期间，达拉特旗域范围内新建、扩建、改建、迁建的工业投资项目。</w:t>
      </w:r>
    </w:p>
    <w:p w:rsidR="000A523A" w:rsidRDefault="002A340E">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三、评价指标</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国家“双碳”战略为指引，综合考虑“双控”、“双碳”及我旗产业基础，构建符合我旗特色的新建工业项目能效综合评价体系，并将相关指标嵌入碳达峰平台，通过平台科学、公正、高效地开展新建工业项目综合效益评价。评价指标体系涵盖项目能效水平、碳排放水平、水资源利用效率、亩均产值以及单位能耗的</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贡献、税收贡献、就业拉动等，具体详见附表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《达拉特旗新建工业项目能效综合评价评分表》。</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四、评价流程</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项目申请。</w:t>
      </w:r>
      <w:r>
        <w:rPr>
          <w:rFonts w:ascii="仿宋_GB2312" w:eastAsia="仿宋_GB2312" w:hAnsi="仿宋_GB2312" w:cs="仿宋_GB2312" w:hint="eastAsia"/>
          <w:sz w:val="32"/>
          <w:szCs w:val="32"/>
        </w:rPr>
        <w:t>由旗开发区管委会会同投资</w:t>
      </w:r>
      <w:r>
        <w:rPr>
          <w:rFonts w:ascii="仿宋_GB2312" w:eastAsia="仿宋_GB2312" w:hAnsi="仿宋_GB2312" w:cs="仿宋_GB2312" w:hint="eastAsia"/>
          <w:sz w:val="32"/>
          <w:szCs w:val="32"/>
        </w:rPr>
        <w:t>促进中心，提供招商引资拟引进重点工业项目名单，并组织项目业主注册登录达拉特旗碳达峰平台，下载填报申请表，并经过相关部门审核通过后提交，具体详见附表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《达拉特旗新建工业项目能效综合评价</w:t>
      </w:r>
      <w:r>
        <w:rPr>
          <w:rFonts w:ascii="仿宋_GB2312" w:eastAsia="仿宋_GB2312" w:hAnsi="仿宋_GB2312" w:cs="仿宋_GB2312" w:hint="eastAsia"/>
          <w:sz w:val="32"/>
          <w:szCs w:val="32"/>
        </w:rPr>
        <w:lastRenderedPageBreak/>
        <w:t>申请表》。</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项目评价。</w:t>
      </w:r>
      <w:r>
        <w:rPr>
          <w:rFonts w:ascii="仿宋_GB2312" w:eastAsia="仿宋_GB2312" w:hAnsi="仿宋_GB2312" w:cs="仿宋_GB2312" w:hint="eastAsia"/>
          <w:sz w:val="32"/>
          <w:szCs w:val="32"/>
        </w:rPr>
        <w:t>惠达普罗公司（碳达峰平台运维方）在收到申请表后，会同旗发改委于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个工作日内通过碳达峰平台对以上新建工业项目进行综合能效评价分析，出具评估报告并呈送旗人民政府审定。</w:t>
      </w:r>
    </w:p>
    <w:p w:rsidR="000A523A" w:rsidRDefault="002A340E">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综合评定。</w:t>
      </w:r>
      <w:r>
        <w:rPr>
          <w:rFonts w:ascii="仿宋_GB2312" w:eastAsia="仿宋_GB2312" w:hAnsi="仿宋_GB2312" w:cs="仿宋_GB2312" w:hint="eastAsia"/>
          <w:sz w:val="32"/>
          <w:szCs w:val="32"/>
        </w:rPr>
        <w:t>旗人民政府收到评估报告后，召集有关部门专题研究确定招商引资新建工业项目优先级排序。</w:t>
      </w: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32"/>
          <w:szCs w:val="32"/>
        </w:rPr>
      </w:pPr>
    </w:p>
    <w:p w:rsidR="000A523A" w:rsidRDefault="000A523A">
      <w:pPr>
        <w:pStyle w:val="BodyText"/>
        <w:rPr>
          <w:rFonts w:ascii="仿宋_GB2312" w:eastAsia="仿宋_GB2312" w:hAnsi="仿宋_GB2312" w:cs="仿宋_GB2312"/>
          <w:color w:val="000000" w:themeColor="text1"/>
          <w:sz w:val="10"/>
          <w:szCs w:val="10"/>
        </w:rPr>
      </w:pPr>
    </w:p>
    <w:p w:rsidR="000A523A" w:rsidRDefault="000A523A">
      <w:pPr>
        <w:pStyle w:val="BodyText"/>
        <w:rPr>
          <w:rFonts w:ascii="仿宋_GB2312" w:eastAsia="仿宋_GB2312" w:hAnsi="仿宋_GB2312" w:cs="仿宋_GB2312"/>
          <w:color w:val="000000" w:themeColor="text1"/>
          <w:sz w:val="10"/>
          <w:szCs w:val="10"/>
        </w:rPr>
      </w:pPr>
    </w:p>
    <w:p w:rsidR="000A523A" w:rsidRDefault="000A523A">
      <w:pPr>
        <w:pStyle w:val="BodyText"/>
        <w:rPr>
          <w:rFonts w:ascii="仿宋_GB2312" w:eastAsia="仿宋_GB2312" w:hAnsi="仿宋_GB2312" w:cs="仿宋_GB2312"/>
          <w:color w:val="000000" w:themeColor="text1"/>
          <w:sz w:val="10"/>
          <w:szCs w:val="10"/>
        </w:rPr>
      </w:pPr>
    </w:p>
    <w:p w:rsidR="000A523A" w:rsidRDefault="002A340E">
      <w:pPr>
        <w:widowControl/>
        <w:rPr>
          <w:rFonts w:ascii="黑体" w:eastAsia="黑体" w:hAnsi="黑体" w:cs="黑体"/>
          <w:kern w:val="0"/>
          <w:sz w:val="28"/>
          <w:szCs w:val="28"/>
        </w:rPr>
      </w:pPr>
      <w:r>
        <w:rPr>
          <w:rFonts w:ascii="黑体" w:eastAsia="黑体" w:hAnsi="黑体" w:cs="黑体" w:hint="eastAsia"/>
          <w:kern w:val="0"/>
          <w:sz w:val="28"/>
          <w:szCs w:val="28"/>
        </w:rPr>
        <w:lastRenderedPageBreak/>
        <w:t>附表</w:t>
      </w:r>
      <w:r>
        <w:rPr>
          <w:rFonts w:ascii="黑体" w:eastAsia="黑体" w:hAnsi="黑体" w:cs="黑体" w:hint="eastAsia"/>
          <w:kern w:val="0"/>
          <w:sz w:val="28"/>
          <w:szCs w:val="28"/>
        </w:rPr>
        <w:t>1</w:t>
      </w:r>
    </w:p>
    <w:p w:rsidR="000A523A" w:rsidRDefault="002A340E">
      <w:pPr>
        <w:widowControl/>
        <w:ind w:firstLineChars="200" w:firstLine="720"/>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达拉特旗新建工业项目</w:t>
      </w:r>
      <w:r>
        <w:rPr>
          <w:rFonts w:ascii="方正小标宋简体" w:eastAsia="方正小标宋简体" w:hAnsi="方正小标宋简体" w:cs="方正小标宋简体" w:hint="eastAsia"/>
          <w:color w:val="000000" w:themeColor="text1"/>
          <w:sz w:val="36"/>
          <w:szCs w:val="36"/>
        </w:rPr>
        <w:t>能效综合评价申请表</w:t>
      </w:r>
    </w:p>
    <w:tbl>
      <w:tblPr>
        <w:tblpPr w:leftFromText="180" w:rightFromText="180" w:vertAnchor="text" w:horzAnchor="page" w:tblpX="1936" w:tblpY="632"/>
        <w:tblOverlap w:val="never"/>
        <w:tblW w:w="8238" w:type="dxa"/>
        <w:tblLayout w:type="fixed"/>
        <w:tblLook w:val="04A0"/>
      </w:tblPr>
      <w:tblGrid>
        <w:gridCol w:w="536"/>
        <w:gridCol w:w="1727"/>
        <w:gridCol w:w="2552"/>
        <w:gridCol w:w="1843"/>
        <w:gridCol w:w="1580"/>
      </w:tblGrid>
      <w:tr w:rsidR="000A523A">
        <w:trPr>
          <w:trHeight w:val="482"/>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Theme="minorEastAsia" w:hAnsiTheme="minorEastAsia" w:cs="宋体"/>
                <w:b/>
                <w:bCs/>
                <w:color w:val="000000"/>
                <w:kern w:val="0"/>
                <w:sz w:val="22"/>
                <w:szCs w:val="22"/>
              </w:rPr>
            </w:pPr>
            <w:r>
              <w:rPr>
                <w:rFonts w:asciiTheme="minorEastAsia" w:hAnsiTheme="minorEastAsia" w:cs="宋体" w:hint="eastAsia"/>
                <w:color w:val="000000"/>
                <w:kern w:val="0"/>
                <w:sz w:val="22"/>
                <w:szCs w:val="22"/>
              </w:rPr>
              <w:t>项目概况</w:t>
            </w:r>
          </w:p>
        </w:tc>
        <w:tc>
          <w:tcPr>
            <w:tcW w:w="1727" w:type="dxa"/>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项目名称</w:t>
            </w:r>
          </w:p>
        </w:tc>
        <w:tc>
          <w:tcPr>
            <w:tcW w:w="5975" w:type="dxa"/>
            <w:gridSpan w:val="3"/>
            <w:tcBorders>
              <w:top w:val="single" w:sz="4" w:space="0" w:color="auto"/>
              <w:left w:val="nil"/>
              <w:bottom w:val="single" w:sz="4" w:space="0" w:color="auto"/>
              <w:right w:val="single" w:sz="4" w:space="0" w:color="auto"/>
            </w:tcBorders>
            <w:shd w:val="clear" w:color="auto" w:fill="auto"/>
            <w:vAlign w:val="center"/>
          </w:tcPr>
          <w:p w:rsidR="000A523A" w:rsidRDefault="000A523A">
            <w:pPr>
              <w:widowControl/>
              <w:jc w:val="left"/>
              <w:rPr>
                <w:rFonts w:ascii="仿宋_GB2312" w:eastAsia="仿宋_GB2312" w:hAnsi="仿宋_GB2312" w:cs="仿宋_GB2312"/>
                <w:color w:val="000000"/>
                <w:kern w:val="0"/>
                <w:sz w:val="22"/>
                <w:szCs w:val="22"/>
              </w:rPr>
            </w:pP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项目性质</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□新建</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□扩建</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□改建</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所属行业</w:t>
            </w:r>
          </w:p>
        </w:tc>
        <w:tc>
          <w:tcPr>
            <w:tcW w:w="1580" w:type="dxa"/>
            <w:tcBorders>
              <w:top w:val="nil"/>
              <w:left w:val="nil"/>
              <w:bottom w:val="single" w:sz="4" w:space="0" w:color="auto"/>
              <w:right w:val="single" w:sz="4" w:space="0" w:color="auto"/>
            </w:tcBorders>
            <w:shd w:val="clear" w:color="auto" w:fill="auto"/>
            <w:vAlign w:val="center"/>
          </w:tcPr>
          <w:p w:rsidR="000A523A" w:rsidRDefault="000A523A">
            <w:pPr>
              <w:widowControl/>
              <w:rPr>
                <w:rFonts w:ascii="仿宋_GB2312" w:eastAsia="仿宋_GB2312" w:hAnsi="仿宋_GB2312" w:cs="仿宋_GB2312"/>
                <w:color w:val="000000"/>
                <w:kern w:val="0"/>
                <w:sz w:val="22"/>
                <w:szCs w:val="22"/>
              </w:rPr>
            </w:pP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项目类别</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□鼓励</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□允许</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□限制</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对应产业目录</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投资类型</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□内资</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□外资</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投资单位</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用地面积</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亩</w:t>
            </w:r>
            <w:r>
              <w:rPr>
                <w:rFonts w:ascii="仿宋_GB2312" w:eastAsia="仿宋_GB2312" w:hAnsi="仿宋_GB2312" w:cs="仿宋_GB2312" w:hint="eastAsia"/>
                <w:color w:val="000000"/>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建筑面积</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w:t>
            </w:r>
            <w:r>
              <w:rPr>
                <w:rFonts w:ascii="仿宋_GB2312" w:eastAsia="仿宋_GB2312" w:hAnsi="仿宋_GB2312" w:cs="仿宋_GB2312" w:hint="eastAsia"/>
                <w:color w:val="000000"/>
                <w:kern w:val="0"/>
                <w:sz w:val="22"/>
                <w:szCs w:val="22"/>
              </w:rPr>
              <w:t>)</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总投资</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万元</w:t>
            </w:r>
            <w:r>
              <w:rPr>
                <w:rFonts w:ascii="仿宋_GB2312" w:eastAsia="仿宋_GB2312" w:hAnsi="仿宋_GB2312" w:cs="仿宋_GB2312" w:hint="eastAsia"/>
                <w:color w:val="000000"/>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固定资产</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万元</w:t>
            </w:r>
            <w:r>
              <w:rPr>
                <w:rFonts w:ascii="仿宋_GB2312" w:eastAsia="仿宋_GB2312" w:hAnsi="仿宋_GB2312" w:cs="仿宋_GB2312" w:hint="eastAsia"/>
                <w:color w:val="000000"/>
                <w:kern w:val="0"/>
                <w:sz w:val="22"/>
                <w:szCs w:val="22"/>
              </w:rPr>
              <w:t>)</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年产值</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万元</w:t>
            </w:r>
            <w:r>
              <w:rPr>
                <w:rFonts w:ascii="仿宋_GB2312" w:eastAsia="仿宋_GB2312" w:hAnsi="仿宋_GB2312" w:cs="仿宋_GB2312" w:hint="eastAsia"/>
                <w:color w:val="000000"/>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年增加值</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万元</w:t>
            </w:r>
            <w:r>
              <w:rPr>
                <w:rFonts w:ascii="仿宋_GB2312" w:eastAsia="仿宋_GB2312" w:hAnsi="仿宋_GB2312" w:cs="仿宋_GB2312" w:hint="eastAsia"/>
                <w:color w:val="000000"/>
                <w:kern w:val="0"/>
                <w:sz w:val="22"/>
                <w:szCs w:val="22"/>
              </w:rPr>
              <w:t>)</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年税收</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万元</w:t>
            </w:r>
            <w:r>
              <w:rPr>
                <w:rFonts w:ascii="仿宋_GB2312" w:eastAsia="仿宋_GB2312" w:hAnsi="仿宋_GB2312" w:cs="仿宋_GB2312" w:hint="eastAsia"/>
                <w:color w:val="000000"/>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创造就业</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人</w:t>
            </w:r>
            <w:r>
              <w:rPr>
                <w:rFonts w:ascii="仿宋_GB2312" w:eastAsia="仿宋_GB2312" w:hAnsi="仿宋_GB2312" w:cs="仿宋_GB2312" w:hint="eastAsia"/>
                <w:color w:val="000000"/>
                <w:kern w:val="0"/>
                <w:sz w:val="22"/>
                <w:szCs w:val="22"/>
              </w:rPr>
              <w:t>)</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主要产品产量</w:t>
            </w:r>
          </w:p>
        </w:tc>
        <w:tc>
          <w:tcPr>
            <w:tcW w:w="5975" w:type="dxa"/>
            <w:gridSpan w:val="3"/>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原材料及用量</w:t>
            </w:r>
          </w:p>
        </w:tc>
        <w:tc>
          <w:tcPr>
            <w:tcW w:w="5975" w:type="dxa"/>
            <w:gridSpan w:val="3"/>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生产工艺流程</w:t>
            </w:r>
          </w:p>
        </w:tc>
        <w:tc>
          <w:tcPr>
            <w:tcW w:w="5975" w:type="dxa"/>
            <w:gridSpan w:val="3"/>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项目建设节奏</w:t>
            </w:r>
          </w:p>
        </w:tc>
        <w:tc>
          <w:tcPr>
            <w:tcW w:w="5975" w:type="dxa"/>
            <w:gridSpan w:val="3"/>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0A523A">
        <w:trPr>
          <w:trHeight w:val="482"/>
        </w:trPr>
        <w:tc>
          <w:tcPr>
            <w:tcW w:w="536" w:type="dxa"/>
            <w:vMerge w:val="restart"/>
            <w:tcBorders>
              <w:top w:val="nil"/>
              <w:left w:val="single" w:sz="4" w:space="0" w:color="auto"/>
              <w:right w:val="single" w:sz="4" w:space="0" w:color="auto"/>
            </w:tcBorders>
            <w:shd w:val="clear" w:color="auto" w:fill="auto"/>
            <w:vAlign w:val="center"/>
          </w:tcPr>
          <w:p w:rsidR="000A523A" w:rsidRDefault="002A340E">
            <w:pPr>
              <w:widowControl/>
              <w:jc w:val="center"/>
              <w:rPr>
                <w:rFonts w:asciiTheme="minorEastAsia" w:hAnsiTheme="minorEastAsia" w:cs="宋体"/>
                <w:b/>
                <w:bCs/>
                <w:color w:val="000000"/>
                <w:kern w:val="0"/>
                <w:sz w:val="22"/>
                <w:szCs w:val="22"/>
              </w:rPr>
            </w:pPr>
            <w:r>
              <w:rPr>
                <w:rFonts w:asciiTheme="minorEastAsia" w:hAnsiTheme="minorEastAsia" w:cs="宋体" w:hint="eastAsia"/>
                <w:color w:val="000000"/>
                <w:kern w:val="0"/>
                <w:sz w:val="22"/>
                <w:szCs w:val="22"/>
              </w:rPr>
              <w:t>年能耗需求</w:t>
            </w: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煤炭</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w:t>
            </w:r>
            <w:r>
              <w:rPr>
                <w:rFonts w:ascii="仿宋_GB2312" w:eastAsia="仿宋_GB2312" w:hAnsi="仿宋_GB2312" w:cs="仿宋_GB2312" w:hint="eastAsia"/>
                <w:color w:val="000000"/>
                <w:kern w:val="0"/>
                <w:sz w:val="22"/>
                <w:szCs w:val="22"/>
              </w:rPr>
              <w:t>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石油</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w:t>
            </w:r>
            <w:r>
              <w:rPr>
                <w:rFonts w:ascii="仿宋_GB2312" w:eastAsia="仿宋_GB2312" w:hAnsi="仿宋_GB2312" w:cs="仿宋_GB2312" w:hint="eastAsia"/>
                <w:color w:val="000000"/>
                <w:kern w:val="0"/>
                <w:sz w:val="22"/>
                <w:szCs w:val="22"/>
              </w:rPr>
              <w:t>t)</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 xml:space="preserve">　</w:t>
            </w:r>
          </w:p>
        </w:tc>
      </w:tr>
      <w:tr w:rsidR="000A523A">
        <w:trPr>
          <w:trHeight w:val="482"/>
        </w:trPr>
        <w:tc>
          <w:tcPr>
            <w:tcW w:w="536" w:type="dxa"/>
            <w:vMerge/>
            <w:tcBorders>
              <w:left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天然气</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w:t>
            </w:r>
            <w:r>
              <w:rPr>
                <w:rFonts w:ascii="仿宋_GB2312" w:eastAsia="仿宋_GB2312" w:hAnsi="仿宋_GB2312" w:cs="仿宋_GB2312" w:hint="eastAsia"/>
                <w:color w:val="000000"/>
                <w:kern w:val="0"/>
                <w:sz w:val="22"/>
                <w:szCs w:val="22"/>
              </w:rPr>
              <w:t>m</w:t>
            </w:r>
            <w:r>
              <w:rPr>
                <w:rFonts w:ascii="仿宋_GB2312" w:eastAsia="仿宋_GB2312" w:hAnsi="仿宋_GB2312" w:cs="仿宋_GB2312" w:hint="eastAsia"/>
                <w:color w:val="000000"/>
                <w:kern w:val="0"/>
                <w:sz w:val="22"/>
                <w:szCs w:val="22"/>
              </w:rPr>
              <w:t>³</w:t>
            </w:r>
            <w:r>
              <w:rPr>
                <w:rFonts w:ascii="仿宋_GB2312" w:eastAsia="仿宋_GB2312" w:hAnsi="仿宋_GB2312" w:cs="仿宋_GB2312" w:hint="eastAsia"/>
                <w:color w:val="000000"/>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市电</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w:t>
            </w:r>
            <w:r>
              <w:rPr>
                <w:rFonts w:ascii="仿宋_GB2312" w:eastAsia="仿宋_GB2312" w:hAnsi="仿宋_GB2312" w:cs="仿宋_GB2312" w:hint="eastAsia"/>
                <w:color w:val="000000"/>
                <w:kern w:val="0"/>
                <w:sz w:val="22"/>
                <w:szCs w:val="22"/>
              </w:rPr>
              <w:t>kWh)</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 xml:space="preserve">　</w:t>
            </w:r>
          </w:p>
        </w:tc>
      </w:tr>
      <w:tr w:rsidR="000A523A">
        <w:trPr>
          <w:trHeight w:val="482"/>
        </w:trPr>
        <w:tc>
          <w:tcPr>
            <w:tcW w:w="536" w:type="dxa"/>
            <w:vMerge/>
            <w:tcBorders>
              <w:left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外供蒸汽</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w:t>
            </w:r>
            <w:r>
              <w:rPr>
                <w:rFonts w:ascii="仿宋_GB2312" w:eastAsia="仿宋_GB2312" w:hAnsi="仿宋_GB2312" w:cs="仿宋_GB2312" w:hint="eastAsia"/>
                <w:color w:val="000000"/>
                <w:kern w:val="0"/>
                <w:sz w:val="22"/>
                <w:szCs w:val="22"/>
              </w:rPr>
              <w:t>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外供采暖</w:t>
            </w:r>
            <w:r>
              <w:rPr>
                <w:rFonts w:ascii="仿宋_GB2312" w:eastAsia="仿宋_GB2312" w:hAnsi="仿宋_GB2312" w:cs="仿宋_GB2312" w:hint="eastAsia"/>
                <w:color w:val="000000"/>
                <w:kern w:val="0"/>
                <w:sz w:val="22"/>
                <w:szCs w:val="22"/>
              </w:rPr>
              <w:t xml:space="preserve"> (GJ)</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 xml:space="preserve">　</w:t>
            </w:r>
          </w:p>
        </w:tc>
      </w:tr>
      <w:tr w:rsidR="000A523A">
        <w:trPr>
          <w:trHeight w:val="482"/>
        </w:trPr>
        <w:tc>
          <w:tcPr>
            <w:tcW w:w="536" w:type="dxa"/>
            <w:vMerge/>
            <w:tcBorders>
              <w:left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生产用水</w:t>
            </w:r>
            <w:r>
              <w:rPr>
                <w:rFonts w:ascii="仿宋_GB2312" w:eastAsia="仿宋_GB2312" w:hAnsi="仿宋_GB2312" w:cs="仿宋_GB2312" w:hint="eastAsia"/>
                <w:color w:val="000000"/>
                <w:kern w:val="0"/>
                <w:sz w:val="22"/>
                <w:szCs w:val="22"/>
              </w:rPr>
              <w:t>(m</w:t>
            </w:r>
            <w:r>
              <w:rPr>
                <w:rFonts w:ascii="仿宋_GB2312" w:eastAsia="仿宋_GB2312" w:hAnsi="仿宋_GB2312" w:cs="仿宋_GB2312" w:hint="eastAsia"/>
                <w:color w:val="000000"/>
                <w:kern w:val="0"/>
                <w:sz w:val="22"/>
                <w:szCs w:val="22"/>
              </w:rPr>
              <w:t>³</w:t>
            </w:r>
            <w:r>
              <w:rPr>
                <w:rFonts w:ascii="仿宋_GB2312" w:eastAsia="仿宋_GB2312" w:hAnsi="仿宋_GB2312" w:cs="仿宋_GB2312" w:hint="eastAsia"/>
                <w:color w:val="000000"/>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生活用水</w:t>
            </w:r>
            <w:r>
              <w:rPr>
                <w:rFonts w:ascii="仿宋_GB2312" w:eastAsia="仿宋_GB2312" w:hAnsi="仿宋_GB2312" w:cs="仿宋_GB2312" w:hint="eastAsia"/>
                <w:color w:val="000000"/>
                <w:kern w:val="0"/>
                <w:sz w:val="22"/>
                <w:szCs w:val="22"/>
              </w:rPr>
              <w:t>(m</w:t>
            </w:r>
            <w:r>
              <w:rPr>
                <w:rFonts w:ascii="仿宋_GB2312" w:eastAsia="仿宋_GB2312" w:hAnsi="仿宋_GB2312" w:cs="仿宋_GB2312" w:hint="eastAsia"/>
                <w:color w:val="000000"/>
                <w:kern w:val="0"/>
                <w:sz w:val="22"/>
                <w:szCs w:val="22"/>
              </w:rPr>
              <w:t>³</w:t>
            </w:r>
            <w:r>
              <w:rPr>
                <w:rFonts w:ascii="仿宋_GB2312" w:eastAsia="仿宋_GB2312" w:hAnsi="仿宋_GB2312" w:cs="仿宋_GB2312" w:hint="eastAsia"/>
                <w:color w:val="000000"/>
                <w:kern w:val="0"/>
                <w:sz w:val="22"/>
                <w:szCs w:val="22"/>
              </w:rPr>
              <w:t>)</w:t>
            </w:r>
          </w:p>
        </w:tc>
        <w:tc>
          <w:tcPr>
            <w:tcW w:w="1580" w:type="dxa"/>
            <w:tcBorders>
              <w:top w:val="nil"/>
              <w:left w:val="nil"/>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 xml:space="preserve">　</w:t>
            </w:r>
          </w:p>
        </w:tc>
      </w:tr>
      <w:tr w:rsidR="000A523A">
        <w:trPr>
          <w:trHeight w:val="482"/>
        </w:trPr>
        <w:tc>
          <w:tcPr>
            <w:tcW w:w="536" w:type="dxa"/>
            <w:vMerge/>
            <w:tcBorders>
              <w:left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4279" w:type="dxa"/>
            <w:gridSpan w:val="2"/>
            <w:tcBorders>
              <w:top w:val="nil"/>
              <w:left w:val="single" w:sz="4" w:space="0" w:color="auto"/>
              <w:bottom w:val="single" w:sz="4" w:space="0" w:color="auto"/>
              <w:right w:val="single" w:sz="4" w:space="0" w:color="auto"/>
            </w:tcBorders>
            <w:vAlign w:val="center"/>
          </w:tcPr>
          <w:p w:rsidR="000A523A" w:rsidRDefault="002A340E">
            <w:pPr>
              <w:widowControl/>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综合能耗</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等价值</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万</w:t>
            </w:r>
            <w:r>
              <w:rPr>
                <w:rFonts w:ascii="仿宋_GB2312" w:eastAsia="仿宋_GB2312" w:hAnsi="仿宋_GB2312" w:cs="仿宋_GB2312" w:hint="eastAsia"/>
                <w:color w:val="000000"/>
                <w:kern w:val="0"/>
                <w:sz w:val="22"/>
                <w:szCs w:val="22"/>
              </w:rPr>
              <w:t>tce)</w:t>
            </w:r>
          </w:p>
        </w:tc>
        <w:tc>
          <w:tcPr>
            <w:tcW w:w="3423" w:type="dxa"/>
            <w:gridSpan w:val="2"/>
            <w:tcBorders>
              <w:top w:val="single" w:sz="4" w:space="0" w:color="auto"/>
              <w:left w:val="nil"/>
              <w:bottom w:val="single" w:sz="4" w:space="0" w:color="auto"/>
              <w:right w:val="single" w:sz="4" w:space="0" w:color="auto"/>
            </w:tcBorders>
            <w:shd w:val="clear" w:color="auto" w:fill="auto"/>
            <w:vAlign w:val="center"/>
          </w:tcPr>
          <w:p w:rsidR="000A523A" w:rsidRDefault="000A523A">
            <w:pPr>
              <w:widowControl/>
              <w:jc w:val="center"/>
              <w:rPr>
                <w:rFonts w:ascii="仿宋_GB2312" w:eastAsia="仿宋_GB2312" w:hAnsi="仿宋_GB2312" w:cs="仿宋_GB2312"/>
                <w:b/>
                <w:bCs/>
                <w:color w:val="000000"/>
                <w:kern w:val="0"/>
                <w:sz w:val="22"/>
                <w:szCs w:val="22"/>
              </w:rPr>
            </w:pPr>
          </w:p>
        </w:tc>
      </w:tr>
      <w:tr w:rsidR="000A523A">
        <w:trPr>
          <w:trHeight w:val="482"/>
        </w:trPr>
        <w:tc>
          <w:tcPr>
            <w:tcW w:w="536" w:type="dxa"/>
            <w:vMerge/>
            <w:tcBorders>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4279" w:type="dxa"/>
            <w:gridSpan w:val="2"/>
            <w:tcBorders>
              <w:top w:val="nil"/>
              <w:left w:val="single" w:sz="4" w:space="0" w:color="auto"/>
              <w:bottom w:val="single" w:sz="4" w:space="0" w:color="auto"/>
              <w:right w:val="single" w:sz="4" w:space="0" w:color="auto"/>
            </w:tcBorders>
            <w:vAlign w:val="center"/>
          </w:tcPr>
          <w:p w:rsidR="000A523A" w:rsidRDefault="002A340E">
            <w:pPr>
              <w:widowControl/>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碳排放量（万</w:t>
            </w:r>
            <w:r>
              <w:rPr>
                <w:rFonts w:ascii="仿宋_GB2312" w:eastAsia="仿宋_GB2312" w:hAnsi="仿宋_GB2312" w:cs="仿宋_GB2312" w:hint="eastAsia"/>
                <w:color w:val="000000"/>
                <w:kern w:val="0"/>
                <w:sz w:val="22"/>
                <w:szCs w:val="22"/>
              </w:rPr>
              <w:t>tCO</w:t>
            </w:r>
            <w:r>
              <w:rPr>
                <w:rFonts w:ascii="仿宋_GB2312" w:eastAsia="仿宋_GB2312" w:hAnsi="仿宋_GB2312" w:cs="仿宋_GB2312" w:hint="eastAsia"/>
                <w:color w:val="000000"/>
                <w:kern w:val="0"/>
                <w:sz w:val="22"/>
                <w:szCs w:val="22"/>
                <w:vertAlign w:val="subscript"/>
              </w:rPr>
              <w:t>2</w:t>
            </w:r>
            <w:r>
              <w:rPr>
                <w:rFonts w:ascii="仿宋_GB2312" w:eastAsia="仿宋_GB2312" w:hAnsi="仿宋_GB2312" w:cs="仿宋_GB2312" w:hint="eastAsia"/>
                <w:color w:val="000000"/>
                <w:kern w:val="0"/>
                <w:sz w:val="22"/>
                <w:szCs w:val="22"/>
              </w:rPr>
              <w:t>）</w:t>
            </w:r>
          </w:p>
        </w:tc>
        <w:tc>
          <w:tcPr>
            <w:tcW w:w="3423" w:type="dxa"/>
            <w:gridSpan w:val="2"/>
            <w:tcBorders>
              <w:top w:val="single" w:sz="4" w:space="0" w:color="auto"/>
              <w:left w:val="nil"/>
              <w:bottom w:val="single" w:sz="4" w:space="0" w:color="auto"/>
              <w:right w:val="single" w:sz="4" w:space="0" w:color="auto"/>
            </w:tcBorders>
            <w:shd w:val="clear" w:color="auto" w:fill="auto"/>
            <w:vAlign w:val="center"/>
          </w:tcPr>
          <w:p w:rsidR="000A523A" w:rsidRDefault="000A523A">
            <w:pPr>
              <w:widowControl/>
              <w:jc w:val="center"/>
              <w:rPr>
                <w:rFonts w:ascii="仿宋_GB2312" w:eastAsia="仿宋_GB2312" w:hAnsi="仿宋_GB2312" w:cs="仿宋_GB2312"/>
                <w:b/>
                <w:bCs/>
                <w:color w:val="000000"/>
                <w:kern w:val="0"/>
                <w:sz w:val="22"/>
                <w:szCs w:val="22"/>
              </w:rPr>
            </w:pPr>
          </w:p>
        </w:tc>
      </w:tr>
      <w:tr w:rsidR="000A523A">
        <w:trPr>
          <w:trHeight w:val="482"/>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Theme="minorEastAsia" w:hAnsiTheme="minorEastAsia" w:cs="宋体"/>
                <w:b/>
                <w:bCs/>
                <w:color w:val="000000"/>
                <w:kern w:val="0"/>
                <w:sz w:val="22"/>
                <w:szCs w:val="22"/>
              </w:rPr>
            </w:pPr>
            <w:r>
              <w:rPr>
                <w:rFonts w:asciiTheme="minorEastAsia" w:hAnsiTheme="minorEastAsia" w:cs="宋体" w:hint="eastAsia"/>
                <w:color w:val="000000"/>
                <w:kern w:val="0"/>
                <w:sz w:val="22"/>
                <w:szCs w:val="22"/>
              </w:rPr>
              <w:t>年排放情况</w:t>
            </w: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rsidR="000A523A" w:rsidRDefault="002A340E">
            <w:pPr>
              <w:widowControl/>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生产废水排放</w:t>
            </w:r>
          </w:p>
        </w:tc>
        <w:tc>
          <w:tcPr>
            <w:tcW w:w="5975" w:type="dxa"/>
            <w:gridSpan w:val="3"/>
            <w:tcBorders>
              <w:top w:val="single" w:sz="4" w:space="0" w:color="auto"/>
              <w:left w:val="nil"/>
              <w:bottom w:val="single" w:sz="4" w:space="0" w:color="auto"/>
              <w:right w:val="single" w:sz="4" w:space="0" w:color="auto"/>
            </w:tcBorders>
            <w:shd w:val="clear" w:color="000000" w:fill="FFFFFF"/>
            <w:vAlign w:val="center"/>
          </w:tcPr>
          <w:p w:rsidR="000A523A" w:rsidRDefault="002A340E">
            <w:pPr>
              <w:widowControl/>
              <w:ind w:firstLineChars="150" w:firstLine="330"/>
              <w:jc w:val="left"/>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□有（年排放量：</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□否</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rsidR="000A523A" w:rsidRDefault="002A340E">
            <w:pPr>
              <w:widowControl/>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工艺废气排放</w:t>
            </w:r>
          </w:p>
        </w:tc>
        <w:tc>
          <w:tcPr>
            <w:tcW w:w="5975" w:type="dxa"/>
            <w:gridSpan w:val="3"/>
            <w:tcBorders>
              <w:top w:val="single" w:sz="4" w:space="0" w:color="auto"/>
              <w:left w:val="nil"/>
              <w:bottom w:val="single" w:sz="4" w:space="0" w:color="auto"/>
              <w:right w:val="single" w:sz="4" w:space="0" w:color="auto"/>
            </w:tcBorders>
            <w:shd w:val="clear" w:color="000000" w:fill="FFFFFF"/>
            <w:vAlign w:val="center"/>
          </w:tcPr>
          <w:p w:rsidR="000A523A" w:rsidRDefault="002A340E">
            <w:pPr>
              <w:widowControl/>
              <w:ind w:firstLineChars="150" w:firstLine="330"/>
              <w:jc w:val="left"/>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□有（年排放量：</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□否</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rsidR="000A523A" w:rsidRDefault="002A340E">
            <w:pPr>
              <w:widowControl/>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危险废物产生</w:t>
            </w:r>
          </w:p>
        </w:tc>
        <w:tc>
          <w:tcPr>
            <w:tcW w:w="5975" w:type="dxa"/>
            <w:gridSpan w:val="3"/>
            <w:tcBorders>
              <w:top w:val="single" w:sz="4" w:space="0" w:color="auto"/>
              <w:left w:val="nil"/>
              <w:bottom w:val="single" w:sz="4" w:space="0" w:color="auto"/>
              <w:right w:val="single" w:sz="4" w:space="0" w:color="auto"/>
            </w:tcBorders>
            <w:shd w:val="clear" w:color="000000" w:fill="FFFFFF"/>
            <w:vAlign w:val="center"/>
          </w:tcPr>
          <w:p w:rsidR="000A523A" w:rsidRDefault="002A340E">
            <w:pPr>
              <w:widowControl/>
              <w:ind w:firstLineChars="150" w:firstLine="330"/>
              <w:jc w:val="left"/>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□有（年排放量：</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□否</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rsidR="000A523A" w:rsidRDefault="002A340E">
            <w:pPr>
              <w:widowControl/>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其他污染物</w:t>
            </w:r>
          </w:p>
        </w:tc>
        <w:tc>
          <w:tcPr>
            <w:tcW w:w="5975" w:type="dxa"/>
            <w:gridSpan w:val="3"/>
            <w:tcBorders>
              <w:top w:val="single" w:sz="4" w:space="0" w:color="auto"/>
              <w:left w:val="nil"/>
              <w:bottom w:val="single" w:sz="4" w:space="0" w:color="auto"/>
              <w:right w:val="single" w:sz="4" w:space="0" w:color="auto"/>
            </w:tcBorders>
            <w:shd w:val="clear" w:color="000000" w:fill="FFFFFF"/>
            <w:vAlign w:val="center"/>
          </w:tcPr>
          <w:p w:rsidR="000A523A" w:rsidRDefault="002A340E">
            <w:pPr>
              <w:widowControl/>
              <w:ind w:firstLineChars="150" w:firstLine="330"/>
              <w:jc w:val="left"/>
              <w:rPr>
                <w:rFonts w:ascii="仿宋_GB2312" w:eastAsia="仿宋_GB2312" w:hAnsi="仿宋_GB2312" w:cs="仿宋_GB2312"/>
                <w:color w:val="333333"/>
                <w:kern w:val="0"/>
                <w:sz w:val="22"/>
                <w:szCs w:val="22"/>
              </w:rPr>
            </w:pPr>
            <w:r>
              <w:rPr>
                <w:rFonts w:ascii="仿宋_GB2312" w:eastAsia="仿宋_GB2312" w:hAnsi="仿宋_GB2312" w:cs="仿宋_GB2312" w:hint="eastAsia"/>
                <w:color w:val="333333"/>
                <w:kern w:val="0"/>
                <w:sz w:val="22"/>
                <w:szCs w:val="22"/>
              </w:rPr>
              <w:t>□有（年排放量：</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 xml:space="preserve"> </w:t>
            </w:r>
            <w:r>
              <w:rPr>
                <w:rFonts w:ascii="仿宋_GB2312" w:eastAsia="仿宋_GB2312" w:hAnsi="仿宋_GB2312" w:cs="仿宋_GB2312" w:hint="eastAsia"/>
                <w:color w:val="333333"/>
                <w:kern w:val="0"/>
                <w:sz w:val="22"/>
                <w:szCs w:val="22"/>
              </w:rPr>
              <w:t>□否</w:t>
            </w:r>
          </w:p>
        </w:tc>
      </w:tr>
      <w:tr w:rsidR="000A523A">
        <w:trPr>
          <w:trHeight w:val="482"/>
        </w:trPr>
        <w:tc>
          <w:tcPr>
            <w:tcW w:w="536"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Theme="minorEastAsia" w:hAnsiTheme="minorEastAsia" w:cs="宋体"/>
                <w:b/>
                <w:bCs/>
                <w:color w:val="000000"/>
                <w:kern w:val="0"/>
                <w:sz w:val="22"/>
                <w:szCs w:val="22"/>
              </w:rPr>
            </w:pP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安全生产情况</w:t>
            </w:r>
          </w:p>
        </w:tc>
        <w:tc>
          <w:tcPr>
            <w:tcW w:w="5975" w:type="dxa"/>
            <w:gridSpan w:val="3"/>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ind w:firstLineChars="150" w:firstLine="33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□有使用危险化学品　　　　　□有职业病危害源</w:t>
            </w:r>
          </w:p>
        </w:tc>
      </w:tr>
    </w:tbl>
    <w:p w:rsidR="000A523A" w:rsidRDefault="000A523A">
      <w:pPr>
        <w:widowControl/>
        <w:rPr>
          <w:b/>
          <w:bCs/>
          <w:kern w:val="0"/>
        </w:rPr>
      </w:pPr>
    </w:p>
    <w:p w:rsidR="000A523A" w:rsidRDefault="002A340E">
      <w:pPr>
        <w:widowControl/>
        <w:spacing w:line="360" w:lineRule="auto"/>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项目业主签章</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主管部门签章</w:t>
      </w:r>
    </w:p>
    <w:p w:rsidR="000A523A" w:rsidRDefault="002A340E">
      <w:pPr>
        <w:widowControl/>
        <w:spacing w:line="360" w:lineRule="auto"/>
        <w:rPr>
          <w:rFonts w:cs="宋体"/>
          <w:kern w:val="0"/>
          <w:sz w:val="28"/>
          <w:szCs w:val="28"/>
        </w:rPr>
      </w:pPr>
      <w:r>
        <w:rPr>
          <w:rFonts w:asciiTheme="minorEastAsia" w:hAnsiTheme="minorEastAsia" w:cstheme="minorEastAsia" w:hint="eastAsia"/>
          <w:kern w:val="0"/>
          <w:sz w:val="28"/>
          <w:szCs w:val="28"/>
        </w:rPr>
        <w:t>日期：</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日期</w:t>
      </w:r>
      <w:r>
        <w:rPr>
          <w:rFonts w:cs="宋体" w:hint="eastAsia"/>
          <w:kern w:val="0"/>
          <w:sz w:val="28"/>
          <w:szCs w:val="28"/>
        </w:rPr>
        <w:t>：</w:t>
      </w: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0A523A">
      <w:pPr>
        <w:widowControl/>
        <w:spacing w:line="360" w:lineRule="auto"/>
        <w:rPr>
          <w:rFonts w:cs="宋体"/>
          <w:kern w:val="0"/>
          <w:sz w:val="28"/>
          <w:szCs w:val="28"/>
        </w:rPr>
      </w:pPr>
    </w:p>
    <w:p w:rsidR="000A523A" w:rsidRDefault="002A340E">
      <w:pPr>
        <w:widowControl/>
        <w:rPr>
          <w:rFonts w:ascii="方正小标宋简体" w:eastAsia="方正小标宋简体" w:hAnsi="方正小标宋简体" w:cs="方正小标宋简体"/>
          <w:kern w:val="0"/>
          <w:sz w:val="36"/>
          <w:szCs w:val="36"/>
        </w:rPr>
      </w:pPr>
      <w:r>
        <w:rPr>
          <w:rFonts w:ascii="黑体" w:eastAsia="黑体" w:hAnsi="黑体" w:cs="黑体" w:hint="eastAsia"/>
          <w:kern w:val="0"/>
          <w:sz w:val="28"/>
          <w:szCs w:val="28"/>
        </w:rPr>
        <w:t>附表</w:t>
      </w:r>
      <w:r>
        <w:rPr>
          <w:rFonts w:ascii="黑体" w:eastAsia="黑体" w:hAnsi="黑体" w:cs="黑体" w:hint="eastAsia"/>
          <w:kern w:val="0"/>
          <w:sz w:val="28"/>
          <w:szCs w:val="28"/>
        </w:rPr>
        <w:t>2</w:t>
      </w:r>
    </w:p>
    <w:p w:rsidR="000A523A" w:rsidRDefault="002A340E">
      <w:pPr>
        <w:widowControl/>
        <w:jc w:val="center"/>
        <w:rPr>
          <w:rFonts w:ascii="宋体" w:eastAsia="宋体" w:hAnsi="宋体"/>
          <w:b/>
          <w:bCs/>
          <w:color w:val="000000" w:themeColor="text1"/>
          <w:sz w:val="44"/>
          <w:szCs w:val="44"/>
        </w:rPr>
      </w:pPr>
      <w:r>
        <w:rPr>
          <w:rFonts w:ascii="方正小标宋简体" w:eastAsia="方正小标宋简体" w:hAnsi="方正小标宋简体" w:cs="方正小标宋简体" w:hint="eastAsia"/>
          <w:kern w:val="0"/>
          <w:sz w:val="36"/>
          <w:szCs w:val="36"/>
        </w:rPr>
        <w:t>达拉特旗新建工业项目能效综合评价评分表（试行）</w:t>
      </w:r>
    </w:p>
    <w:tbl>
      <w:tblPr>
        <w:tblpPr w:leftFromText="180" w:rightFromText="180" w:vertAnchor="text" w:horzAnchor="page" w:tblpX="1811" w:tblpY="649"/>
        <w:tblOverlap w:val="never"/>
        <w:tblW w:w="8217" w:type="dxa"/>
        <w:tblLayout w:type="fixed"/>
        <w:tblLook w:val="04A0"/>
      </w:tblPr>
      <w:tblGrid>
        <w:gridCol w:w="1271"/>
        <w:gridCol w:w="5500"/>
        <w:gridCol w:w="708"/>
        <w:gridCol w:w="738"/>
      </w:tblGrid>
      <w:tr w:rsidR="000A523A">
        <w:trPr>
          <w:trHeight w:val="3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黑体" w:eastAsia="黑体" w:hAnsi="黑体" w:cs="黑体"/>
                <w:color w:val="000000"/>
                <w:kern w:val="0"/>
                <w:sz w:val="22"/>
                <w:szCs w:val="22"/>
              </w:rPr>
            </w:pPr>
            <w:r>
              <w:rPr>
                <w:rFonts w:ascii="黑体" w:eastAsia="黑体" w:hAnsi="黑体" w:cs="黑体" w:hint="eastAsia"/>
                <w:color w:val="000000"/>
                <w:kern w:val="0"/>
                <w:sz w:val="22"/>
                <w:szCs w:val="22"/>
              </w:rPr>
              <w:lastRenderedPageBreak/>
              <w:t>评价指标</w:t>
            </w:r>
          </w:p>
        </w:tc>
        <w:tc>
          <w:tcPr>
            <w:tcW w:w="5500" w:type="dxa"/>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黑体" w:eastAsia="黑体" w:hAnsi="黑体" w:cs="黑体"/>
                <w:color w:val="000000"/>
                <w:kern w:val="0"/>
                <w:sz w:val="22"/>
                <w:szCs w:val="22"/>
              </w:rPr>
            </w:pPr>
            <w:r>
              <w:rPr>
                <w:rFonts w:ascii="黑体" w:eastAsia="黑体" w:hAnsi="黑体" w:cs="黑体" w:hint="eastAsia"/>
                <w:color w:val="000000"/>
                <w:kern w:val="0"/>
                <w:sz w:val="22"/>
                <w:szCs w:val="22"/>
              </w:rPr>
              <w:t>评分标准</w:t>
            </w:r>
          </w:p>
        </w:tc>
        <w:tc>
          <w:tcPr>
            <w:tcW w:w="708" w:type="dxa"/>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黑体" w:eastAsia="黑体" w:hAnsi="黑体" w:cs="黑体"/>
                <w:color w:val="000000"/>
                <w:kern w:val="0"/>
                <w:sz w:val="22"/>
                <w:szCs w:val="22"/>
              </w:rPr>
            </w:pPr>
            <w:r>
              <w:rPr>
                <w:rFonts w:ascii="黑体" w:eastAsia="黑体" w:hAnsi="黑体" w:cs="黑体" w:hint="eastAsia"/>
                <w:color w:val="000000"/>
                <w:kern w:val="0"/>
                <w:sz w:val="22"/>
                <w:szCs w:val="22"/>
              </w:rPr>
              <w:t>分值</w:t>
            </w:r>
          </w:p>
        </w:tc>
        <w:tc>
          <w:tcPr>
            <w:tcW w:w="738" w:type="dxa"/>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黑体" w:eastAsia="黑体" w:hAnsi="黑体" w:cs="黑体"/>
                <w:color w:val="000000"/>
                <w:kern w:val="0"/>
                <w:sz w:val="22"/>
                <w:szCs w:val="22"/>
              </w:rPr>
            </w:pPr>
            <w:r>
              <w:rPr>
                <w:rFonts w:ascii="黑体" w:eastAsia="黑体" w:hAnsi="黑体" w:cs="黑体" w:hint="eastAsia"/>
                <w:color w:val="000000"/>
                <w:kern w:val="0"/>
                <w:sz w:val="22"/>
                <w:szCs w:val="22"/>
              </w:rPr>
              <w:t>评分</w:t>
            </w:r>
          </w:p>
        </w:tc>
      </w:tr>
      <w:tr w:rsidR="000A523A">
        <w:trPr>
          <w:trHeight w:val="170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楷体_GB2312" w:eastAsia="楷体_GB2312" w:hAnsi="楷体_GB2312" w:cs="楷体_GB2312"/>
                <w:color w:val="000000"/>
                <w:kern w:val="0"/>
                <w:sz w:val="22"/>
                <w:szCs w:val="22"/>
              </w:rPr>
            </w:pPr>
            <w:r>
              <w:rPr>
                <w:rFonts w:ascii="楷体_GB2312" w:eastAsia="楷体_GB2312" w:hAnsi="楷体_GB2312" w:cs="楷体_GB2312" w:hint="eastAsia"/>
                <w:color w:val="000000"/>
                <w:kern w:val="0"/>
                <w:sz w:val="22"/>
                <w:szCs w:val="22"/>
              </w:rPr>
              <w:t>项目类型</w:t>
            </w:r>
            <w:r>
              <w:rPr>
                <w:rFonts w:ascii="楷体_GB2312" w:eastAsia="楷体_GB2312" w:hAnsi="楷体_GB2312" w:cs="楷体_GB2312" w:hint="eastAsia"/>
                <w:color w:val="000000"/>
                <w:kern w:val="0"/>
                <w:sz w:val="22"/>
                <w:szCs w:val="22"/>
              </w:rPr>
              <w:br/>
            </w:r>
            <w:r>
              <w:rPr>
                <w:rFonts w:ascii="楷体_GB2312" w:eastAsia="楷体_GB2312" w:hAnsi="楷体_GB2312" w:cs="楷体_GB2312" w:hint="eastAsia"/>
                <w:color w:val="000000"/>
                <w:kern w:val="0"/>
                <w:sz w:val="22"/>
                <w:szCs w:val="22"/>
              </w:rPr>
              <w:t>（</w:t>
            </w:r>
            <w:r>
              <w:rPr>
                <w:rFonts w:ascii="楷体_GB2312" w:eastAsia="楷体_GB2312" w:hAnsi="楷体_GB2312" w:cs="楷体_GB2312" w:hint="eastAsia"/>
                <w:color w:val="000000"/>
                <w:kern w:val="0"/>
                <w:sz w:val="22"/>
                <w:szCs w:val="22"/>
              </w:rPr>
              <w:t>20</w:t>
            </w:r>
            <w:r>
              <w:rPr>
                <w:rFonts w:ascii="楷体_GB2312" w:eastAsia="楷体_GB2312" w:hAnsi="楷体_GB2312" w:cs="楷体_GB2312" w:hint="eastAsia"/>
                <w:color w:val="000000"/>
                <w:kern w:val="0"/>
                <w:sz w:val="22"/>
                <w:szCs w:val="22"/>
              </w:rPr>
              <w:t>分）</w:t>
            </w: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☆属于国家规定的战略新兴产业，得</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分；不在国家战略新兴产业范畴，但属于旗市重点鼓励发展产业得</w:t>
            </w:r>
            <w:r>
              <w:rPr>
                <w:rFonts w:ascii="仿宋_GB2312" w:eastAsia="仿宋_GB2312" w:hAnsi="仿宋_GB2312" w:cs="仿宋_GB2312" w:hint="eastAsia"/>
                <w:color w:val="000000"/>
                <w:kern w:val="0"/>
                <w:sz w:val="22"/>
                <w:szCs w:val="22"/>
              </w:rPr>
              <w:t>7</w:t>
            </w:r>
            <w:r>
              <w:rPr>
                <w:rFonts w:ascii="仿宋_GB2312" w:eastAsia="仿宋_GB2312" w:hAnsi="仿宋_GB2312" w:cs="仿宋_GB2312" w:hint="eastAsia"/>
                <w:color w:val="000000"/>
                <w:kern w:val="0"/>
                <w:sz w:val="22"/>
                <w:szCs w:val="22"/>
              </w:rPr>
              <w:t>分；一般“非三高”产业，得</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分；属“三高”产业项目，得</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分；属国家、自治区及旗市限制类产业，得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700"/>
        </w:trPr>
        <w:tc>
          <w:tcPr>
            <w:tcW w:w="1271" w:type="dxa"/>
            <w:vMerge/>
            <w:tcBorders>
              <w:top w:val="nil"/>
              <w:left w:val="single" w:sz="4" w:space="0" w:color="auto"/>
              <w:bottom w:val="single" w:sz="4" w:space="0" w:color="auto"/>
              <w:right w:val="single" w:sz="4" w:space="0" w:color="auto"/>
            </w:tcBorders>
            <w:vAlign w:val="center"/>
          </w:tcPr>
          <w:p w:rsidR="000A523A" w:rsidRDefault="000A523A">
            <w:pPr>
              <w:widowControl/>
              <w:rPr>
                <w:rFonts w:ascii="楷体_GB2312" w:eastAsia="楷体_GB2312" w:hAnsi="楷体_GB2312" w:cs="楷体_GB2312"/>
                <w:color w:val="000000"/>
                <w:kern w:val="0"/>
                <w:sz w:val="22"/>
                <w:szCs w:val="22"/>
              </w:rPr>
            </w:pP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按照项目对相关产业的带动作用，行业龙头企业，对上下游产业带动作用大的，得</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分；属于“延链补链强链”范畴的项目，得</w:t>
            </w:r>
            <w:r>
              <w:rPr>
                <w:rFonts w:ascii="仿宋_GB2312" w:eastAsia="仿宋_GB2312" w:hAnsi="仿宋_GB2312" w:cs="仿宋_GB2312" w:hint="eastAsia"/>
                <w:color w:val="000000"/>
                <w:kern w:val="0"/>
                <w:sz w:val="22"/>
                <w:szCs w:val="22"/>
              </w:rPr>
              <w:t>8</w:t>
            </w:r>
            <w:r>
              <w:rPr>
                <w:rFonts w:ascii="仿宋_GB2312" w:eastAsia="仿宋_GB2312" w:hAnsi="仿宋_GB2312" w:cs="仿宋_GB2312" w:hint="eastAsia"/>
                <w:color w:val="000000"/>
                <w:kern w:val="0"/>
                <w:sz w:val="22"/>
                <w:szCs w:val="22"/>
              </w:rPr>
              <w:t>分；对上下游产业带动作用一般的，得</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分；对上下游产业无带动作用的，得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360"/>
        </w:trPr>
        <w:tc>
          <w:tcPr>
            <w:tcW w:w="1271" w:type="dxa"/>
            <w:vMerge/>
            <w:tcBorders>
              <w:top w:val="nil"/>
              <w:left w:val="single" w:sz="4" w:space="0" w:color="auto"/>
              <w:bottom w:val="single" w:sz="4" w:space="0" w:color="auto"/>
              <w:right w:val="single" w:sz="4" w:space="0" w:color="auto"/>
            </w:tcBorders>
            <w:vAlign w:val="center"/>
          </w:tcPr>
          <w:p w:rsidR="000A523A" w:rsidRDefault="000A523A">
            <w:pPr>
              <w:widowControl/>
              <w:rPr>
                <w:rFonts w:ascii="楷体_GB2312" w:eastAsia="楷体_GB2312" w:hAnsi="楷体_GB2312" w:cs="楷体_GB2312"/>
                <w:color w:val="000000"/>
                <w:kern w:val="0"/>
                <w:sz w:val="22"/>
                <w:szCs w:val="22"/>
              </w:rPr>
            </w:pP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项目母公司属世界</w:t>
            </w:r>
            <w:r>
              <w:rPr>
                <w:rFonts w:ascii="仿宋_GB2312" w:eastAsia="仿宋_GB2312" w:hAnsi="仿宋_GB2312" w:cs="仿宋_GB2312" w:hint="eastAsia"/>
                <w:color w:val="000000"/>
                <w:kern w:val="0"/>
                <w:sz w:val="22"/>
                <w:szCs w:val="22"/>
              </w:rPr>
              <w:t>500</w:t>
            </w:r>
            <w:r>
              <w:rPr>
                <w:rFonts w:ascii="仿宋_GB2312" w:eastAsia="仿宋_GB2312" w:hAnsi="仿宋_GB2312" w:cs="仿宋_GB2312" w:hint="eastAsia"/>
                <w:color w:val="000000"/>
                <w:kern w:val="0"/>
                <w:sz w:val="22"/>
                <w:szCs w:val="22"/>
              </w:rPr>
              <w:t>强企业、国内</w:t>
            </w:r>
            <w:r>
              <w:rPr>
                <w:rFonts w:ascii="仿宋_GB2312" w:eastAsia="仿宋_GB2312" w:hAnsi="仿宋_GB2312" w:cs="仿宋_GB2312" w:hint="eastAsia"/>
                <w:color w:val="000000"/>
                <w:kern w:val="0"/>
                <w:sz w:val="22"/>
                <w:szCs w:val="22"/>
              </w:rPr>
              <w:t>500</w:t>
            </w:r>
            <w:r>
              <w:rPr>
                <w:rFonts w:ascii="仿宋_GB2312" w:eastAsia="仿宋_GB2312" w:hAnsi="仿宋_GB2312" w:cs="仿宋_GB2312" w:hint="eastAsia"/>
                <w:color w:val="000000"/>
                <w:kern w:val="0"/>
                <w:sz w:val="22"/>
                <w:szCs w:val="22"/>
              </w:rPr>
              <w:t>强企业的，得</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分；属国内外上市企业、国家及自治区专精特新企业、国家高新技术企业的，得</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分；其他企业的，得</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02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楷体_GB2312" w:eastAsia="楷体_GB2312" w:hAnsi="楷体_GB2312" w:cs="楷体_GB2312"/>
                <w:color w:val="000000"/>
                <w:kern w:val="0"/>
                <w:sz w:val="22"/>
                <w:szCs w:val="22"/>
              </w:rPr>
            </w:pPr>
            <w:r>
              <w:rPr>
                <w:rFonts w:ascii="楷体_GB2312" w:eastAsia="楷体_GB2312" w:hAnsi="楷体_GB2312" w:cs="楷体_GB2312" w:hint="eastAsia"/>
                <w:color w:val="000000"/>
                <w:kern w:val="0"/>
                <w:sz w:val="22"/>
                <w:szCs w:val="22"/>
              </w:rPr>
              <w:t>投资强度</w:t>
            </w:r>
            <w:r>
              <w:rPr>
                <w:rFonts w:ascii="楷体_GB2312" w:eastAsia="楷体_GB2312" w:hAnsi="楷体_GB2312" w:cs="楷体_GB2312" w:hint="eastAsia"/>
                <w:color w:val="000000"/>
                <w:kern w:val="0"/>
                <w:sz w:val="22"/>
                <w:szCs w:val="22"/>
              </w:rPr>
              <w:br/>
            </w:r>
            <w:r>
              <w:rPr>
                <w:rFonts w:ascii="楷体_GB2312" w:eastAsia="楷体_GB2312" w:hAnsi="楷体_GB2312" w:cs="楷体_GB2312" w:hint="eastAsia"/>
                <w:color w:val="000000"/>
                <w:kern w:val="0"/>
                <w:sz w:val="22"/>
                <w:szCs w:val="22"/>
              </w:rPr>
              <w:t>（</w:t>
            </w:r>
            <w:r>
              <w:rPr>
                <w:rFonts w:ascii="楷体_GB2312" w:eastAsia="楷体_GB2312" w:hAnsi="楷体_GB2312" w:cs="楷体_GB2312" w:hint="eastAsia"/>
                <w:color w:val="000000"/>
                <w:kern w:val="0"/>
                <w:sz w:val="22"/>
                <w:szCs w:val="22"/>
              </w:rPr>
              <w:t>20</w:t>
            </w:r>
            <w:r>
              <w:rPr>
                <w:rFonts w:ascii="楷体_GB2312" w:eastAsia="楷体_GB2312" w:hAnsi="楷体_GB2312" w:cs="楷体_GB2312" w:hint="eastAsia"/>
                <w:color w:val="000000"/>
                <w:kern w:val="0"/>
                <w:sz w:val="22"/>
                <w:szCs w:val="22"/>
              </w:rPr>
              <w:t>）</w:t>
            </w: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按照投资额度，总投资超过</w:t>
            </w:r>
            <w:r>
              <w:rPr>
                <w:rFonts w:ascii="仿宋_GB2312" w:eastAsia="仿宋_GB2312" w:hAnsi="仿宋_GB2312" w:cs="仿宋_GB2312" w:hint="eastAsia"/>
                <w:color w:val="000000"/>
                <w:kern w:val="0"/>
                <w:sz w:val="22"/>
                <w:szCs w:val="22"/>
              </w:rPr>
              <w:t>100</w:t>
            </w:r>
            <w:r>
              <w:rPr>
                <w:rFonts w:ascii="仿宋_GB2312" w:eastAsia="仿宋_GB2312" w:hAnsi="仿宋_GB2312" w:cs="仿宋_GB2312" w:hint="eastAsia"/>
                <w:color w:val="000000"/>
                <w:kern w:val="0"/>
                <w:sz w:val="22"/>
                <w:szCs w:val="22"/>
              </w:rPr>
              <w:t>亿元，得</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分；总投资超过</w:t>
            </w:r>
            <w:r>
              <w:rPr>
                <w:rFonts w:ascii="仿宋_GB2312" w:eastAsia="仿宋_GB2312" w:hAnsi="仿宋_GB2312" w:cs="仿宋_GB2312" w:hint="eastAsia"/>
                <w:color w:val="000000"/>
                <w:kern w:val="0"/>
                <w:sz w:val="22"/>
                <w:szCs w:val="22"/>
              </w:rPr>
              <w:t>90</w:t>
            </w:r>
            <w:r>
              <w:rPr>
                <w:rFonts w:ascii="仿宋_GB2312" w:eastAsia="仿宋_GB2312" w:hAnsi="仿宋_GB2312" w:cs="仿宋_GB2312" w:hint="eastAsia"/>
                <w:color w:val="000000"/>
                <w:kern w:val="0"/>
                <w:sz w:val="22"/>
                <w:szCs w:val="22"/>
              </w:rPr>
              <w:t>亿元不足</w:t>
            </w:r>
            <w:r>
              <w:rPr>
                <w:rFonts w:ascii="仿宋_GB2312" w:eastAsia="仿宋_GB2312" w:hAnsi="仿宋_GB2312" w:cs="仿宋_GB2312" w:hint="eastAsia"/>
                <w:color w:val="000000"/>
                <w:kern w:val="0"/>
                <w:sz w:val="22"/>
                <w:szCs w:val="22"/>
              </w:rPr>
              <w:t>100</w:t>
            </w:r>
            <w:r>
              <w:rPr>
                <w:rFonts w:ascii="仿宋_GB2312" w:eastAsia="仿宋_GB2312" w:hAnsi="仿宋_GB2312" w:cs="仿宋_GB2312" w:hint="eastAsia"/>
                <w:color w:val="000000"/>
                <w:kern w:val="0"/>
                <w:sz w:val="22"/>
                <w:szCs w:val="22"/>
              </w:rPr>
              <w:t>亿元，得</w:t>
            </w:r>
            <w:r>
              <w:rPr>
                <w:rFonts w:ascii="仿宋_GB2312" w:eastAsia="仿宋_GB2312" w:hAnsi="仿宋_GB2312" w:cs="仿宋_GB2312" w:hint="eastAsia"/>
                <w:color w:val="000000"/>
                <w:kern w:val="0"/>
                <w:sz w:val="22"/>
                <w:szCs w:val="22"/>
              </w:rPr>
              <w:t>9</w:t>
            </w:r>
            <w:r>
              <w:rPr>
                <w:rFonts w:ascii="仿宋_GB2312" w:eastAsia="仿宋_GB2312" w:hAnsi="仿宋_GB2312" w:cs="仿宋_GB2312" w:hint="eastAsia"/>
                <w:color w:val="000000"/>
                <w:kern w:val="0"/>
                <w:sz w:val="22"/>
                <w:szCs w:val="22"/>
              </w:rPr>
              <w:t>分；依此类推；总投资</w:t>
            </w:r>
            <w:r>
              <w:rPr>
                <w:rFonts w:ascii="仿宋_GB2312" w:eastAsia="仿宋_GB2312" w:hAnsi="仿宋_GB2312" w:cs="仿宋_GB2312" w:hint="eastAsia"/>
                <w:color w:val="000000"/>
                <w:kern w:val="0"/>
                <w:sz w:val="22"/>
                <w:szCs w:val="22"/>
              </w:rPr>
              <w:t>20</w:t>
            </w:r>
            <w:r>
              <w:rPr>
                <w:rFonts w:ascii="仿宋_GB2312" w:eastAsia="仿宋_GB2312" w:hAnsi="仿宋_GB2312" w:cs="仿宋_GB2312" w:hint="eastAsia"/>
                <w:color w:val="000000"/>
                <w:kern w:val="0"/>
                <w:sz w:val="22"/>
                <w:szCs w:val="22"/>
              </w:rPr>
              <w:t>亿元以下，得</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700"/>
        </w:trPr>
        <w:tc>
          <w:tcPr>
            <w:tcW w:w="1271" w:type="dxa"/>
            <w:vMerge/>
            <w:tcBorders>
              <w:top w:val="nil"/>
              <w:left w:val="single" w:sz="4" w:space="0" w:color="auto"/>
              <w:bottom w:val="single" w:sz="4" w:space="0" w:color="auto"/>
              <w:right w:val="single" w:sz="4" w:space="0" w:color="auto"/>
            </w:tcBorders>
            <w:vAlign w:val="center"/>
          </w:tcPr>
          <w:p w:rsidR="000A523A" w:rsidRDefault="000A523A">
            <w:pPr>
              <w:widowControl/>
              <w:rPr>
                <w:rFonts w:ascii="楷体_GB2312" w:eastAsia="楷体_GB2312" w:hAnsi="楷体_GB2312" w:cs="楷体_GB2312"/>
                <w:color w:val="000000"/>
                <w:kern w:val="0"/>
                <w:sz w:val="22"/>
                <w:szCs w:val="22"/>
              </w:rPr>
            </w:pP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按亩均投资规模，亩均投资</w:t>
            </w:r>
            <w:r>
              <w:rPr>
                <w:rFonts w:ascii="仿宋_GB2312" w:eastAsia="仿宋_GB2312" w:hAnsi="仿宋_GB2312" w:cs="仿宋_GB2312" w:hint="eastAsia"/>
                <w:color w:val="000000"/>
                <w:kern w:val="0"/>
                <w:sz w:val="22"/>
                <w:szCs w:val="22"/>
              </w:rPr>
              <w:t>1000</w:t>
            </w:r>
            <w:r>
              <w:rPr>
                <w:rFonts w:ascii="仿宋_GB2312" w:eastAsia="仿宋_GB2312" w:hAnsi="仿宋_GB2312" w:cs="仿宋_GB2312" w:hint="eastAsia"/>
                <w:color w:val="000000"/>
                <w:kern w:val="0"/>
                <w:sz w:val="22"/>
                <w:szCs w:val="22"/>
              </w:rPr>
              <w:t>万元及以上的，得</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分；</w:t>
            </w:r>
            <w:r>
              <w:rPr>
                <w:rFonts w:ascii="仿宋_GB2312" w:eastAsia="仿宋_GB2312" w:hAnsi="仿宋_GB2312" w:cs="仿宋_GB2312" w:hint="eastAsia"/>
                <w:color w:val="000000"/>
                <w:kern w:val="0"/>
                <w:sz w:val="22"/>
                <w:szCs w:val="22"/>
              </w:rPr>
              <w:t>800</w:t>
            </w:r>
            <w:r>
              <w:rPr>
                <w:rFonts w:ascii="仿宋_GB2312" w:eastAsia="仿宋_GB2312" w:hAnsi="仿宋_GB2312" w:cs="仿宋_GB2312" w:hint="eastAsia"/>
                <w:color w:val="000000"/>
                <w:kern w:val="0"/>
                <w:sz w:val="22"/>
                <w:szCs w:val="22"/>
              </w:rPr>
              <w:t>万元及以上、不足</w:t>
            </w:r>
            <w:r>
              <w:rPr>
                <w:rFonts w:ascii="仿宋_GB2312" w:eastAsia="仿宋_GB2312" w:hAnsi="仿宋_GB2312" w:cs="仿宋_GB2312" w:hint="eastAsia"/>
                <w:color w:val="000000"/>
                <w:kern w:val="0"/>
                <w:sz w:val="22"/>
                <w:szCs w:val="22"/>
              </w:rPr>
              <w:t>1000</w:t>
            </w:r>
            <w:r>
              <w:rPr>
                <w:rFonts w:ascii="仿宋_GB2312" w:eastAsia="仿宋_GB2312" w:hAnsi="仿宋_GB2312" w:cs="仿宋_GB2312" w:hint="eastAsia"/>
                <w:color w:val="000000"/>
                <w:kern w:val="0"/>
                <w:sz w:val="22"/>
                <w:szCs w:val="22"/>
              </w:rPr>
              <w:t>万元的，得</w:t>
            </w: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r>
              <w:rPr>
                <w:rFonts w:ascii="仿宋_GB2312" w:eastAsia="仿宋_GB2312" w:hAnsi="仿宋_GB2312" w:cs="仿宋_GB2312" w:hint="eastAsia"/>
                <w:color w:val="000000"/>
                <w:kern w:val="0"/>
                <w:sz w:val="22"/>
                <w:szCs w:val="22"/>
              </w:rPr>
              <w:t>500</w:t>
            </w:r>
            <w:r>
              <w:rPr>
                <w:rFonts w:ascii="仿宋_GB2312" w:eastAsia="仿宋_GB2312" w:hAnsi="仿宋_GB2312" w:cs="仿宋_GB2312" w:hint="eastAsia"/>
                <w:color w:val="000000"/>
                <w:kern w:val="0"/>
                <w:sz w:val="22"/>
                <w:szCs w:val="22"/>
              </w:rPr>
              <w:t>万元及以上、不足</w:t>
            </w:r>
            <w:r>
              <w:rPr>
                <w:rFonts w:ascii="仿宋_GB2312" w:eastAsia="仿宋_GB2312" w:hAnsi="仿宋_GB2312" w:cs="仿宋_GB2312" w:hint="eastAsia"/>
                <w:color w:val="000000"/>
                <w:kern w:val="0"/>
                <w:sz w:val="22"/>
                <w:szCs w:val="22"/>
              </w:rPr>
              <w:t>800</w:t>
            </w:r>
            <w:r>
              <w:rPr>
                <w:rFonts w:ascii="仿宋_GB2312" w:eastAsia="仿宋_GB2312" w:hAnsi="仿宋_GB2312" w:cs="仿宋_GB2312" w:hint="eastAsia"/>
                <w:color w:val="000000"/>
                <w:kern w:val="0"/>
                <w:sz w:val="22"/>
                <w:szCs w:val="22"/>
              </w:rPr>
              <w:t>万元的，得</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分；</w:t>
            </w:r>
            <w:r>
              <w:rPr>
                <w:rFonts w:ascii="仿宋_GB2312" w:eastAsia="仿宋_GB2312" w:hAnsi="仿宋_GB2312" w:cs="仿宋_GB2312" w:hint="eastAsia"/>
                <w:color w:val="000000"/>
                <w:kern w:val="0"/>
                <w:sz w:val="22"/>
                <w:szCs w:val="22"/>
              </w:rPr>
              <w:t>300</w:t>
            </w:r>
            <w:r>
              <w:rPr>
                <w:rFonts w:ascii="仿宋_GB2312" w:eastAsia="仿宋_GB2312" w:hAnsi="仿宋_GB2312" w:cs="仿宋_GB2312" w:hint="eastAsia"/>
                <w:color w:val="000000"/>
                <w:kern w:val="0"/>
                <w:sz w:val="22"/>
                <w:szCs w:val="22"/>
              </w:rPr>
              <w:t>万元及以上、不足</w:t>
            </w:r>
            <w:r>
              <w:rPr>
                <w:rFonts w:ascii="仿宋_GB2312" w:eastAsia="仿宋_GB2312" w:hAnsi="仿宋_GB2312" w:cs="仿宋_GB2312" w:hint="eastAsia"/>
                <w:color w:val="000000"/>
                <w:kern w:val="0"/>
                <w:sz w:val="22"/>
                <w:szCs w:val="22"/>
              </w:rPr>
              <w:t>5000</w:t>
            </w:r>
            <w:r>
              <w:rPr>
                <w:rFonts w:ascii="仿宋_GB2312" w:eastAsia="仿宋_GB2312" w:hAnsi="仿宋_GB2312" w:cs="仿宋_GB2312" w:hint="eastAsia"/>
                <w:color w:val="000000"/>
                <w:kern w:val="0"/>
                <w:sz w:val="22"/>
                <w:szCs w:val="22"/>
              </w:rPr>
              <w:t>万元的，得</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分；不足</w:t>
            </w:r>
            <w:r>
              <w:rPr>
                <w:rFonts w:ascii="仿宋_GB2312" w:eastAsia="仿宋_GB2312" w:hAnsi="仿宋_GB2312" w:cs="仿宋_GB2312" w:hint="eastAsia"/>
                <w:color w:val="000000"/>
                <w:kern w:val="0"/>
                <w:sz w:val="22"/>
                <w:szCs w:val="22"/>
              </w:rPr>
              <w:t>300</w:t>
            </w:r>
            <w:r>
              <w:rPr>
                <w:rFonts w:ascii="仿宋_GB2312" w:eastAsia="仿宋_GB2312" w:hAnsi="仿宋_GB2312" w:cs="仿宋_GB2312" w:hint="eastAsia"/>
                <w:color w:val="000000"/>
                <w:kern w:val="0"/>
                <w:sz w:val="22"/>
                <w:szCs w:val="22"/>
              </w:rPr>
              <w:t>万元的，得</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70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楷体_GB2312" w:eastAsia="楷体_GB2312" w:hAnsi="楷体_GB2312" w:cs="楷体_GB2312"/>
                <w:color w:val="000000"/>
                <w:kern w:val="0"/>
                <w:sz w:val="22"/>
                <w:szCs w:val="22"/>
              </w:rPr>
            </w:pPr>
            <w:r>
              <w:rPr>
                <w:rFonts w:ascii="楷体_GB2312" w:eastAsia="楷体_GB2312" w:hAnsi="楷体_GB2312" w:cs="楷体_GB2312" w:hint="eastAsia"/>
                <w:color w:val="000000"/>
                <w:kern w:val="0"/>
                <w:sz w:val="22"/>
                <w:szCs w:val="22"/>
              </w:rPr>
              <w:t>产出效益</w:t>
            </w:r>
            <w:r>
              <w:rPr>
                <w:rFonts w:ascii="楷体_GB2312" w:eastAsia="楷体_GB2312" w:hAnsi="楷体_GB2312" w:cs="楷体_GB2312" w:hint="eastAsia"/>
                <w:color w:val="000000"/>
                <w:kern w:val="0"/>
                <w:sz w:val="22"/>
                <w:szCs w:val="22"/>
              </w:rPr>
              <w:br/>
            </w:r>
            <w:r>
              <w:rPr>
                <w:rFonts w:ascii="楷体_GB2312" w:eastAsia="楷体_GB2312" w:hAnsi="楷体_GB2312" w:cs="楷体_GB2312" w:hint="eastAsia"/>
                <w:color w:val="000000"/>
                <w:kern w:val="0"/>
                <w:sz w:val="22"/>
                <w:szCs w:val="22"/>
              </w:rPr>
              <w:t>（</w:t>
            </w:r>
            <w:r>
              <w:rPr>
                <w:rFonts w:ascii="楷体_GB2312" w:eastAsia="楷体_GB2312" w:hAnsi="楷体_GB2312" w:cs="楷体_GB2312" w:hint="eastAsia"/>
                <w:color w:val="000000"/>
                <w:kern w:val="0"/>
                <w:sz w:val="22"/>
                <w:szCs w:val="22"/>
              </w:rPr>
              <w:t>60</w:t>
            </w:r>
            <w:r>
              <w:rPr>
                <w:rFonts w:ascii="楷体_GB2312" w:eastAsia="楷体_GB2312" w:hAnsi="楷体_GB2312" w:cs="楷体_GB2312" w:hint="eastAsia"/>
                <w:color w:val="000000"/>
                <w:kern w:val="0"/>
                <w:sz w:val="22"/>
                <w:szCs w:val="22"/>
              </w:rPr>
              <w:t>分）</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☆产品能效水平：达到国家领先水平得</w:t>
            </w: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分，每提升</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，加</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分，满分</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分；达到国家准入水平，得</w:t>
            </w: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分；未到国家准入水平，得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分。对于国家未明确规定的项目，按“单位增加值能耗”评分标准执行。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360"/>
        </w:trPr>
        <w:tc>
          <w:tcPr>
            <w:tcW w:w="1271"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宋体" w:eastAsia="宋体" w:hAnsi="宋体" w:cs="宋体"/>
                <w:b/>
                <w:bCs/>
                <w:color w:val="000000"/>
                <w:kern w:val="0"/>
                <w:sz w:val="22"/>
                <w:szCs w:val="22"/>
              </w:rP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☆单位增加值能耗：在全旗规模以上企业中排名前</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分；在全旗规模以上企业中排名前</w:t>
            </w:r>
            <w:r>
              <w:rPr>
                <w:rFonts w:ascii="仿宋_GB2312" w:eastAsia="仿宋_GB2312" w:hAnsi="仿宋_GB2312" w:cs="仿宋_GB2312" w:hint="eastAsia"/>
                <w:color w:val="000000"/>
                <w:kern w:val="0"/>
                <w:sz w:val="22"/>
                <w:szCs w:val="22"/>
              </w:rPr>
              <w:t>30%</w:t>
            </w:r>
            <w:r>
              <w:rPr>
                <w:rFonts w:ascii="仿宋_GB2312" w:eastAsia="仿宋_GB2312" w:hAnsi="仿宋_GB2312" w:cs="仿宋_GB2312" w:hint="eastAsia"/>
                <w:color w:val="000000"/>
                <w:kern w:val="0"/>
                <w:sz w:val="22"/>
                <w:szCs w:val="22"/>
              </w:rPr>
              <w:t>，</w:t>
            </w:r>
            <w:bookmarkStart w:id="0" w:name="_GoBack"/>
            <w:bookmarkEnd w:id="0"/>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7</w:t>
            </w:r>
            <w:r>
              <w:rPr>
                <w:rFonts w:ascii="仿宋_GB2312" w:eastAsia="仿宋_GB2312" w:hAnsi="仿宋_GB2312" w:cs="仿宋_GB2312" w:hint="eastAsia"/>
                <w:color w:val="000000"/>
                <w:kern w:val="0"/>
                <w:sz w:val="22"/>
                <w:szCs w:val="22"/>
              </w:rPr>
              <w:t>；在全旗规模以上企业中排名前</w:t>
            </w:r>
            <w:r>
              <w:rPr>
                <w:rFonts w:ascii="仿宋_GB2312" w:eastAsia="仿宋_GB2312" w:hAnsi="仿宋_GB2312" w:cs="仿宋_GB2312" w:hint="eastAsia"/>
                <w:color w:val="000000"/>
                <w:kern w:val="0"/>
                <w:sz w:val="22"/>
                <w:szCs w:val="22"/>
              </w:rPr>
              <w:t>60%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分；其他得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360"/>
        </w:trPr>
        <w:tc>
          <w:tcPr>
            <w:tcW w:w="1271"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宋体" w:eastAsia="宋体" w:hAnsi="宋体" w:cs="宋体"/>
                <w:b/>
                <w:bCs/>
                <w:color w:val="000000"/>
                <w:kern w:val="0"/>
                <w:sz w:val="22"/>
                <w:szCs w:val="22"/>
              </w:rP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单位增加值碳排放：在全旗规模以上企业中排名前</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分；在全旗规模以上企业中排名前</w:t>
            </w:r>
            <w:r>
              <w:rPr>
                <w:rFonts w:ascii="仿宋_GB2312" w:eastAsia="仿宋_GB2312" w:hAnsi="仿宋_GB2312" w:cs="仿宋_GB2312" w:hint="eastAsia"/>
                <w:color w:val="000000"/>
                <w:kern w:val="0"/>
                <w:sz w:val="22"/>
                <w:szCs w:val="22"/>
              </w:rPr>
              <w:t>30%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7</w:t>
            </w:r>
            <w:r>
              <w:rPr>
                <w:rFonts w:ascii="仿宋_GB2312" w:eastAsia="仿宋_GB2312" w:hAnsi="仿宋_GB2312" w:cs="仿宋_GB2312" w:hint="eastAsia"/>
                <w:color w:val="000000"/>
                <w:kern w:val="0"/>
                <w:sz w:val="22"/>
                <w:szCs w:val="22"/>
              </w:rPr>
              <w:t>；在全旗规模以上企业中排名前</w:t>
            </w:r>
            <w:r>
              <w:rPr>
                <w:rFonts w:ascii="仿宋_GB2312" w:eastAsia="仿宋_GB2312" w:hAnsi="仿宋_GB2312" w:cs="仿宋_GB2312" w:hint="eastAsia"/>
                <w:color w:val="000000"/>
                <w:kern w:val="0"/>
                <w:sz w:val="22"/>
                <w:szCs w:val="22"/>
              </w:rPr>
              <w:t>60%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分；其他得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360"/>
        </w:trPr>
        <w:tc>
          <w:tcPr>
            <w:tcW w:w="1271" w:type="dxa"/>
            <w:vMerge/>
            <w:tcBorders>
              <w:top w:val="single" w:sz="4" w:space="0" w:color="auto"/>
              <w:left w:val="single" w:sz="4" w:space="0" w:color="auto"/>
              <w:bottom w:val="single" w:sz="4" w:space="0" w:color="auto"/>
              <w:right w:val="single" w:sz="4" w:space="0" w:color="auto"/>
            </w:tcBorders>
            <w:vAlign w:val="center"/>
          </w:tcPr>
          <w:p w:rsidR="000A523A" w:rsidRDefault="000A523A">
            <w:pPr>
              <w:widowControl/>
              <w:rPr>
                <w:rFonts w:ascii="宋体" w:eastAsia="宋体" w:hAnsi="宋体" w:cs="宋体"/>
                <w:b/>
                <w:bCs/>
                <w:color w:val="000000"/>
                <w:kern w:val="0"/>
                <w:sz w:val="22"/>
                <w:szCs w:val="22"/>
              </w:rPr>
            </w:pPr>
          </w:p>
        </w:tc>
        <w:tc>
          <w:tcPr>
            <w:tcW w:w="5500" w:type="dxa"/>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单位增加值水耗：在全旗规模以上企业中排名前</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分；在全旗规模以上企业中排名前</w:t>
            </w:r>
            <w:r>
              <w:rPr>
                <w:rFonts w:ascii="仿宋_GB2312" w:eastAsia="仿宋_GB2312" w:hAnsi="仿宋_GB2312" w:cs="仿宋_GB2312" w:hint="eastAsia"/>
                <w:color w:val="000000"/>
                <w:kern w:val="0"/>
                <w:sz w:val="22"/>
                <w:szCs w:val="22"/>
              </w:rPr>
              <w:t>30%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7</w:t>
            </w:r>
            <w:r>
              <w:rPr>
                <w:rFonts w:ascii="仿宋_GB2312" w:eastAsia="仿宋_GB2312" w:hAnsi="仿宋_GB2312" w:cs="仿宋_GB2312" w:hint="eastAsia"/>
                <w:color w:val="000000"/>
                <w:kern w:val="0"/>
                <w:sz w:val="22"/>
                <w:szCs w:val="22"/>
              </w:rPr>
              <w:t>；在全旗规模以上企业中排名前</w:t>
            </w:r>
            <w:r>
              <w:rPr>
                <w:rFonts w:ascii="仿宋_GB2312" w:eastAsia="仿宋_GB2312" w:hAnsi="仿宋_GB2312" w:cs="仿宋_GB2312" w:hint="eastAsia"/>
                <w:color w:val="000000"/>
                <w:kern w:val="0"/>
                <w:sz w:val="22"/>
                <w:szCs w:val="22"/>
              </w:rPr>
              <w:t>60%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分；其他得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single" w:sz="4" w:space="0" w:color="auto"/>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360"/>
        </w:trPr>
        <w:tc>
          <w:tcPr>
            <w:tcW w:w="1271" w:type="dxa"/>
            <w:vMerge/>
            <w:tcBorders>
              <w:top w:val="nil"/>
              <w:left w:val="single" w:sz="4" w:space="0" w:color="auto"/>
              <w:bottom w:val="single" w:sz="4" w:space="0" w:color="auto"/>
              <w:right w:val="single" w:sz="4" w:space="0" w:color="auto"/>
            </w:tcBorders>
            <w:vAlign w:val="center"/>
          </w:tcPr>
          <w:p w:rsidR="000A523A" w:rsidRDefault="000A523A">
            <w:pPr>
              <w:widowControl/>
              <w:rPr>
                <w:rFonts w:ascii="宋体" w:eastAsia="宋体" w:hAnsi="宋体" w:cs="宋体"/>
                <w:b/>
                <w:bCs/>
                <w:color w:val="000000"/>
                <w:kern w:val="0"/>
                <w:sz w:val="22"/>
                <w:szCs w:val="22"/>
              </w:rPr>
            </w:pP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单位能耗税收贡献：在全旗规模以上企业中排名前</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分；在全旗规模以上企业中排名前，得</w:t>
            </w: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分；在全旗规模以上企业中排名前，得</w:t>
            </w: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分；其他得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360"/>
        </w:trPr>
        <w:tc>
          <w:tcPr>
            <w:tcW w:w="1271" w:type="dxa"/>
            <w:vMerge/>
            <w:tcBorders>
              <w:top w:val="nil"/>
              <w:left w:val="single" w:sz="4" w:space="0" w:color="auto"/>
              <w:bottom w:val="single" w:sz="4" w:space="0" w:color="auto"/>
              <w:right w:val="single" w:sz="4" w:space="0" w:color="auto"/>
            </w:tcBorders>
            <w:vAlign w:val="center"/>
          </w:tcPr>
          <w:p w:rsidR="000A523A" w:rsidRDefault="000A523A">
            <w:pPr>
              <w:widowControl/>
              <w:rPr>
                <w:rFonts w:ascii="宋体" w:eastAsia="宋体" w:hAnsi="宋体" w:cs="宋体"/>
                <w:b/>
                <w:bCs/>
                <w:color w:val="000000"/>
                <w:kern w:val="0"/>
                <w:sz w:val="22"/>
                <w:szCs w:val="22"/>
              </w:rPr>
            </w:pP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单位能耗就业拉动：在全旗规模以上企业中排名前</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分；在全旗规模以上企业中排名前，得</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分；在全旗规模以上企业中排名前，得</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分；其他得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0A523A">
        <w:trPr>
          <w:trHeight w:val="1360"/>
        </w:trPr>
        <w:tc>
          <w:tcPr>
            <w:tcW w:w="1271" w:type="dxa"/>
            <w:vMerge/>
            <w:tcBorders>
              <w:top w:val="nil"/>
              <w:left w:val="single" w:sz="4" w:space="0" w:color="auto"/>
              <w:bottom w:val="single" w:sz="4" w:space="0" w:color="auto"/>
              <w:right w:val="single" w:sz="4" w:space="0" w:color="auto"/>
            </w:tcBorders>
            <w:vAlign w:val="center"/>
          </w:tcPr>
          <w:p w:rsidR="000A523A" w:rsidRDefault="000A523A">
            <w:pPr>
              <w:widowControl/>
              <w:rPr>
                <w:rFonts w:ascii="宋体" w:eastAsia="宋体" w:hAnsi="宋体" w:cs="宋体"/>
                <w:b/>
                <w:bCs/>
                <w:color w:val="000000"/>
                <w:kern w:val="0"/>
                <w:sz w:val="22"/>
                <w:szCs w:val="22"/>
              </w:rPr>
            </w:pPr>
          </w:p>
        </w:tc>
        <w:tc>
          <w:tcPr>
            <w:tcW w:w="5500" w:type="dxa"/>
            <w:tcBorders>
              <w:top w:val="nil"/>
              <w:left w:val="nil"/>
              <w:bottom w:val="single" w:sz="4" w:space="0" w:color="auto"/>
              <w:right w:val="single" w:sz="4" w:space="0" w:color="auto"/>
            </w:tcBorders>
            <w:shd w:val="clear" w:color="auto" w:fill="auto"/>
            <w:vAlign w:val="center"/>
          </w:tcPr>
          <w:p w:rsidR="000A523A" w:rsidRDefault="002A340E">
            <w:pPr>
              <w:widowControl/>
              <w:spacing w:line="30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亩均产值拉动：在全旗规模以上企业中排名前</w:t>
            </w:r>
            <w:r>
              <w:rPr>
                <w:rFonts w:ascii="仿宋_GB2312" w:eastAsia="仿宋_GB2312" w:hAnsi="仿宋_GB2312" w:cs="仿宋_GB2312" w:hint="eastAsia"/>
                <w:color w:val="000000"/>
                <w:kern w:val="0"/>
                <w:sz w:val="22"/>
                <w:szCs w:val="22"/>
              </w:rPr>
              <w:t>10%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分；在全旗规模以上企业中排名前，得</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分；在全旗规模以上企业中排名前，得</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分；其他得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70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738" w:type="dxa"/>
            <w:tcBorders>
              <w:top w:val="nil"/>
              <w:left w:val="nil"/>
              <w:bottom w:val="single" w:sz="4" w:space="0" w:color="auto"/>
              <w:right w:val="single" w:sz="4" w:space="0" w:color="auto"/>
            </w:tcBorders>
            <w:shd w:val="clear" w:color="auto" w:fill="auto"/>
            <w:vAlign w:val="center"/>
          </w:tcPr>
          <w:p w:rsidR="000A523A" w:rsidRDefault="002A34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bl>
    <w:p w:rsidR="000A523A" w:rsidRDefault="002A340E">
      <w:pPr>
        <w:widowControl/>
        <w:spacing w:line="300" w:lineRule="exact"/>
        <w:rPr>
          <w:color w:val="000000" w:themeColor="text1"/>
          <w:sz w:val="28"/>
          <w:szCs w:val="28"/>
        </w:rPr>
      </w:pPr>
      <w:r>
        <w:rPr>
          <w:rFonts w:ascii="仿宋_GB2312" w:eastAsia="仿宋_GB2312" w:hAnsi="仿宋_GB2312" w:cs="仿宋_GB2312" w:hint="eastAsia"/>
          <w:color w:val="000000"/>
          <w:kern w:val="0"/>
          <w:sz w:val="22"/>
          <w:szCs w:val="22"/>
        </w:rPr>
        <w:t>注：☆为一票否决项，该项评分为“</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”时，直接予以否决。</w:t>
      </w:r>
    </w:p>
    <w:p w:rsidR="000A523A" w:rsidRDefault="000A523A" w:rsidP="00C165B7">
      <w:pPr>
        <w:pStyle w:val="1"/>
        <w:spacing w:beforeLines="50"/>
        <w:rPr>
          <w:b w:val="0"/>
          <w:bCs w:val="0"/>
          <w:color w:val="000000" w:themeColor="text1"/>
          <w:sz w:val="28"/>
          <w:szCs w:val="28"/>
        </w:rPr>
      </w:pPr>
    </w:p>
    <w:p w:rsidR="000A523A" w:rsidRDefault="000A523A" w:rsidP="00C165B7">
      <w:pPr>
        <w:pStyle w:val="1"/>
        <w:spacing w:beforeLines="50"/>
        <w:rPr>
          <w:b w:val="0"/>
          <w:bCs w:val="0"/>
          <w:color w:val="000000" w:themeColor="text1"/>
          <w:sz w:val="28"/>
          <w:szCs w:val="28"/>
        </w:rPr>
      </w:pPr>
    </w:p>
    <w:p w:rsidR="000A523A" w:rsidRDefault="000A523A" w:rsidP="00C165B7">
      <w:pPr>
        <w:pStyle w:val="1"/>
        <w:spacing w:beforeLines="50"/>
        <w:rPr>
          <w:b w:val="0"/>
          <w:bCs w:val="0"/>
          <w:color w:val="000000" w:themeColor="text1"/>
          <w:sz w:val="28"/>
          <w:szCs w:val="28"/>
        </w:rPr>
      </w:pPr>
    </w:p>
    <w:p w:rsidR="000A523A" w:rsidRDefault="000A523A" w:rsidP="00C165B7">
      <w:pPr>
        <w:pStyle w:val="1"/>
        <w:spacing w:beforeLines="50"/>
        <w:rPr>
          <w:b w:val="0"/>
          <w:bCs w:val="0"/>
          <w:color w:val="000000" w:themeColor="text1"/>
          <w:sz w:val="28"/>
          <w:szCs w:val="28"/>
        </w:rPr>
      </w:pPr>
    </w:p>
    <w:p w:rsidR="000A523A" w:rsidRDefault="000A523A">
      <w:pPr>
        <w:rPr>
          <w:color w:val="000000" w:themeColor="text1"/>
          <w:sz w:val="28"/>
          <w:szCs w:val="28"/>
        </w:rPr>
      </w:pPr>
    </w:p>
    <w:p w:rsidR="000A523A" w:rsidRDefault="000A523A"/>
    <w:sectPr w:rsidR="000A523A" w:rsidSect="000A523A">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40E" w:rsidRDefault="002A340E" w:rsidP="000A523A">
      <w:r>
        <w:separator/>
      </w:r>
    </w:p>
  </w:endnote>
  <w:endnote w:type="continuationSeparator" w:id="1">
    <w:p w:rsidR="002A340E" w:rsidRDefault="002A340E" w:rsidP="000A5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3A" w:rsidRDefault="000A523A">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0A523A" w:rsidRDefault="000A523A">
                <w:pPr>
                  <w:pStyle w:val="a3"/>
                </w:pPr>
                <w:r>
                  <w:rPr>
                    <w:rFonts w:ascii="仿宋_GB2312" w:eastAsia="仿宋_GB2312" w:hAnsi="仿宋_GB2312" w:cs="仿宋_GB2312" w:hint="eastAsia"/>
                    <w:sz w:val="28"/>
                    <w:szCs w:val="28"/>
                  </w:rPr>
                  <w:fldChar w:fldCharType="begin"/>
                </w:r>
                <w:r w:rsidR="002A340E">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165B7">
                  <w:rPr>
                    <w:rFonts w:ascii="仿宋_GB2312" w:eastAsia="仿宋_GB2312" w:hAnsi="仿宋_GB2312" w:cs="仿宋_GB2312"/>
                    <w:noProof/>
                    <w:sz w:val="28"/>
                    <w:szCs w:val="28"/>
                  </w:rPr>
                  <w:t>- 7 -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40E" w:rsidRDefault="002A340E" w:rsidP="000A523A">
      <w:r>
        <w:separator/>
      </w:r>
    </w:p>
  </w:footnote>
  <w:footnote w:type="continuationSeparator" w:id="1">
    <w:p w:rsidR="002A340E" w:rsidRDefault="002A340E" w:rsidP="000A5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ocumentProtection w:edit="readOnly" w:formatting="1" w:enforcement="1" w:cryptProviderType="rsaFull" w:cryptAlgorithmClass="hash" w:cryptAlgorithmType="typeAny" w:cryptAlgorithmSid="4" w:cryptSpinCount="50000" w:hash="/8gkMe6wqwLOm3rYxcfMJzZqWhc=" w:salt="fFzFW4KmgalMmwedKmo+xA=="/>
  <w:defaultTabStop w:val="420"/>
  <w:drawingGridVerticalSpacing w:val="156"/>
  <w:displayHorizontalDrawingGridEvery w:val="0"/>
  <w:displayVerticalDrawingGridEvery w:val="2"/>
  <w:characterSpacingControl w:val="compressPunctuation"/>
  <w:hdrShapeDefaults>
    <o:shapedefaults v:ext="edit" spidmax="2049"/>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522010"/>
    <w:rsid w:val="000A523A"/>
    <w:rsid w:val="002A340E"/>
    <w:rsid w:val="00C165B7"/>
    <w:rsid w:val="1BFC98CE"/>
    <w:rsid w:val="26CD2BE6"/>
    <w:rsid w:val="66522010"/>
    <w:rsid w:val="673DFA46"/>
    <w:rsid w:val="6D535020"/>
    <w:rsid w:val="71F7D53D"/>
    <w:rsid w:val="7BDD6C49"/>
    <w:rsid w:val="7C765330"/>
    <w:rsid w:val="7ED76A4F"/>
    <w:rsid w:val="7EFBF84D"/>
    <w:rsid w:val="7FF74651"/>
    <w:rsid w:val="7FFEB4D1"/>
    <w:rsid w:val="91FFD42A"/>
    <w:rsid w:val="DFE930C7"/>
    <w:rsid w:val="EABB25A0"/>
    <w:rsid w:val="F3FEC58A"/>
    <w:rsid w:val="F7BBE681"/>
    <w:rsid w:val="F81FD2D6"/>
    <w:rsid w:val="FB6992A4"/>
    <w:rsid w:val="FBBD0D96"/>
    <w:rsid w:val="FC76B512"/>
    <w:rsid w:val="FDEE82F2"/>
    <w:rsid w:val="FF77E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23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0A523A"/>
    <w:pPr>
      <w:keepNext/>
      <w:keepLines/>
      <w:spacing w:before="120" w:after="12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A523A"/>
    <w:pPr>
      <w:tabs>
        <w:tab w:val="center" w:pos="4153"/>
        <w:tab w:val="right" w:pos="8306"/>
      </w:tabs>
      <w:snapToGrid w:val="0"/>
      <w:jc w:val="left"/>
    </w:pPr>
    <w:rPr>
      <w:sz w:val="18"/>
    </w:rPr>
  </w:style>
  <w:style w:type="paragraph" w:styleId="a4">
    <w:name w:val="header"/>
    <w:basedOn w:val="a"/>
    <w:qFormat/>
    <w:rsid w:val="000A52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A523A"/>
    <w:pPr>
      <w:spacing w:beforeAutospacing="1" w:afterAutospacing="1"/>
      <w:jc w:val="left"/>
    </w:pPr>
    <w:rPr>
      <w:rFonts w:cs="Times New Roman"/>
      <w:kern w:val="0"/>
      <w:sz w:val="24"/>
    </w:rPr>
  </w:style>
  <w:style w:type="paragraph" w:customStyle="1" w:styleId="BodyText">
    <w:name w:val="BodyText"/>
    <w:basedOn w:val="a"/>
    <w:qFormat/>
    <w:rsid w:val="000A523A"/>
    <w:pPr>
      <w:spacing w:after="1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7</Pages>
  <Words>444</Words>
  <Characters>2533</Characters>
  <Application>Microsoft Office Word</Application>
  <DocSecurity>8</DocSecurity>
  <Lines>21</Lines>
  <Paragraphs>5</Paragraphs>
  <ScaleCrop>false</ScaleCrop>
  <Company>Microsoft</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乐与诚</dc:creator>
  <cp:lastModifiedBy>达拉特旗人民政府(拟稿)</cp:lastModifiedBy>
  <cp:revision>2</cp:revision>
  <dcterms:created xsi:type="dcterms:W3CDTF">2022-03-01T01:54:00Z</dcterms:created>
  <dcterms:modified xsi:type="dcterms:W3CDTF">2022-03-01T01:54:00Z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