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4" w:line="224" w:lineRule="auto"/>
        <w:ind w:left="4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5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2</w:t>
      </w:r>
    </w:p>
    <w:p>
      <w:pPr>
        <w:spacing w:before="55" w:line="226" w:lineRule="auto"/>
        <w:ind w:left="3895" w:right="207" w:hanging="388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15"/>
          <w:sz w:val="43"/>
          <w:szCs w:val="43"/>
        </w:rPr>
        <w:t>旗直属企业国有资本收益(国有股股利、股息)</w:t>
      </w:r>
      <w:r>
        <w:rPr>
          <w:rFonts w:ascii="宋体" w:hAnsi="宋体" w:eastAsia="宋体" w:cs="宋体"/>
          <w:spacing w:val="10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申报表</w:t>
      </w:r>
    </w:p>
    <w:p>
      <w:pPr>
        <w:spacing w:before="100" w:line="217" w:lineRule="auto"/>
        <w:ind w:left="362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t>(20</w:t>
      </w:r>
      <w:r>
        <w:rPr>
          <w:rFonts w:ascii="宋体" w:hAnsi="宋体" w:eastAsia="宋体" w:cs="宋体"/>
          <w:spacing w:val="27"/>
          <w:sz w:val="30"/>
          <w:szCs w:val="30"/>
        </w:rPr>
        <w:t xml:space="preserve">   </w:t>
      </w:r>
      <w:r>
        <w:rPr>
          <w:rFonts w:ascii="宋体" w:hAnsi="宋体" w:eastAsia="宋体" w:cs="宋体"/>
          <w:spacing w:val="-3"/>
          <w:sz w:val="30"/>
          <w:szCs w:val="30"/>
        </w:rPr>
        <w:t>年度)</w:t>
      </w:r>
    </w:p>
    <w:tbl>
      <w:tblPr>
        <w:tblStyle w:val="6"/>
        <w:tblW w:w="9120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3396"/>
        <w:gridCol w:w="1708"/>
        <w:gridCol w:w="1848"/>
        <w:gridCol w:w="16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9120" w:type="dxa"/>
            <w:gridSpan w:val="5"/>
            <w:vAlign w:val="top"/>
          </w:tcPr>
          <w:p>
            <w:pPr>
              <w:pStyle w:val="5"/>
              <w:spacing w:before="63" w:line="219" w:lineRule="auto"/>
              <w:ind w:left="363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申报单位基本情况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63" w:line="181" w:lineRule="auto"/>
              <w:ind w:left="14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企业名称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43" w:line="206" w:lineRule="auto"/>
              <w:ind w:left="14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注册地址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43" w:line="198" w:lineRule="auto"/>
              <w:ind w:left="14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组织形式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62" w:line="183" w:lineRule="auto"/>
              <w:ind w:left="14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所处行业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60" w:line="184" w:lineRule="auto"/>
              <w:ind w:left="14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注册资本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61" w:line="183" w:lineRule="auto"/>
              <w:ind w:left="78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其中：国有股权(股份)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63" w:line="182" w:lineRule="auto"/>
              <w:ind w:left="147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开户银行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43" w:line="197" w:lineRule="auto"/>
              <w:ind w:left="147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银行账号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53" w:line="205" w:lineRule="auto"/>
              <w:ind w:left="14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财务经理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881" w:type="dxa"/>
            <w:gridSpan w:val="2"/>
            <w:vAlign w:val="top"/>
          </w:tcPr>
          <w:p>
            <w:pPr>
              <w:pStyle w:val="5"/>
              <w:spacing w:before="66" w:line="179" w:lineRule="auto"/>
              <w:ind w:left="147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523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120" w:type="dxa"/>
            <w:gridSpan w:val="5"/>
            <w:vAlign w:val="top"/>
          </w:tcPr>
          <w:p>
            <w:pPr>
              <w:pStyle w:val="5"/>
              <w:spacing w:before="69" w:line="219" w:lineRule="auto"/>
              <w:ind w:left="2828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应交国有资本收益申报情况(万元)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>
            <w:pPr>
              <w:pStyle w:val="5"/>
              <w:spacing w:before="46" w:line="195" w:lineRule="auto"/>
              <w:ind w:left="1210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项</w:t>
            </w:r>
            <w:r>
              <w:rPr>
                <w:spacing w:val="6"/>
                <w:sz w:val="23"/>
                <w:szCs w:val="23"/>
              </w:rPr>
              <w:t xml:space="preserve">     </w:t>
            </w:r>
            <w:r>
              <w:rPr>
                <w:spacing w:val="-7"/>
                <w:sz w:val="23"/>
                <w:szCs w:val="23"/>
              </w:rPr>
              <w:t>目</w:t>
            </w:r>
          </w:p>
        </w:tc>
        <w:tc>
          <w:tcPr>
            <w:tcW w:w="1708" w:type="dxa"/>
            <w:vAlign w:val="top"/>
          </w:tcPr>
          <w:p>
            <w:pPr>
              <w:pStyle w:val="5"/>
              <w:spacing w:before="44" w:line="196" w:lineRule="auto"/>
              <w:ind w:left="52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申报数</w:t>
            </w:r>
          </w:p>
        </w:tc>
        <w:tc>
          <w:tcPr>
            <w:tcW w:w="1848" w:type="dxa"/>
            <w:vAlign w:val="top"/>
          </w:tcPr>
          <w:p>
            <w:pPr>
              <w:pStyle w:val="5"/>
              <w:spacing w:before="44" w:line="196" w:lineRule="auto"/>
              <w:ind w:left="176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监管部门审核数</w:t>
            </w:r>
          </w:p>
        </w:tc>
        <w:tc>
          <w:tcPr>
            <w:tcW w:w="1683" w:type="dxa"/>
            <w:vAlign w:val="top"/>
          </w:tcPr>
          <w:p>
            <w:pPr>
              <w:pStyle w:val="5"/>
              <w:spacing w:before="44" w:line="196" w:lineRule="auto"/>
              <w:ind w:left="208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财政局复核数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>
            <w:pPr>
              <w:pStyle w:val="5"/>
              <w:spacing w:before="46" w:line="195" w:lineRule="auto"/>
              <w:ind w:left="3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归属于母公司所有者的净利润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5"/>
              <w:spacing w:before="106" w:line="183" w:lineRule="exact"/>
              <w:ind w:left="1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2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before="45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9"/>
                <w:w w:val="94"/>
                <w:sz w:val="18"/>
                <w:szCs w:val="18"/>
              </w:rPr>
              <w:t>加：年初未分配利润(以前年度亏损以“-”号填列)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5"/>
              <w:spacing w:before="106" w:line="183" w:lineRule="exact"/>
              <w:ind w:left="1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3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before="47" w:line="195" w:lineRule="auto"/>
              <w:ind w:left="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可供分配的利润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5"/>
              <w:spacing w:before="106" w:line="183" w:lineRule="exact"/>
              <w:ind w:left="1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4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before="68" w:line="178" w:lineRule="auto"/>
              <w:ind w:left="30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减：提取法定公积金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5"/>
              <w:spacing w:before="108" w:line="182" w:lineRule="exact"/>
              <w:ind w:left="1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5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before="66" w:line="179" w:lineRule="auto"/>
              <w:ind w:left="30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可供分配的利润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5" w:type="dxa"/>
            <w:vAlign w:val="top"/>
          </w:tcPr>
          <w:p>
            <w:pPr>
              <w:pStyle w:val="5"/>
              <w:spacing w:before="116" w:line="193" w:lineRule="exact"/>
              <w:ind w:left="175"/>
              <w:rPr>
                <w:sz w:val="23"/>
                <w:szCs w:val="23"/>
              </w:rPr>
            </w:pPr>
            <w:r>
              <w:rPr>
                <w:position w:val="-2"/>
                <w:sz w:val="23"/>
                <w:szCs w:val="23"/>
              </w:rPr>
              <w:t>6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before="58" w:line="201" w:lineRule="auto"/>
              <w:ind w:left="3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向投资者分配的利润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5"/>
              <w:spacing w:before="109" w:line="181" w:lineRule="exact"/>
              <w:ind w:left="1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7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before="48" w:line="194" w:lineRule="auto"/>
              <w:ind w:left="3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国有股权(股份)所占比例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5"/>
              <w:spacing w:before="107" w:line="182" w:lineRule="exact"/>
              <w:ind w:left="1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8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before="48" w:line="194" w:lineRule="auto"/>
              <w:ind w:left="3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应付国有股股利、股息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5"/>
              <w:spacing w:before="107" w:line="182" w:lineRule="exact"/>
              <w:ind w:left="175"/>
              <w:rPr>
                <w:sz w:val="23"/>
                <w:szCs w:val="23"/>
              </w:rPr>
            </w:pPr>
            <w:r>
              <w:rPr>
                <w:position w:val="-3"/>
                <w:sz w:val="23"/>
                <w:szCs w:val="23"/>
              </w:rPr>
              <w:t>9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before="48" w:line="194" w:lineRule="auto"/>
              <w:jc w:val="right"/>
              <w:rPr>
                <w:sz w:val="23"/>
                <w:szCs w:val="23"/>
              </w:rPr>
            </w:pPr>
            <w:r>
              <w:rPr>
                <w:spacing w:val="-27"/>
                <w:w w:val="97"/>
                <w:sz w:val="23"/>
                <w:szCs w:val="23"/>
              </w:rPr>
              <w:t>加；以前年度欠付</w:t>
            </w:r>
            <w:r>
              <w:rPr>
                <w:spacing w:val="-26"/>
                <w:w w:val="97"/>
                <w:sz w:val="23"/>
                <w:szCs w:val="23"/>
              </w:rPr>
              <w:t>的国有股股利、股</w:t>
            </w:r>
            <w:r>
              <w:rPr>
                <w:spacing w:val="-18"/>
                <w:w w:val="97"/>
                <w:sz w:val="23"/>
                <w:szCs w:val="23"/>
              </w:rPr>
              <w:t>息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pStyle w:val="5"/>
              <w:spacing w:before="90" w:line="200" w:lineRule="exact"/>
              <w:ind w:left="105"/>
              <w:rPr>
                <w:sz w:val="31"/>
                <w:szCs w:val="31"/>
              </w:rPr>
            </w:pPr>
            <w:r>
              <w:rPr>
                <w:spacing w:val="-9"/>
                <w:position w:val="-5"/>
                <w:sz w:val="31"/>
                <w:szCs w:val="31"/>
              </w:rPr>
              <w:t>10</w:t>
            </w:r>
          </w:p>
        </w:tc>
        <w:tc>
          <w:tcPr>
            <w:tcW w:w="3396" w:type="dxa"/>
            <w:vAlign w:val="top"/>
          </w:tcPr>
          <w:p>
            <w:pPr>
              <w:pStyle w:val="5"/>
              <w:spacing w:before="47" w:line="195" w:lineRule="auto"/>
              <w:jc w:val="right"/>
              <w:rPr>
                <w:sz w:val="23"/>
                <w:szCs w:val="23"/>
              </w:rPr>
            </w:pPr>
            <w:r>
              <w:rPr>
                <w:spacing w:val="-7"/>
                <w:sz w:val="23"/>
                <w:szCs w:val="23"/>
              </w:rPr>
              <w:t>减；本期已付的国有股股利、股息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6" w:type="dxa"/>
            <w:vAlign w:val="top"/>
          </w:tcPr>
          <w:p>
            <w:pPr>
              <w:pStyle w:val="5"/>
              <w:spacing w:before="69" w:line="177" w:lineRule="auto"/>
              <w:ind w:left="30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11应交(退)国有股股利、股息</w:t>
            </w:r>
          </w:p>
        </w:tc>
        <w:tc>
          <w:tcPr>
            <w:tcW w:w="17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120" w:type="dxa"/>
            <w:gridSpan w:val="5"/>
            <w:vAlign w:val="top"/>
          </w:tcPr>
          <w:p>
            <w:pPr>
              <w:pStyle w:val="5"/>
              <w:spacing w:before="73" w:line="219" w:lineRule="auto"/>
              <w:ind w:left="4098"/>
              <w:rPr>
                <w:sz w:val="23"/>
                <w:szCs w:val="23"/>
              </w:rPr>
            </w:pPr>
            <w:r>
              <w:rPr>
                <w:b/>
                <w:bCs/>
                <w:spacing w:val="-3"/>
                <w:sz w:val="23"/>
                <w:szCs w:val="23"/>
              </w:rPr>
              <w:t>附送资料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120" w:type="dxa"/>
            <w:gridSpan w:val="5"/>
            <w:vAlign w:val="top"/>
          </w:tcPr>
          <w:p>
            <w:pPr>
              <w:pStyle w:val="5"/>
              <w:spacing w:before="78" w:line="193" w:lineRule="auto"/>
              <w:ind w:left="44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1.股东会(股东大会)决议</w:t>
            </w:r>
            <w:r>
              <w:rPr>
                <w:spacing w:val="22"/>
                <w:sz w:val="23"/>
                <w:szCs w:val="23"/>
              </w:rPr>
              <w:t xml:space="preserve">     </w:t>
            </w:r>
            <w:r>
              <w:rPr>
                <w:spacing w:val="-1"/>
                <w:position w:val="2"/>
                <w:sz w:val="23"/>
                <w:szCs w:val="23"/>
              </w:rPr>
              <w:t>2.其他资料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3" w:hRule="atLeast"/>
        </w:trPr>
        <w:tc>
          <w:tcPr>
            <w:tcW w:w="485" w:type="dxa"/>
            <w:textDirection w:val="tbRlV"/>
            <w:vAlign w:val="top"/>
          </w:tcPr>
          <w:p>
            <w:pPr>
              <w:pStyle w:val="5"/>
              <w:spacing w:before="130" w:line="216" w:lineRule="auto"/>
              <w:ind w:left="527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声</w:t>
            </w:r>
            <w:r>
              <w:rPr>
                <w:spacing w:val="14"/>
                <w:sz w:val="23"/>
                <w:szCs w:val="23"/>
              </w:rPr>
              <w:t xml:space="preserve">    </w:t>
            </w:r>
            <w:r>
              <w:rPr>
                <w:sz w:val="23"/>
                <w:szCs w:val="23"/>
              </w:rPr>
              <w:t>明</w:t>
            </w:r>
          </w:p>
        </w:tc>
        <w:tc>
          <w:tcPr>
            <w:tcW w:w="8635" w:type="dxa"/>
            <w:gridSpan w:val="4"/>
            <w:vAlign w:val="top"/>
          </w:tcPr>
          <w:p>
            <w:pPr>
              <w:pStyle w:val="5"/>
              <w:spacing w:before="79" w:line="246" w:lineRule="auto"/>
              <w:ind w:left="10" w:right="311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本公司按照</w:t>
            </w:r>
            <w:bookmarkStart w:id="0" w:name="_GoBack"/>
            <w:bookmarkEnd w:id="0"/>
            <w:r>
              <w:rPr>
                <w:rFonts w:hint="eastAsia"/>
                <w:spacing w:val="1"/>
                <w:sz w:val="23"/>
                <w:szCs w:val="23"/>
                <w:lang w:eastAsia="zh-CN"/>
              </w:rPr>
              <w:t>《中华人民共和国公司法》</w:t>
            </w:r>
            <w:r>
              <w:rPr>
                <w:spacing w:val="1"/>
                <w:sz w:val="23"/>
                <w:szCs w:val="23"/>
              </w:rPr>
              <w:t>和公司章程的规定进行利润</w:t>
            </w:r>
            <w:r>
              <w:rPr>
                <w:sz w:val="23"/>
                <w:szCs w:val="23"/>
              </w:rPr>
              <w:t xml:space="preserve">分配，申报资料真实、合法，国 </w:t>
            </w:r>
            <w:r>
              <w:rPr>
                <w:spacing w:val="-1"/>
                <w:sz w:val="23"/>
                <w:szCs w:val="23"/>
              </w:rPr>
              <w:t>有股东公平分享股利、股息及其他合法权益。</w:t>
            </w: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5" w:line="227" w:lineRule="auto"/>
              <w:ind w:left="1810"/>
              <w:rPr>
                <w:sz w:val="23"/>
                <w:szCs w:val="23"/>
              </w:rPr>
            </w:pPr>
            <w:r>
              <w:rPr>
                <w:spacing w:val="6"/>
                <w:sz w:val="23"/>
                <w:szCs w:val="23"/>
              </w:rPr>
              <w:t>法人代表(签章):                      (公章)</w:t>
            </w:r>
          </w:p>
          <w:p>
            <w:pPr>
              <w:pStyle w:val="5"/>
              <w:spacing w:before="48" w:line="196" w:lineRule="auto"/>
              <w:ind w:left="6449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4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34"/>
                <w:sz w:val="23"/>
                <w:szCs w:val="23"/>
              </w:rPr>
              <w:t xml:space="preserve">  </w:t>
            </w:r>
            <w:r>
              <w:rPr>
                <w:spacing w:val="-9"/>
                <w:sz w:val="23"/>
                <w:szCs w:val="23"/>
              </w:rPr>
              <w:t>日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footerReference r:id="rId5" w:type="default"/>
          <w:pgSz w:w="11900" w:h="16820"/>
          <w:pgMar w:top="1429" w:right="1244" w:bottom="400" w:left="1420" w:header="0" w:footer="0" w:gutter="0"/>
          <w:cols w:equalWidth="0" w:num="1">
            <w:col w:w="9235"/>
          </w:cols>
        </w:sectPr>
      </w:pPr>
    </w:p>
    <w:p>
      <w:pPr>
        <w:spacing w:before="56" w:line="184" w:lineRule="auto"/>
        <w:ind w:left="99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总会计师：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53" w:line="219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3"/>
          <w:sz w:val="24"/>
          <w:szCs w:val="24"/>
        </w:rPr>
        <w:t>经办人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type w:val="continuous"/>
          <w:pgSz w:w="11900" w:h="16820"/>
          <w:pgMar w:top="1429" w:right="1244" w:bottom="400" w:left="1420" w:header="0" w:footer="0" w:gutter="0"/>
          <w:cols w:equalWidth="0" w:num="2">
            <w:col w:w="5630" w:space="100"/>
            <w:col w:w="3506"/>
          </w:cols>
        </w:sectPr>
      </w:pPr>
    </w:p>
    <w:p>
      <w:pPr>
        <w:spacing w:before="46" w:line="225" w:lineRule="auto"/>
        <w:rPr>
          <w:rFonts w:ascii="楷体" w:hAnsi="楷体" w:eastAsia="楷体" w:cs="楷体"/>
          <w:sz w:val="24"/>
          <w:szCs w:val="24"/>
        </w:rPr>
      </w:pPr>
      <w:r>
        <w:rPr>
          <w:rFonts w:ascii="楷体" w:hAnsi="楷体" w:eastAsia="楷体" w:cs="楷体"/>
          <w:spacing w:val="2"/>
          <w:sz w:val="24"/>
          <w:szCs w:val="24"/>
        </w:rPr>
        <w:t>注：国有控股、参股企业依据2022年度</w:t>
      </w:r>
      <w:r>
        <w:rPr>
          <w:rFonts w:ascii="楷体" w:hAnsi="楷体" w:eastAsia="楷体" w:cs="楷体"/>
          <w:spacing w:val="1"/>
          <w:sz w:val="24"/>
          <w:szCs w:val="24"/>
        </w:rPr>
        <w:t>利润分配情况填报本表。</w:t>
      </w:r>
    </w:p>
    <w:p>
      <w:pPr>
        <w:pStyle w:val="2"/>
        <w:spacing w:line="348" w:lineRule="auto"/>
      </w:pP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40"/>
        <w:w w:val="96"/>
        <w:sz w:val="32"/>
        <w:szCs w:val="32"/>
      </w:rPr>
      <w:t>—1</w:t>
    </w:r>
    <w:r>
      <w:rPr>
        <w:rFonts w:ascii="宋体" w:hAnsi="宋体" w:eastAsia="宋体" w:cs="宋体"/>
        <w:spacing w:val="-39"/>
        <w:w w:val="96"/>
        <w:sz w:val="32"/>
        <w:szCs w:val="32"/>
      </w:rPr>
      <w:t>3</w:t>
    </w:r>
    <w:r>
      <w:rPr>
        <w:rFonts w:ascii="宋体" w:hAnsi="宋体" w:eastAsia="宋体" w:cs="宋体"/>
        <w:spacing w:val="-9"/>
        <w:w w:val="96"/>
        <w:sz w:val="32"/>
        <w:szCs w:val="32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Nzk2NGIzYmY1NTUxMzkyODJmNDYwYzUzN2JkOTQifQ=="/>
  </w:docVars>
  <w:rsids>
    <w:rsidRoot w:val="00000000"/>
    <w:rsid w:val="382A2F0F"/>
    <w:rsid w:val="526D6A4B"/>
    <w:rsid w:val="73A8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405</Characters>
  <Lines>0</Lines>
  <Paragraphs>0</Paragraphs>
  <TotalTime>0</TotalTime>
  <ScaleCrop>false</ScaleCrop>
  <LinksUpToDate>false</LinksUpToDate>
  <CharactersWithSpaces>453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2024-03-08T09:07:00Z</dcterms:created>
  <dc:creator>Lenovo</dc:creator>
  <cp:lastModifiedBy>3</cp:lastModifiedBy>
  <dcterms:modified xsi:type="dcterms:W3CDTF">2024-05-07T03:02:56Z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B3C931DF1ECE4581ADEB0228D47E7195_13</vt:lpwstr>
  </property>
</Properties>
</file>