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08BA6">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eastAsia="zh-CN"/>
        </w:rPr>
      </w:pPr>
      <w:bookmarkStart w:id="0" w:name="_Hlk160453437"/>
      <w:bookmarkEnd w:id="0"/>
    </w:p>
    <w:p w14:paraId="6F8C6A18">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9"/>
        <w:rPr>
          <w:rFonts w:hint="eastAsia" w:ascii="楷体_GB2312" w:hAnsi="楷体_GB2312" w:eastAsia="楷体_GB2312" w:cs="楷体_GB2312"/>
          <w:sz w:val="32"/>
          <w:szCs w:val="32"/>
          <w:lang w:val="en-US" w:eastAsia="zh-CN"/>
        </w:rPr>
      </w:pPr>
      <w:r>
        <w:rPr>
          <w:rFonts w:hint="default" w:ascii="Times New Roman" w:hAnsi="Times New Roman" w:eastAsia="仿宋_GB2312" w:cs="Times New Roman"/>
          <w:sz w:val="32"/>
          <w:szCs w:val="32"/>
          <w:lang w:val="en-US" w:eastAsia="zh-CN"/>
        </w:rPr>
        <w:t>达政</w:t>
      </w:r>
      <w:r>
        <w:rPr>
          <w:rFonts w:hint="eastAsia" w:eastAsia="仿宋_GB2312" w:cs="Times New Roman"/>
          <w:sz w:val="32"/>
          <w:szCs w:val="32"/>
          <w:lang w:val="en-US" w:eastAsia="zh-CN"/>
        </w:rPr>
        <w:t>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lang w:val="en-US" w:eastAsia="zh-CN"/>
        </w:rPr>
        <w:t>号</w:t>
      </w:r>
    </w:p>
    <w:p w14:paraId="78CD7EE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eastAsia="仿宋_GB2312"/>
          <w:color w:val="auto"/>
          <w:sz w:val="15"/>
          <w:szCs w:val="15"/>
          <w:u w:val="none"/>
        </w:rPr>
      </w:pPr>
    </w:p>
    <w:p w14:paraId="3D81E4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b w:val="0"/>
          <w:bCs/>
          <w:spacing w:val="0"/>
          <w:sz w:val="44"/>
          <w:szCs w:val="44"/>
          <w:lang w:eastAsia="zh-CN"/>
        </w:rPr>
        <w:t>达拉特旗人民政府关于印发</w:t>
      </w:r>
      <w:r>
        <w:rPr>
          <w:rFonts w:hint="eastAsia" w:ascii="方正小标宋简体" w:hAnsi="方正小标宋简体" w:eastAsia="方正小标宋简体" w:cs="方正小标宋简体"/>
          <w:spacing w:val="0"/>
          <w:sz w:val="44"/>
          <w:szCs w:val="44"/>
          <w:lang w:eastAsia="zh-CN"/>
        </w:rPr>
        <w:t>《达拉特旗集体</w:t>
      </w:r>
    </w:p>
    <w:p w14:paraId="158E62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spacing w:val="0"/>
          <w:sz w:val="44"/>
          <w:szCs w:val="44"/>
          <w:lang w:eastAsia="zh-CN"/>
        </w:rPr>
        <w:t>土地征收征用补偿安置管理办法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sz w:val="44"/>
          <w:szCs w:val="44"/>
          <w:lang w:eastAsia="zh-CN"/>
        </w:rPr>
        <w:t>的通知</w:t>
      </w:r>
    </w:p>
    <w:p w14:paraId="14231C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14:paraId="6D549040">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各苏木镇人民政府、各街道办事处、各开发区（园区）、旗直各有关部门</w:t>
      </w:r>
      <w:r>
        <w:rPr>
          <w:rFonts w:hint="default" w:ascii="Times New Roman" w:hAnsi="Times New Roman" w:eastAsia="仿宋_GB2312" w:cs="Times New Roman"/>
          <w:color w:val="auto"/>
          <w:sz w:val="32"/>
          <w:szCs w:val="32"/>
          <w:lang w:eastAsia="zh-CN"/>
        </w:rPr>
        <w:t>：</w:t>
      </w:r>
    </w:p>
    <w:p w14:paraId="0D7A8051">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《达拉特旗集体土地征收征用补偿安置管理办法》已经</w:t>
      </w:r>
      <w:r>
        <w:rPr>
          <w:rFonts w:hint="eastAsia" w:ascii="Times New Roman" w:hAnsi="Times New Roman" w:eastAsia="仿宋_GB2312" w:cs="Times New Roman"/>
          <w:color w:val="auto"/>
          <w:sz w:val="32"/>
          <w:szCs w:val="32"/>
          <w:lang w:eastAsia="zh-CN"/>
        </w:rPr>
        <w:t>旗</w:t>
      </w:r>
      <w:r>
        <w:rPr>
          <w:rFonts w:hint="default" w:ascii="Times New Roman" w:hAnsi="Times New Roman" w:eastAsia="仿宋_GB2312" w:cs="Times New Roman"/>
          <w:color w:val="auto"/>
          <w:sz w:val="32"/>
          <w:szCs w:val="32"/>
          <w:lang w:eastAsia="zh-CN"/>
        </w:rPr>
        <w:t>人民政府2024年第</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次常务会议审议通过，现印发给你们，请结合实际，认真组织实施。</w:t>
      </w:r>
    </w:p>
    <w:p w14:paraId="0F87AFC9">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351449A2">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5120" w:firstLineChars="1600"/>
        <w:jc w:val="both"/>
        <w:textAlignment w:val="auto"/>
        <w:outlineLvl w:val="9"/>
        <w:rPr>
          <w:rFonts w:hint="default" w:ascii="Times New Roman" w:hAnsi="Times New Roman" w:eastAsia="仿宋_GB2312" w:cs="Times New Roman"/>
          <w:color w:val="auto"/>
          <w:sz w:val="32"/>
          <w:szCs w:val="32"/>
          <w:lang w:val="en-US" w:eastAsia="zh-CN"/>
        </w:rPr>
      </w:pPr>
      <w:bookmarkStart w:id="18" w:name="_GoBack"/>
      <w:bookmarkEnd w:id="18"/>
      <w:r>
        <w:rPr>
          <w:rFonts w:hint="default" w:ascii="Times New Roman" w:hAnsi="Times New Roman" w:eastAsia="仿宋_GB2312" w:cs="Times New Roman"/>
          <w:color w:val="auto"/>
          <w:sz w:val="32"/>
          <w:szCs w:val="32"/>
          <w:lang w:val="en-US" w:eastAsia="zh-CN"/>
        </w:rPr>
        <w:t>达拉特旗人民政府</w:t>
      </w:r>
    </w:p>
    <w:p w14:paraId="3348C24D">
      <w:pPr>
        <w:pStyle w:val="7"/>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5120" w:firstLineChars="1600"/>
        <w:jc w:val="both"/>
        <w:textAlignment w:val="auto"/>
        <w:outlineLvl w:val="9"/>
        <w:rPr>
          <w:rStyle w:val="11"/>
          <w:rFonts w:hint="eastAsia" w:ascii="方正小标宋简体" w:hAnsi="方正小标宋简体" w:eastAsia="仿宋_GB2312" w:cs="方正小标宋简体"/>
          <w:b w:val="0"/>
          <w:color w:val="auto"/>
          <w:sz w:val="44"/>
          <w:szCs w:val="44"/>
          <w:lang w:val="en-US" w:eastAsia="zh-CN"/>
        </w:rPr>
      </w:pPr>
      <w:r>
        <w:rPr>
          <w:rFonts w:hint="default" w:ascii="Times New Roman" w:hAnsi="Times New Roman" w:eastAsia="仿宋_GB2312" w:cs="Times New Roman"/>
          <w:color w:val="auto"/>
          <w:spacing w:val="0"/>
          <w:sz w:val="32"/>
          <w:szCs w:val="32"/>
          <w:lang w:val="en-US" w:eastAsia="zh-CN"/>
        </w:rPr>
        <w:t>202</w:t>
      </w:r>
      <w:r>
        <w:rPr>
          <w:rFonts w:hint="eastAsia" w:ascii="Times New Roman" w:hAnsi="Times New Roman" w:eastAsia="仿宋_GB2312" w:cs="Times New Roman"/>
          <w:color w:val="auto"/>
          <w:spacing w:val="0"/>
          <w:sz w:val="32"/>
          <w:szCs w:val="32"/>
          <w:lang w:val="en-US" w:eastAsia="zh-CN"/>
        </w:rPr>
        <w:t>4</w:t>
      </w:r>
      <w:r>
        <w:rPr>
          <w:rFonts w:hint="default" w:ascii="Times New Roman" w:hAnsi="Times New Roman" w:eastAsia="仿宋_GB2312" w:cs="Times New Roman"/>
          <w:color w:val="auto"/>
          <w:spacing w:val="0"/>
          <w:sz w:val="32"/>
          <w:szCs w:val="32"/>
          <w:lang w:val="en-US" w:eastAsia="zh-CN"/>
        </w:rPr>
        <w:t>年</w:t>
      </w:r>
      <w:r>
        <w:rPr>
          <w:rFonts w:hint="eastAsia"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lang w:val="en-US" w:eastAsia="zh-CN"/>
        </w:rPr>
        <w:t>月</w:t>
      </w:r>
      <w:r>
        <w:rPr>
          <w:rFonts w:hint="eastAsia" w:ascii="Times New Roman" w:hAnsi="Times New Roman" w:eastAsia="仿宋_GB2312" w:cs="Times New Roman"/>
          <w:color w:val="auto"/>
          <w:spacing w:val="0"/>
          <w:sz w:val="32"/>
          <w:szCs w:val="32"/>
          <w:lang w:val="en-US" w:eastAsia="zh-CN"/>
        </w:rPr>
        <w:t>21日</w:t>
      </w:r>
    </w:p>
    <w:p w14:paraId="1711B06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1"/>
          <w:rFonts w:ascii="方正小标宋简体" w:hAnsi="方正小标宋简体" w:eastAsia="方正小标宋简体" w:cs="方正小标宋简体"/>
          <w:b w:val="0"/>
          <w:color w:val="auto"/>
          <w:sz w:val="44"/>
          <w:szCs w:val="44"/>
        </w:rPr>
      </w:pPr>
      <w:r>
        <w:rPr>
          <w:rStyle w:val="11"/>
          <w:rFonts w:hint="eastAsia" w:ascii="方正小标宋简体" w:hAnsi="方正小标宋简体" w:eastAsia="方正小标宋简体" w:cs="方正小标宋简体"/>
          <w:b w:val="0"/>
          <w:color w:val="auto"/>
          <w:sz w:val="44"/>
          <w:szCs w:val="44"/>
        </w:rPr>
        <w:t>达拉特旗集体土地征收征用补偿安置管理办法</w:t>
      </w:r>
    </w:p>
    <w:p w14:paraId="7AA379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bCs w:val="0"/>
          <w:color w:val="auto"/>
          <w:sz w:val="32"/>
          <w:szCs w:val="32"/>
        </w:rPr>
      </w:pPr>
    </w:p>
    <w:p w14:paraId="1CCCB40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bCs w:val="0"/>
          <w:color w:val="auto"/>
          <w:sz w:val="32"/>
          <w:szCs w:val="32"/>
        </w:rPr>
      </w:pPr>
      <w:r>
        <w:rPr>
          <w:rStyle w:val="11"/>
          <w:rFonts w:hint="eastAsia" w:ascii="黑体" w:hAnsi="黑体" w:eastAsia="黑体"/>
          <w:b w:val="0"/>
          <w:color w:val="auto"/>
          <w:sz w:val="32"/>
          <w:szCs w:val="32"/>
        </w:rPr>
        <w:t xml:space="preserve">第一章  总  则  </w:t>
      </w:r>
      <w:r>
        <w:rPr>
          <w:rStyle w:val="11"/>
          <w:rFonts w:hint="eastAsia" w:ascii="仿宋_GB2312" w:hAnsi="仿宋_GB2312" w:eastAsia="仿宋_GB2312" w:cs="仿宋_GB2312"/>
          <w:bCs w:val="0"/>
          <w:color w:val="auto"/>
          <w:sz w:val="32"/>
          <w:szCs w:val="32"/>
        </w:rPr>
        <w:t xml:space="preserve"> </w:t>
      </w:r>
    </w:p>
    <w:p w14:paraId="1C6EC8E9">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17BA875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第一条</w:t>
      </w:r>
      <w:r>
        <w:rPr>
          <w:rStyle w:val="11"/>
          <w:rFonts w:hint="eastAsia" w:ascii="仿宋_GB2312" w:hAnsi="仿宋_GB2312" w:eastAsia="仿宋_GB2312" w:cs="仿宋_GB2312"/>
          <w:b w:val="0"/>
          <w:color w:val="auto"/>
          <w:sz w:val="32"/>
          <w:szCs w:val="32"/>
        </w:rPr>
        <w:t xml:space="preserve"> 为加强和规范农村牧区集体土地征收征用补偿安置管理工作，维护被征收农村集体经济组织、农牧民和其他权利人的合法权益，规范有序有力推进土地征收征用工作，保障经济社会发展合理用地，根据《中华人民共和国民法典》《中华人民共和国土地管理法》《中华人民共和国森林法》《中华人民共和国治安管理处罚法》《国有土地上的房屋征收与补偿条例》《内蒙古自治区草原管理条例》《内蒙古自治区人民政府办公厅关于公布自治区新一轮征地区片综合地价调整更新的通知》《鄂尔多斯市人民政府关于公布征地区片综合地价征收农用地以外的其它土地、青苗和地上附着物等补偿标准及土地补偿费和安置补助费分配比例的通知》等规定，综合我旗实际，制定本办法。</w:t>
      </w:r>
    </w:p>
    <w:p w14:paraId="7F09DF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第二条</w:t>
      </w:r>
      <w:r>
        <w:rPr>
          <w:rStyle w:val="11"/>
          <w:rFonts w:hint="eastAsia" w:ascii="仿宋_GB2312" w:hAnsi="仿宋_GB2312" w:eastAsia="仿宋_GB2312" w:cs="仿宋_GB2312"/>
          <w:b w:val="0"/>
          <w:color w:val="auto"/>
          <w:sz w:val="32"/>
          <w:szCs w:val="32"/>
        </w:rPr>
        <w:t xml:space="preserve"> 本办法所称土地征收，是指政府为了公共利益和经济社会发展的需要，按照法定程序和批准权限，将农民集体所有的土地征收为国家所有，并依法给予农村集体经济组织和农民补偿与安置的行为。土地征用，是指政府为了确保</w:t>
      </w:r>
      <w:bookmarkStart w:id="1" w:name="OLE_LINK2"/>
      <w:r>
        <w:rPr>
          <w:rStyle w:val="11"/>
          <w:rFonts w:hint="eastAsia" w:ascii="仿宋_GB2312" w:hAnsi="仿宋_GB2312" w:eastAsia="仿宋_GB2312" w:cs="仿宋_GB2312"/>
          <w:b w:val="0"/>
          <w:color w:val="auto"/>
          <w:sz w:val="32"/>
          <w:szCs w:val="32"/>
        </w:rPr>
        <w:t>工程建设施工、地质勘察、抢险救灾（包括井工矿塌陷区保护）等</w:t>
      </w:r>
      <w:bookmarkEnd w:id="1"/>
      <w:r>
        <w:rPr>
          <w:rStyle w:val="11"/>
          <w:rFonts w:hint="eastAsia" w:ascii="仿宋_GB2312" w:hAnsi="仿宋_GB2312" w:eastAsia="仿宋_GB2312" w:cs="仿宋_GB2312"/>
          <w:b w:val="0"/>
          <w:color w:val="auto"/>
          <w:sz w:val="32"/>
          <w:szCs w:val="32"/>
        </w:rPr>
        <w:t>的需要，按照法定程序将农民集体所有的土地征用并依法给予补偿的行为，征用后集体土地的所有权不变。</w:t>
      </w:r>
    </w:p>
    <w:p w14:paraId="2A8049C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第三条</w:t>
      </w:r>
      <w:r>
        <w:rPr>
          <w:rStyle w:val="11"/>
          <w:rFonts w:hint="eastAsia" w:ascii="仿宋_GB2312" w:hAnsi="仿宋_GB2312" w:eastAsia="仿宋_GB2312" w:cs="仿宋_GB2312"/>
          <w:b w:val="0"/>
          <w:color w:val="auto"/>
          <w:sz w:val="32"/>
          <w:szCs w:val="32"/>
        </w:rPr>
        <w:t xml:space="preserve"> 本办法适用于达拉特旗行政区域内集体土地的征收征用管理。</w:t>
      </w:r>
    </w:p>
    <w:p w14:paraId="00AEB79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第四条</w:t>
      </w:r>
      <w:r>
        <w:rPr>
          <w:rStyle w:val="11"/>
          <w:rFonts w:hint="eastAsia" w:ascii="仿宋_GB2312" w:hAnsi="仿宋_GB2312" w:eastAsia="仿宋_GB2312" w:cs="仿宋_GB2312"/>
          <w:b w:val="0"/>
          <w:color w:val="auto"/>
          <w:sz w:val="32"/>
          <w:szCs w:val="32"/>
        </w:rPr>
        <w:t xml:space="preserve"> 达拉特旗行政区域内的农村牧区集体土地征收主体为旗人民政府，旗自然资源局为土地征收管理和监督机构，各苏木镇具体组织实施。</w:t>
      </w:r>
    </w:p>
    <w:p w14:paraId="1D76DEA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第五条</w:t>
      </w:r>
      <w:r>
        <w:rPr>
          <w:rStyle w:val="11"/>
          <w:rFonts w:hint="eastAsia" w:ascii="仿宋_GB2312" w:hAnsi="仿宋_GB2312" w:eastAsia="仿宋_GB2312" w:cs="仿宋_GB2312"/>
          <w:b w:val="0"/>
          <w:color w:val="auto"/>
          <w:sz w:val="32"/>
          <w:szCs w:val="32"/>
        </w:rPr>
        <w:t xml:space="preserve"> 征收农民集体所有的土地应当坚持下列基本原则：</w:t>
      </w:r>
    </w:p>
    <w:p w14:paraId="373610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（一）保障被征地农牧民原有生活水平不降低、长远生计有保障。</w:t>
      </w:r>
    </w:p>
    <w:p w14:paraId="0FE4CA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（二）严格依法合理补偿与安置。</w:t>
      </w:r>
    </w:p>
    <w:p w14:paraId="451454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（三）切实做到公开、公正和公平。</w:t>
      </w:r>
    </w:p>
    <w:p w14:paraId="1422D9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（四）兼顾国家、集体和个人利益。</w:t>
      </w:r>
    </w:p>
    <w:p w14:paraId="3180FA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（五）应当统筹发展与稳定、促进社会和谐。</w:t>
      </w:r>
    </w:p>
    <w:p w14:paraId="1F0AFD7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第六条</w:t>
      </w:r>
      <w:r>
        <w:rPr>
          <w:rStyle w:val="11"/>
          <w:rFonts w:hint="eastAsia" w:ascii="仿宋_GB2312" w:hAnsi="仿宋_GB2312" w:eastAsia="仿宋_GB2312" w:cs="仿宋_GB2312"/>
          <w:b w:val="0"/>
          <w:color w:val="auto"/>
          <w:sz w:val="32"/>
          <w:szCs w:val="32"/>
        </w:rPr>
        <w:t xml:space="preserve"> 被征地农村集体经济组织及成员应当服从经济社会发展对建设用地</w:t>
      </w:r>
      <w:r>
        <w:rPr>
          <w:rStyle w:val="11"/>
          <w:rFonts w:hint="eastAsia" w:ascii="仿宋_GB2312" w:hAnsi="仿宋_GB2312" w:eastAsia="仿宋_GB2312" w:cs="仿宋_GB2312"/>
          <w:b w:val="0"/>
          <w:color w:val="auto"/>
          <w:sz w:val="32"/>
          <w:szCs w:val="32"/>
          <w:lang w:eastAsia="zh-CN"/>
        </w:rPr>
        <w:t>等</w:t>
      </w:r>
      <w:r>
        <w:rPr>
          <w:rStyle w:val="11"/>
          <w:rFonts w:hint="eastAsia" w:ascii="仿宋_GB2312" w:hAnsi="仿宋_GB2312" w:eastAsia="仿宋_GB2312" w:cs="仿宋_GB2312"/>
          <w:b w:val="0"/>
          <w:color w:val="auto"/>
          <w:sz w:val="32"/>
          <w:szCs w:val="32"/>
        </w:rPr>
        <w:t>的需要，积极配合支持做好土地征收</w:t>
      </w:r>
      <w:r>
        <w:rPr>
          <w:rStyle w:val="11"/>
          <w:rFonts w:hint="eastAsia" w:ascii="仿宋_GB2312" w:hAnsi="仿宋_GB2312" w:eastAsia="仿宋_GB2312" w:cs="仿宋_GB2312"/>
          <w:b w:val="0"/>
          <w:color w:val="auto"/>
          <w:sz w:val="32"/>
          <w:szCs w:val="32"/>
          <w:lang w:eastAsia="zh-CN"/>
        </w:rPr>
        <w:t>征用</w:t>
      </w:r>
      <w:r>
        <w:rPr>
          <w:rStyle w:val="11"/>
          <w:rFonts w:hint="eastAsia" w:ascii="仿宋_GB2312" w:hAnsi="仿宋_GB2312" w:eastAsia="仿宋_GB2312" w:cs="仿宋_GB2312"/>
          <w:b w:val="0"/>
          <w:color w:val="auto"/>
          <w:sz w:val="32"/>
          <w:szCs w:val="32"/>
        </w:rPr>
        <w:t>工作。</w:t>
      </w:r>
    </w:p>
    <w:p w14:paraId="4B7434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p>
    <w:p w14:paraId="5B0897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r>
        <w:rPr>
          <w:rStyle w:val="11"/>
          <w:rFonts w:hint="eastAsia" w:ascii="黑体" w:hAnsi="黑体" w:eastAsia="黑体"/>
          <w:b w:val="0"/>
          <w:color w:val="auto"/>
          <w:sz w:val="32"/>
          <w:szCs w:val="32"/>
        </w:rPr>
        <w:t>第二章 组织实施</w:t>
      </w:r>
    </w:p>
    <w:p w14:paraId="1285B85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3B1D913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第七条</w:t>
      </w:r>
      <w:r>
        <w:rPr>
          <w:rStyle w:val="11"/>
          <w:rFonts w:hint="eastAsia" w:ascii="仿宋_GB2312" w:hAnsi="仿宋_GB2312" w:eastAsia="仿宋_GB2312" w:cs="仿宋_GB2312"/>
          <w:b w:val="0"/>
          <w:color w:val="auto"/>
          <w:sz w:val="32"/>
          <w:szCs w:val="32"/>
        </w:rPr>
        <w:t xml:space="preserve"> 旗人民政府认为符合《中华人民共和国土地管理法》第四十五条规定需征收土地的，可以开展前期工作。</w:t>
      </w:r>
    </w:p>
    <w:p w14:paraId="7B386A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第八条</w:t>
      </w:r>
      <w:r>
        <w:rPr>
          <w:rStyle w:val="11"/>
          <w:rFonts w:hint="eastAsia" w:ascii="仿宋_GB2312" w:hAnsi="仿宋_GB2312" w:eastAsia="仿宋_GB2312" w:cs="仿宋_GB2312"/>
          <w:b w:val="0"/>
          <w:color w:val="auto"/>
          <w:sz w:val="32"/>
          <w:szCs w:val="32"/>
        </w:rPr>
        <w:t xml:space="preserve"> 为切实加强对土地征收征用补偿安置工作的组织领导，补偿工作在旗人民政府统一组织协调和监督管理下进行，各单位按照本单位职能职责做好土地征收征用的补偿安置等工作。</w:t>
      </w:r>
    </w:p>
    <w:p w14:paraId="652CB8A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第九条</w:t>
      </w:r>
      <w:r>
        <w:rPr>
          <w:rStyle w:val="11"/>
          <w:rFonts w:hint="eastAsia" w:ascii="仿宋_GB2312" w:hAnsi="仿宋_GB2312" w:eastAsia="仿宋_GB2312" w:cs="仿宋_GB2312"/>
          <w:b w:val="0"/>
          <w:color w:val="auto"/>
          <w:sz w:val="32"/>
          <w:szCs w:val="32"/>
        </w:rPr>
        <w:t xml:space="preserve"> 各相关单位的工作职责</w:t>
      </w:r>
    </w:p>
    <w:p w14:paraId="4F452F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自然资源局负责土地征收管理和监督；具体负责征地补偿安置等相关政策解读；负责征收土地预公告、征地补偿安置方案公告、征地补偿安置方案听证告知书的起草、报送；负责土地及地上附着物补偿协议的签订及补偿费支付；负责征地告知、听证、用地预审、规划选址及报批组卷等工作。</w:t>
      </w:r>
    </w:p>
    <w:p w14:paraId="6BE8F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各苏木镇收到旗人民政府发布的征收土地预公告后，组织旗直相关部门、被征地农村集体经济组织或村民委员会、项目用地等单位成立征地工作组（由苏木镇党政主要领导任组长，并以正式文件印发）；负责组织动态巡查，杜绝发生抢建、抢栽、抢种等违法行为；负责组织被征地村民委员会或农村集体经济组织、土地承包人、地上附着物所有人对土地及地上附着物丈量、清点及登记补偿工作；负责对宅基地使用情况及搬迁安置人口资格进行审核；负责做好被征地村组和农牧民的政策宣传、思想教育、矛盾调处</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信访维稳</w:t>
      </w:r>
      <w:r>
        <w:rPr>
          <w:rStyle w:val="11"/>
          <w:rFonts w:hint="eastAsia" w:ascii="仿宋_GB2312" w:hAnsi="仿宋_GB2312" w:eastAsia="仿宋_GB2312" w:cs="仿宋_GB2312"/>
          <w:b w:val="0"/>
          <w:color w:val="auto"/>
          <w:sz w:val="32"/>
          <w:szCs w:val="32"/>
        </w:rPr>
        <w:t>等工作；负责指导村民委员会或农村集体经济组织召开村民小组会议或村民代表大会，按照《中华人民共和国村民委员会组织法》</w:t>
      </w:r>
      <w:r>
        <w:rPr>
          <w:rStyle w:val="11"/>
          <w:rFonts w:hint="eastAsia" w:ascii="仿宋_GB2312" w:hAnsi="仿宋_GB2312" w:eastAsia="仿宋_GB2312" w:cs="仿宋_GB2312"/>
          <w:b w:val="0"/>
          <w:color w:val="auto"/>
          <w:sz w:val="32"/>
          <w:szCs w:val="32"/>
          <w:lang w:eastAsia="zh-CN"/>
        </w:rPr>
        <w:t>等</w:t>
      </w:r>
      <w:r>
        <w:rPr>
          <w:rStyle w:val="11"/>
          <w:rFonts w:hint="eastAsia" w:ascii="仿宋_GB2312" w:hAnsi="仿宋_GB2312" w:eastAsia="仿宋_GB2312" w:cs="仿宋_GB2312"/>
          <w:b w:val="0"/>
          <w:color w:val="auto"/>
          <w:sz w:val="32"/>
          <w:szCs w:val="32"/>
        </w:rPr>
        <w:t>有关规定制定征地补偿费分配与使用方案，审核签字后报自然资源局备案。</w:t>
      </w:r>
    </w:p>
    <w:p w14:paraId="3ECFB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（三）人力资源和社会保障局负责制定被征地农民社会保障政策及社会保障费用的管理等工作。</w:t>
      </w:r>
    </w:p>
    <w:p w14:paraId="2E131D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（四）审计局负责对征地补偿款的分配使用进行监管。</w:t>
      </w:r>
    </w:p>
    <w:p w14:paraId="4BA67F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（五）公安局负责做好被征拆农民的户籍核查工作。</w:t>
      </w:r>
    </w:p>
    <w:p w14:paraId="18654F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六）被征地的村民委员会或农村集体经济组织负责组织召开村民会议或村民代表会议，推选村民代表成立地类认定、权属界限指认工作组，协助征地工作组做好被征收土地权属界限、承包范围、地类认定等工作；组织召开村民会议或村民代表会议，研究讨论需村民会议或村民代表会议表决通过的事项、讨论决定征地补偿费的分配与使用方案、其他需要表决事项，并将表决结果以书面形式报苏木镇审核，审核通过后报自然资源局备案；负责对农村宅基地使用情况、安置人员资格、土地承包经营权人、失地情况等进行审查确认；将征收土地的补偿费用的收支情况向本集体经济组织成员公布，并接受监督。</w:t>
      </w:r>
    </w:p>
    <w:p w14:paraId="7558DB0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第十条</w:t>
      </w:r>
      <w:r>
        <w:rPr>
          <w:rStyle w:val="11"/>
          <w:rFonts w:hint="eastAsia" w:ascii="仿宋_GB2312" w:hAnsi="仿宋_GB2312" w:eastAsia="仿宋_GB2312" w:cs="仿宋_GB2312"/>
          <w:b w:val="0"/>
          <w:color w:val="auto"/>
          <w:sz w:val="32"/>
          <w:szCs w:val="32"/>
        </w:rPr>
        <w:t xml:space="preserve"> 征地工作组对耕地面积的认定，以二轮土地承包为主要依据，结合土地确权及“三调”数据库综合确定。对其他农用地的地类认定，结合征地时土地现状、农村集体土地承包经营权等合法审批手续综合确定。</w:t>
      </w:r>
    </w:p>
    <w:p w14:paraId="5E2203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第十一条</w:t>
      </w:r>
      <w:r>
        <w:rPr>
          <w:rStyle w:val="11"/>
          <w:rFonts w:hint="eastAsia" w:ascii="仿宋_GB2312" w:hAnsi="仿宋_GB2312" w:eastAsia="仿宋_GB2312" w:cs="仿宋_GB2312"/>
          <w:b w:val="0"/>
          <w:color w:val="auto"/>
          <w:sz w:val="32"/>
          <w:szCs w:val="32"/>
        </w:rPr>
        <w:t xml:space="preserve"> 征收集体土地的，应及时足额支付各项补偿费用。</w:t>
      </w:r>
    </w:p>
    <w:p w14:paraId="4B44A5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征地补偿费由土地补偿费和安置补助费组成，其中土地补偿费占比40%，安置补助费占比60%。青苗及附着物补偿费归所有者。</w:t>
      </w:r>
    </w:p>
    <w:p w14:paraId="5DA0B7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征地补偿费由村民委员会或农村集体经济组织按照土地补偿费主要用于被征地农牧户的原则进行依法依规合理分配。征地补偿费分配方案，由被征地的村民委员会或农村集体经济组织组织全体村民或村民代表（户代表）召开会议讨论，所形成方案要在村社内公示，公示期不少于7天。</w:t>
      </w:r>
    </w:p>
    <w:p w14:paraId="2ABAB8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苏木镇要做好土地补偿费分配使用方案的监督管理工作，村民会议或者村民代表会议决定的土地补偿费分配使用方案违反法律、法规、政策规定的，责令其改正。</w:t>
      </w:r>
    </w:p>
    <w:p w14:paraId="60D9D8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p>
    <w:p w14:paraId="1DBB48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r>
        <w:rPr>
          <w:rStyle w:val="11"/>
          <w:rFonts w:hint="eastAsia" w:ascii="黑体" w:hAnsi="黑体" w:eastAsia="黑体"/>
          <w:b w:val="0"/>
          <w:bCs w:val="0"/>
          <w:color w:val="auto"/>
          <w:sz w:val="32"/>
          <w:szCs w:val="32"/>
        </w:rPr>
        <w:t>第三章 征</w:t>
      </w:r>
      <w:r>
        <w:rPr>
          <w:rStyle w:val="11"/>
          <w:rFonts w:hint="eastAsia" w:ascii="黑体" w:hAnsi="黑体" w:eastAsia="黑体"/>
          <w:b w:val="0"/>
          <w:bCs w:val="0"/>
          <w:color w:val="auto"/>
          <w:sz w:val="32"/>
          <w:szCs w:val="32"/>
          <w:lang w:val="en-US" w:eastAsia="zh-CN"/>
        </w:rPr>
        <w:t>收土</w:t>
      </w:r>
      <w:r>
        <w:rPr>
          <w:rStyle w:val="11"/>
          <w:rFonts w:hint="eastAsia" w:ascii="黑体" w:hAnsi="黑体" w:eastAsia="黑体"/>
          <w:b w:val="0"/>
          <w:bCs w:val="0"/>
          <w:color w:val="auto"/>
          <w:sz w:val="32"/>
          <w:szCs w:val="32"/>
        </w:rPr>
        <w:t>地工作程序</w:t>
      </w:r>
    </w:p>
    <w:p w14:paraId="75E45780">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25BEE26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第十二条</w:t>
      </w:r>
      <w:r>
        <w:rPr>
          <w:rStyle w:val="11"/>
          <w:rFonts w:hint="eastAsia" w:ascii="仿宋_GB2312" w:hAnsi="仿宋_GB2312" w:eastAsia="仿宋_GB2312" w:cs="仿宋_GB2312"/>
          <w:b w:val="0"/>
          <w:color w:val="auto"/>
          <w:sz w:val="32"/>
          <w:szCs w:val="32"/>
        </w:rPr>
        <w:t xml:space="preserve"> 发布征收土地预公告。建设项目符合《中华人民共和国土地管理法》第四十五条规定情形确需征收集体土地的，且拟征收范围确定后，由旗人民政府发布土地征收预公告，并在拟征收土地所涉及的村、</w:t>
      </w:r>
      <w:r>
        <w:rPr>
          <w:rStyle w:val="11"/>
          <w:rFonts w:hint="eastAsia" w:ascii="仿宋_GB2312" w:hAnsi="仿宋_GB2312" w:eastAsia="仿宋_GB2312" w:cs="仿宋_GB2312"/>
          <w:b w:val="0"/>
          <w:color w:val="auto"/>
          <w:sz w:val="32"/>
          <w:szCs w:val="32"/>
          <w:lang w:eastAsia="zh-CN"/>
        </w:rPr>
        <w:t>社</w:t>
      </w:r>
      <w:r>
        <w:rPr>
          <w:rStyle w:val="11"/>
          <w:rFonts w:hint="eastAsia" w:ascii="仿宋_GB2312" w:hAnsi="仿宋_GB2312" w:eastAsia="仿宋_GB2312" w:cs="仿宋_GB2312"/>
          <w:b w:val="0"/>
          <w:color w:val="auto"/>
          <w:sz w:val="32"/>
          <w:szCs w:val="32"/>
        </w:rPr>
        <w:t>范围内张贴，并留存影像资料，预公告时间不少于10个工作日。预公告内容包括拟征收土地的用途、位置、范围、开展土地现状调查安排等。自预征地公告公布之日起，被征收土地所有权人、使用权人在征地拆迁范围内抢种、抢栽、抢建等改变土地现状的，征地时一律不予补偿。</w:t>
      </w:r>
    </w:p>
    <w:p w14:paraId="1545D09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第十三条</w:t>
      </w:r>
      <w:r>
        <w:rPr>
          <w:rStyle w:val="11"/>
          <w:rFonts w:hint="eastAsia" w:ascii="仿宋_GB2312" w:hAnsi="仿宋_GB2312" w:eastAsia="仿宋_GB2312" w:cs="仿宋_GB2312"/>
          <w:b w:val="0"/>
          <w:color w:val="auto"/>
          <w:sz w:val="32"/>
          <w:szCs w:val="32"/>
        </w:rPr>
        <w:t xml:space="preserve"> </w:t>
      </w:r>
      <w:bookmarkStart w:id="2" w:name="OLE_LINK3"/>
      <w:r>
        <w:rPr>
          <w:rStyle w:val="11"/>
          <w:rFonts w:hint="eastAsia" w:ascii="仿宋_GB2312" w:hAnsi="仿宋_GB2312" w:eastAsia="仿宋_GB2312" w:cs="仿宋_GB2312"/>
          <w:b w:val="0"/>
          <w:color w:val="auto"/>
          <w:sz w:val="32"/>
          <w:szCs w:val="32"/>
        </w:rPr>
        <w:t>土地现状调查</w:t>
      </w:r>
      <w:bookmarkEnd w:id="2"/>
      <w:r>
        <w:rPr>
          <w:rStyle w:val="11"/>
          <w:rFonts w:hint="eastAsia" w:ascii="仿宋_GB2312" w:hAnsi="仿宋_GB2312" w:eastAsia="仿宋_GB2312" w:cs="仿宋_GB2312"/>
          <w:b w:val="0"/>
          <w:color w:val="auto"/>
          <w:sz w:val="32"/>
          <w:szCs w:val="32"/>
        </w:rPr>
        <w:t>。征地工作组应当对拟征收范围内的土地权属、地类、面积以及村民住宅（含权属、面积等）、其他地上附着物权属、种类、数量等现状进行调查，并</w:t>
      </w:r>
      <w:r>
        <w:rPr>
          <w:rFonts w:hint="eastAsia" w:ascii="仿宋_GB2312" w:hAnsi="仿宋_GB2312" w:eastAsia="仿宋_GB2312" w:cs="仿宋_GB2312"/>
          <w:color w:val="auto"/>
          <w:sz w:val="32"/>
          <w:szCs w:val="32"/>
        </w:rPr>
        <w:t>填写土地（附着物）现状调查登记表，由征地工作组组长、</w:t>
      </w:r>
      <w:r>
        <w:rPr>
          <w:rStyle w:val="11"/>
          <w:rFonts w:hint="eastAsia" w:ascii="仿宋_GB2312" w:hAnsi="仿宋_GB2312" w:eastAsia="仿宋_GB2312" w:cs="仿宋_GB2312"/>
          <w:b w:val="0"/>
          <w:color w:val="auto"/>
          <w:sz w:val="32"/>
          <w:szCs w:val="32"/>
        </w:rPr>
        <w:t>被征地农村集体经济组织或村民委员会负责人</w:t>
      </w:r>
      <w:r>
        <w:rPr>
          <w:rFonts w:hint="eastAsia" w:ascii="仿宋_GB2312" w:hAnsi="仿宋_GB2312" w:eastAsia="仿宋_GB2312" w:cs="仿宋_GB2312"/>
          <w:color w:val="auto"/>
          <w:sz w:val="32"/>
          <w:szCs w:val="32"/>
        </w:rPr>
        <w:t>共同签字确认，同时加盖苏木镇公章及骑缝章。</w:t>
      </w:r>
    </w:p>
    <w:p w14:paraId="620F21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第十四条</w:t>
      </w:r>
      <w:r>
        <w:rPr>
          <w:rStyle w:val="11"/>
          <w:rFonts w:hint="eastAsia" w:ascii="仿宋_GB2312" w:hAnsi="仿宋_GB2312" w:eastAsia="仿宋_GB2312" w:cs="仿宋_GB2312"/>
          <w:b w:val="0"/>
          <w:color w:val="auto"/>
          <w:sz w:val="32"/>
          <w:szCs w:val="32"/>
        </w:rPr>
        <w:t xml:space="preserve"> 开展社会稳定风险评估。旗人民政府组织开展社会稳定风险评估，落实风险防范措施，制定处置预案。</w:t>
      </w:r>
    </w:p>
    <w:p w14:paraId="4F04F73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第十五条</w:t>
      </w:r>
      <w:r>
        <w:rPr>
          <w:rStyle w:val="11"/>
          <w:rFonts w:hint="eastAsia" w:ascii="仿宋_GB2312" w:hAnsi="仿宋_GB2312" w:eastAsia="仿宋_GB2312" w:cs="仿宋_GB2312"/>
          <w:b w:val="0"/>
          <w:color w:val="auto"/>
          <w:sz w:val="32"/>
          <w:szCs w:val="32"/>
        </w:rPr>
        <w:t xml:space="preserve"> 拟定征地补偿安置方案。自然资源局根据社会稳定风险评估结果，结合土地现状调查情况，会同有关部门拟定征地补偿安置方案。征地补偿安置方案包括：土地征收范围、土地现状、征收土地目的、补偿标准、安置方式和社会保障等内容。</w:t>
      </w:r>
    </w:p>
    <w:p w14:paraId="0AB2B65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第十六条</w:t>
      </w:r>
      <w:r>
        <w:rPr>
          <w:rStyle w:val="11"/>
          <w:rFonts w:hint="eastAsia" w:ascii="仿宋_GB2312" w:hAnsi="仿宋_GB2312" w:eastAsia="仿宋_GB2312" w:cs="仿宋_GB2312"/>
          <w:b w:val="0"/>
          <w:color w:val="auto"/>
          <w:sz w:val="32"/>
          <w:szCs w:val="32"/>
        </w:rPr>
        <w:t xml:space="preserve"> 征地补偿安置公告。征地补偿安置方案拟定后，报旗人民政府发布征收土地补偿安置公告。征收土地补偿安置公告内容应包括拟征收范围、土地现状、征收目的、补偿标准、安置方式和社会保障等；征收土地补偿安置公告应当同时载明办理补偿登记的方式和期限、异议反馈渠道等内容。将征收土地补偿安置公告在被征收土地涉及的村、</w:t>
      </w:r>
      <w:r>
        <w:rPr>
          <w:rStyle w:val="11"/>
          <w:rFonts w:hint="eastAsia" w:ascii="仿宋_GB2312" w:hAnsi="仿宋_GB2312" w:eastAsia="仿宋_GB2312" w:cs="仿宋_GB2312"/>
          <w:b w:val="0"/>
          <w:color w:val="auto"/>
          <w:sz w:val="32"/>
          <w:szCs w:val="32"/>
          <w:lang w:eastAsia="zh-CN"/>
        </w:rPr>
        <w:t>社</w:t>
      </w:r>
      <w:r>
        <w:rPr>
          <w:rStyle w:val="11"/>
          <w:rFonts w:hint="eastAsia" w:ascii="仿宋_GB2312" w:hAnsi="仿宋_GB2312" w:eastAsia="仿宋_GB2312" w:cs="仿宋_GB2312"/>
          <w:b w:val="0"/>
          <w:color w:val="auto"/>
          <w:sz w:val="32"/>
          <w:szCs w:val="32"/>
        </w:rPr>
        <w:t>范围内张贴，同时也可在旗人民政府门户网站发布，公告时间不少于30日。</w:t>
      </w:r>
    </w:p>
    <w:p w14:paraId="3979A2C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第十七条</w:t>
      </w:r>
      <w:r>
        <w:rPr>
          <w:rStyle w:val="11"/>
          <w:rFonts w:hint="eastAsia" w:ascii="仿宋_GB2312" w:hAnsi="仿宋_GB2312" w:eastAsia="仿宋_GB2312" w:cs="仿宋_GB2312"/>
          <w:b w:val="0"/>
          <w:color w:val="auto"/>
          <w:sz w:val="32"/>
          <w:szCs w:val="32"/>
        </w:rPr>
        <w:t xml:space="preserve"> 征地听证。由旗自然资源局拟定并送达《听证告知书》，听证告知可与补偿安置方案公告同时发布，当事人应当在公告期满后7个工作日内提出听证申请，在申请期限内未申请或未参加听证会的，视为放弃听证。被征地的农村集体经济组织多数人认为征地补偿安置方案不符合法律法规规定的，旗人民政府应当组织召开听证会。</w:t>
      </w:r>
    </w:p>
    <w:p w14:paraId="0B4403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旗人民政府根据法律法规的规定和听证会情况，修改完善征地补偿安置方案,并予以发布。</w:t>
      </w:r>
    </w:p>
    <w:p w14:paraId="1991A2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第十八条</w:t>
      </w:r>
      <w:r>
        <w:rPr>
          <w:rStyle w:val="11"/>
          <w:rFonts w:hint="eastAsia" w:ascii="仿宋_GB2312" w:hAnsi="仿宋_GB2312" w:eastAsia="仿宋_GB2312" w:cs="仿宋_GB2312"/>
          <w:b w:val="0"/>
          <w:color w:val="auto"/>
          <w:sz w:val="32"/>
          <w:szCs w:val="32"/>
        </w:rPr>
        <w:t xml:space="preserve"> </w:t>
      </w:r>
      <w:bookmarkStart w:id="3" w:name="OLE_LINK6"/>
      <w:r>
        <w:rPr>
          <w:rStyle w:val="11"/>
          <w:rFonts w:hint="eastAsia" w:ascii="仿宋_GB2312" w:hAnsi="仿宋_GB2312" w:eastAsia="仿宋_GB2312" w:cs="仿宋_GB2312"/>
          <w:b w:val="0"/>
          <w:color w:val="auto"/>
          <w:sz w:val="32"/>
          <w:szCs w:val="32"/>
        </w:rPr>
        <w:t>补偿登记</w:t>
      </w:r>
      <w:bookmarkEnd w:id="3"/>
      <w:r>
        <w:rPr>
          <w:rStyle w:val="11"/>
          <w:rFonts w:hint="eastAsia" w:ascii="仿宋_GB2312" w:hAnsi="仿宋_GB2312" w:eastAsia="仿宋_GB2312" w:cs="仿宋_GB2312"/>
          <w:b w:val="0"/>
          <w:color w:val="auto"/>
          <w:sz w:val="32"/>
          <w:szCs w:val="32"/>
        </w:rPr>
        <w:t>。被征地农村集体经济组织、村民或者其他权利人应当在土地征收补偿安置方案公告规定的签约期限内，持土地权属证书或其他有效证件到指定的地点办理征地补偿登记手续。</w:t>
      </w:r>
    </w:p>
    <w:p w14:paraId="478DEC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被征地农村集体经济组织、村民或者其他权利人未如期办理补偿登记手续的，其补偿内容以征地工作组的调查结果为准。</w:t>
      </w:r>
    </w:p>
    <w:p w14:paraId="10FD2DF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第十九条</w:t>
      </w:r>
      <w:r>
        <w:rPr>
          <w:rStyle w:val="11"/>
          <w:rFonts w:hint="eastAsia" w:ascii="仿宋_GB2312" w:hAnsi="仿宋_GB2312" w:eastAsia="仿宋_GB2312" w:cs="仿宋_GB2312"/>
          <w:b w:val="0"/>
          <w:color w:val="auto"/>
          <w:sz w:val="32"/>
          <w:szCs w:val="32"/>
        </w:rPr>
        <w:t xml:space="preserve"> </w:t>
      </w:r>
      <w:bookmarkStart w:id="4" w:name="OLE_LINK14"/>
      <w:r>
        <w:rPr>
          <w:rStyle w:val="11"/>
          <w:rFonts w:hint="eastAsia" w:ascii="仿宋_GB2312" w:hAnsi="仿宋_GB2312" w:eastAsia="仿宋_GB2312" w:cs="仿宋_GB2312"/>
          <w:b w:val="0"/>
          <w:color w:val="auto"/>
          <w:sz w:val="32"/>
          <w:szCs w:val="32"/>
        </w:rPr>
        <w:t>签订协议</w:t>
      </w:r>
      <w:bookmarkEnd w:id="4"/>
      <w:r>
        <w:rPr>
          <w:rStyle w:val="11"/>
          <w:rFonts w:hint="eastAsia" w:ascii="仿宋_GB2312" w:hAnsi="仿宋_GB2312" w:eastAsia="仿宋_GB2312" w:cs="仿宋_GB2312"/>
          <w:b w:val="0"/>
          <w:color w:val="auto"/>
          <w:sz w:val="32"/>
          <w:szCs w:val="32"/>
        </w:rPr>
        <w:t>。征收土地补偿安置方案公告无异议或旗人民政府根据法律、法规规定和听证的情况确定补偿安置方案后，自然资源局根据苏木镇提供的现状（外业）调查结果核算补偿金额，与被征收土地所属的苏木镇、村民委员会或农村集体经济组织（土地所有权单位）三方共同签订预征地补偿协议。与青苗、房屋等地上附着物所有者签订补偿协议。</w:t>
      </w:r>
    </w:p>
    <w:p w14:paraId="0C99D35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bCs/>
          <w:color w:val="auto"/>
          <w:sz w:val="32"/>
          <w:szCs w:val="32"/>
        </w:rPr>
      </w:pPr>
      <w:r>
        <w:rPr>
          <w:rStyle w:val="11"/>
          <w:rFonts w:hint="eastAsia" w:ascii="仿宋_GB2312" w:hAnsi="仿宋_GB2312" w:eastAsia="仿宋_GB2312" w:cs="仿宋_GB2312"/>
          <w:color w:val="auto"/>
          <w:sz w:val="32"/>
          <w:szCs w:val="32"/>
        </w:rPr>
        <w:t>第二十条</w:t>
      </w:r>
      <w:r>
        <w:rPr>
          <w:rStyle w:val="11"/>
          <w:rFonts w:hint="eastAsia" w:ascii="仿宋_GB2312" w:hAnsi="仿宋_GB2312" w:eastAsia="仿宋_GB2312" w:cs="仿宋_GB2312"/>
          <w:b w:val="0"/>
          <w:color w:val="auto"/>
          <w:sz w:val="32"/>
          <w:szCs w:val="32"/>
        </w:rPr>
        <w:t xml:space="preserve"> </w:t>
      </w:r>
      <w:r>
        <w:rPr>
          <w:rStyle w:val="11"/>
          <w:rFonts w:hint="eastAsia" w:ascii="仿宋_GB2312" w:hAnsi="仿宋_GB2312" w:eastAsia="仿宋_GB2312" w:cs="仿宋_GB2312"/>
          <w:b w:val="0"/>
          <w:bCs/>
          <w:color w:val="auto"/>
          <w:sz w:val="32"/>
          <w:szCs w:val="32"/>
        </w:rPr>
        <w:t>落实有关费用。根据所签订的征地补偿协议，自然资源局将征地补偿款存入苏木镇与被征地村民委员会或农村集体经济组织设立的土地补偿费共管账户内。</w:t>
      </w:r>
    </w:p>
    <w:p w14:paraId="69A3106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bCs/>
          <w:color w:val="auto"/>
          <w:sz w:val="32"/>
          <w:szCs w:val="32"/>
        </w:rPr>
      </w:pPr>
      <w:r>
        <w:rPr>
          <w:rStyle w:val="11"/>
          <w:rFonts w:hint="eastAsia" w:ascii="仿宋_GB2312" w:hAnsi="仿宋_GB2312" w:eastAsia="仿宋_GB2312" w:cs="仿宋_GB2312"/>
          <w:b/>
          <w:bCs w:val="0"/>
          <w:color w:val="auto"/>
          <w:sz w:val="32"/>
          <w:szCs w:val="32"/>
        </w:rPr>
        <w:t>第二十一条</w:t>
      </w:r>
      <w:r>
        <w:rPr>
          <w:rStyle w:val="11"/>
          <w:rFonts w:hint="eastAsia" w:ascii="仿宋_GB2312" w:hAnsi="仿宋_GB2312" w:eastAsia="仿宋_GB2312" w:cs="仿宋_GB2312"/>
          <w:b w:val="0"/>
          <w:bCs/>
          <w:color w:val="auto"/>
          <w:sz w:val="32"/>
          <w:szCs w:val="32"/>
        </w:rPr>
        <w:t xml:space="preserve"> 村民委员会收到征地补偿款后出具补偿到位证明等组卷相关文书。旗林草局、自然资源局立即启动办理林草地和土地报批手续。</w:t>
      </w:r>
    </w:p>
    <w:p w14:paraId="344E113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bCs/>
          <w:color w:val="auto"/>
          <w:sz w:val="32"/>
          <w:szCs w:val="32"/>
        </w:rPr>
      </w:pPr>
      <w:r>
        <w:rPr>
          <w:rStyle w:val="11"/>
          <w:rFonts w:hint="eastAsia" w:ascii="仿宋_GB2312" w:hAnsi="仿宋_GB2312" w:eastAsia="仿宋_GB2312" w:cs="仿宋_GB2312"/>
          <w:b/>
          <w:bCs w:val="0"/>
          <w:color w:val="auto"/>
          <w:sz w:val="32"/>
          <w:szCs w:val="32"/>
        </w:rPr>
        <w:t xml:space="preserve">第二十二条 </w:t>
      </w:r>
      <w:r>
        <w:rPr>
          <w:rStyle w:val="11"/>
          <w:rFonts w:hint="eastAsia" w:ascii="仿宋_GB2312" w:hAnsi="仿宋_GB2312" w:eastAsia="仿宋_GB2312" w:cs="仿宋_GB2312"/>
          <w:b w:val="0"/>
          <w:bCs/>
          <w:color w:val="auto"/>
          <w:sz w:val="32"/>
          <w:szCs w:val="32"/>
        </w:rPr>
        <w:t>实施土地征收。在收到土地征收批准文件之日起15个工作日内进行征收土地公告。自然资源局、苏木镇、村民委员会或农村集体经济组织，根据生效的征地补偿费分配方案与土地使用权人（承包人）签订土地补偿安置费分配协议、养老保障补贴协议，并在征收土地公告之日起45日内，按要求足额支付相关补偿费用。</w:t>
      </w:r>
    </w:p>
    <w:p w14:paraId="40FC07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bCs/>
          <w:color w:val="auto"/>
          <w:sz w:val="32"/>
          <w:szCs w:val="32"/>
        </w:rPr>
      </w:pPr>
      <w:r>
        <w:rPr>
          <w:rStyle w:val="11"/>
          <w:rFonts w:hint="eastAsia" w:ascii="仿宋_GB2312" w:hAnsi="仿宋_GB2312" w:eastAsia="仿宋_GB2312" w:cs="仿宋_GB2312"/>
          <w:b w:val="0"/>
          <w:bCs/>
          <w:color w:val="auto"/>
          <w:sz w:val="32"/>
          <w:szCs w:val="32"/>
        </w:rPr>
        <w:t>权属有争议的，经争议双方同意，将征地补偿费用提存到村集体账户或达拉特旗公证处；对补偿标准有争议达不成协议的，旗人民政府下达补偿决定，将征地补偿费用提存到村集体账户或达拉特旗公证处。</w:t>
      </w:r>
    </w:p>
    <w:p w14:paraId="5BC0E2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bookmarkStart w:id="5" w:name="OLE_LINK1"/>
      <w:r>
        <w:rPr>
          <w:rStyle w:val="11"/>
          <w:rFonts w:hint="eastAsia" w:ascii="仿宋_GB2312" w:hAnsi="仿宋_GB2312" w:eastAsia="仿宋_GB2312" w:cs="仿宋_GB2312"/>
          <w:color w:val="auto"/>
          <w:sz w:val="32"/>
          <w:szCs w:val="32"/>
        </w:rPr>
        <w:t>第二十三条</w:t>
      </w:r>
      <w:r>
        <w:rPr>
          <w:rStyle w:val="11"/>
          <w:rFonts w:hint="eastAsia" w:ascii="仿宋_GB2312" w:hAnsi="仿宋_GB2312" w:eastAsia="仿宋_GB2312" w:cs="仿宋_GB2312"/>
          <w:b w:val="0"/>
          <w:color w:val="auto"/>
          <w:sz w:val="32"/>
          <w:szCs w:val="32"/>
        </w:rPr>
        <w:t xml:space="preserve"> </w:t>
      </w:r>
      <w:bookmarkEnd w:id="5"/>
      <w:r>
        <w:rPr>
          <w:rStyle w:val="11"/>
          <w:rFonts w:hint="eastAsia" w:ascii="仿宋_GB2312" w:hAnsi="仿宋_GB2312" w:eastAsia="仿宋_GB2312" w:cs="仿宋_GB2312"/>
          <w:b w:val="0"/>
          <w:color w:val="auto"/>
          <w:sz w:val="32"/>
          <w:szCs w:val="32"/>
        </w:rPr>
        <w:t>征地牵头单位及时组织被征收集体经济组织、单位或个人配合旗自然资源局办理土地所有权证的变更或注销登记等手续。</w:t>
      </w:r>
    </w:p>
    <w:p w14:paraId="2E56777C">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3" w:firstLineChars="200"/>
        <w:textAlignment w:val="auto"/>
        <w:rPr>
          <w:rFonts w:hint="default" w:eastAsia="仿宋_GB2312"/>
          <w:color w:val="auto"/>
          <w:lang w:val="en-US" w:eastAsia="zh-CN"/>
        </w:rPr>
      </w:pPr>
      <w:r>
        <w:rPr>
          <w:rStyle w:val="11"/>
          <w:rFonts w:hint="eastAsia" w:ascii="仿宋_GB2312" w:hAnsi="仿宋_GB2312" w:eastAsia="仿宋_GB2312" w:cs="仿宋_GB2312"/>
          <w:color w:val="auto"/>
          <w:sz w:val="32"/>
          <w:szCs w:val="32"/>
        </w:rPr>
        <w:t>第二十</w:t>
      </w:r>
      <w:r>
        <w:rPr>
          <w:rStyle w:val="11"/>
          <w:rFonts w:hint="eastAsia" w:ascii="仿宋_GB2312" w:hAnsi="仿宋_GB2312" w:eastAsia="仿宋_GB2312" w:cs="仿宋_GB2312"/>
          <w:color w:val="auto"/>
          <w:sz w:val="32"/>
          <w:szCs w:val="32"/>
          <w:lang w:val="en-US" w:eastAsia="zh-CN"/>
        </w:rPr>
        <w:t>四</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建设</w:t>
      </w:r>
      <w:r>
        <w:rPr>
          <w:rStyle w:val="11"/>
          <w:rFonts w:hint="eastAsia" w:ascii="仿宋_GB2312" w:hAnsi="仿宋_GB2312" w:eastAsia="仿宋_GB2312" w:cs="仿宋_GB2312"/>
          <w:b w:val="0"/>
          <w:color w:val="auto"/>
          <w:sz w:val="32"/>
          <w:szCs w:val="32"/>
          <w:lang w:val="en-US" w:eastAsia="zh-CN"/>
        </w:rPr>
        <w:t>项目</w:t>
      </w:r>
      <w:r>
        <w:rPr>
          <w:rStyle w:val="11"/>
          <w:rFonts w:hint="eastAsia" w:ascii="仿宋_GB2312" w:hAnsi="仿宋_GB2312" w:eastAsia="仿宋_GB2312" w:cs="仿宋_GB2312"/>
          <w:b w:val="0"/>
          <w:color w:val="auto"/>
          <w:sz w:val="32"/>
          <w:szCs w:val="32"/>
        </w:rPr>
        <w:t>施工、地质勘察、抢险救灾（包括井工矿塌陷区保护）</w:t>
      </w:r>
      <w:r>
        <w:rPr>
          <w:rStyle w:val="11"/>
          <w:rFonts w:hint="eastAsia" w:ascii="仿宋_GB2312" w:hAnsi="仿宋_GB2312" w:eastAsia="仿宋_GB2312" w:cs="仿宋_GB2312"/>
          <w:b w:val="0"/>
          <w:color w:val="auto"/>
          <w:sz w:val="32"/>
          <w:szCs w:val="32"/>
          <w:lang w:val="en-US" w:eastAsia="zh-CN"/>
        </w:rPr>
        <w:t>需要征用农民集体所有的土地的，参照征收土地的</w:t>
      </w:r>
      <w:r>
        <w:rPr>
          <w:rStyle w:val="11"/>
          <w:rFonts w:hint="eastAsia" w:ascii="仿宋_GB2312" w:hAnsi="仿宋_GB2312" w:eastAsia="仿宋_GB2312" w:cs="仿宋_GB2312"/>
          <w:b w:val="0"/>
          <w:color w:val="auto"/>
          <w:sz w:val="32"/>
          <w:szCs w:val="32"/>
        </w:rPr>
        <w:t>土地现状调查</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rPr>
        <w:t>补偿登记</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rPr>
        <w:t>签订协议</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土地使用者应当根据土地权属，与有关土地行政主管部门、农村集体经济组织、村民委员会或者土地使用权人签订征用土地补偿协议）等程序开展工作，并按照有关规定完成土地审批相关手续。</w:t>
      </w:r>
    </w:p>
    <w:p w14:paraId="05760E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黑体" w:hAnsi="黑体" w:eastAsia="黑体"/>
          <w:b w:val="0"/>
          <w:bCs w:val="0"/>
          <w:color w:val="auto"/>
          <w:sz w:val="32"/>
          <w:szCs w:val="32"/>
        </w:rPr>
      </w:pPr>
    </w:p>
    <w:p w14:paraId="779A96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r>
        <w:rPr>
          <w:rStyle w:val="11"/>
          <w:rFonts w:hint="eastAsia" w:ascii="黑体" w:hAnsi="黑体" w:eastAsia="黑体"/>
          <w:b w:val="0"/>
          <w:bCs w:val="0"/>
          <w:color w:val="auto"/>
          <w:sz w:val="32"/>
          <w:szCs w:val="32"/>
        </w:rPr>
        <w:t>第四章 征收补偿安置</w:t>
      </w:r>
    </w:p>
    <w:p w14:paraId="3D577B11">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color w:val="auto"/>
        </w:rPr>
      </w:pPr>
    </w:p>
    <w:p w14:paraId="644E79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第一节 土地征收及地上附着物补偿</w:t>
      </w:r>
    </w:p>
    <w:p w14:paraId="2C69339F">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color w:val="auto"/>
        </w:rPr>
      </w:pPr>
    </w:p>
    <w:p w14:paraId="2EB1729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第二十</w:t>
      </w:r>
      <w:r>
        <w:rPr>
          <w:rStyle w:val="11"/>
          <w:rFonts w:hint="eastAsia" w:ascii="仿宋_GB2312" w:hAnsi="仿宋_GB2312" w:eastAsia="仿宋_GB2312" w:cs="仿宋_GB2312"/>
          <w:color w:val="auto"/>
          <w:sz w:val="32"/>
          <w:szCs w:val="32"/>
          <w:lang w:val="en-US" w:eastAsia="zh-CN"/>
        </w:rPr>
        <w:t>五</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征收集体土地</w:t>
      </w:r>
      <w:r>
        <w:rPr>
          <w:rStyle w:val="11"/>
          <w:rFonts w:hint="eastAsia" w:ascii="仿宋_GB2312" w:hAnsi="仿宋_GB2312" w:eastAsia="仿宋_GB2312" w:cs="仿宋_GB2312"/>
          <w:b w:val="0"/>
          <w:color w:val="auto"/>
          <w:sz w:val="32"/>
          <w:szCs w:val="32"/>
          <w:lang w:eastAsia="zh-CN"/>
        </w:rPr>
        <w:t>Ⅰ、Ⅱ、Ⅲ</w:t>
      </w:r>
      <w:r>
        <w:rPr>
          <w:rStyle w:val="11"/>
          <w:rFonts w:hint="eastAsia" w:ascii="仿宋_GB2312" w:hAnsi="仿宋_GB2312" w:eastAsia="仿宋_GB2312" w:cs="仿宋_GB2312"/>
          <w:b w:val="0"/>
          <w:color w:val="auto"/>
          <w:sz w:val="32"/>
          <w:szCs w:val="32"/>
          <w:lang w:val="en-US" w:eastAsia="zh-CN"/>
        </w:rPr>
        <w:t>类区片综合区片地价</w:t>
      </w:r>
      <w:r>
        <w:rPr>
          <w:rStyle w:val="11"/>
          <w:rFonts w:hint="eastAsia" w:ascii="仿宋_GB2312" w:hAnsi="仿宋_GB2312" w:eastAsia="仿宋_GB2312" w:cs="仿宋_GB2312"/>
          <w:b w:val="0"/>
          <w:color w:val="auto"/>
          <w:sz w:val="32"/>
          <w:szCs w:val="32"/>
        </w:rPr>
        <w:t>标准，</w:t>
      </w:r>
      <w:r>
        <w:rPr>
          <w:rStyle w:val="11"/>
          <w:rFonts w:hint="eastAsia" w:ascii="仿宋_GB2312" w:hAnsi="仿宋_GB2312" w:eastAsia="仿宋_GB2312" w:cs="仿宋_GB2312"/>
          <w:b w:val="0"/>
          <w:color w:val="auto"/>
          <w:sz w:val="32"/>
          <w:szCs w:val="32"/>
          <w:lang w:val="en-US" w:eastAsia="zh-CN"/>
        </w:rPr>
        <w:t>按照</w:t>
      </w:r>
      <w:r>
        <w:rPr>
          <w:rStyle w:val="11"/>
          <w:rFonts w:hint="eastAsia" w:ascii="仿宋_GB2312" w:hAnsi="仿宋_GB2312" w:eastAsia="仿宋_GB2312" w:cs="仿宋_GB2312"/>
          <w:b w:val="0"/>
          <w:color w:val="auto"/>
          <w:sz w:val="32"/>
          <w:szCs w:val="32"/>
        </w:rPr>
        <w:t>《内蒙古自治区人民政府办公厅关于公布实施自治区征地区片综合地价的通知》《鄂尔多斯市人民政府关于公布征地区片综合地价征收农用地以外的其它土地、青苗和地上附着物等补偿标准及土地补偿费和安置补助费分配比例的通知》文件</w:t>
      </w:r>
      <w:r>
        <w:rPr>
          <w:rStyle w:val="11"/>
          <w:rFonts w:hint="eastAsia" w:ascii="仿宋_GB2312" w:hAnsi="仿宋_GB2312" w:eastAsia="仿宋_GB2312" w:cs="仿宋_GB2312"/>
          <w:b w:val="0"/>
          <w:color w:val="auto"/>
          <w:sz w:val="32"/>
          <w:szCs w:val="32"/>
          <w:lang w:val="en-US" w:eastAsia="zh-CN"/>
        </w:rPr>
        <w:t>标准执行</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将</w:t>
      </w:r>
      <w:r>
        <w:rPr>
          <w:rStyle w:val="11"/>
          <w:rFonts w:hint="eastAsia" w:ascii="仿宋_GB2312" w:hAnsi="仿宋_GB2312" w:eastAsia="仿宋_GB2312" w:cs="仿宋_GB2312"/>
          <w:b w:val="0"/>
          <w:color w:val="auto"/>
          <w:sz w:val="32"/>
          <w:szCs w:val="32"/>
        </w:rPr>
        <w:t>征收集体土地</w:t>
      </w:r>
      <w:r>
        <w:rPr>
          <w:rStyle w:val="11"/>
          <w:rFonts w:hint="eastAsia" w:ascii="仿宋_GB2312" w:hAnsi="仿宋_GB2312" w:eastAsia="仿宋_GB2312" w:cs="仿宋_GB2312"/>
          <w:b w:val="0"/>
          <w:color w:val="auto"/>
          <w:sz w:val="32"/>
          <w:szCs w:val="32"/>
          <w:lang w:eastAsia="zh-CN"/>
        </w:rPr>
        <w:t>Ⅳ</w:t>
      </w:r>
      <w:r>
        <w:rPr>
          <w:rStyle w:val="11"/>
          <w:rFonts w:hint="eastAsia" w:ascii="仿宋_GB2312" w:hAnsi="仿宋_GB2312" w:eastAsia="仿宋_GB2312" w:cs="仿宋_GB2312"/>
          <w:b w:val="0"/>
          <w:color w:val="auto"/>
          <w:sz w:val="32"/>
          <w:szCs w:val="32"/>
          <w:lang w:val="en-US" w:eastAsia="zh-CN"/>
        </w:rPr>
        <w:t>四类区片综合地价</w:t>
      </w:r>
      <w:r>
        <w:rPr>
          <w:rStyle w:val="11"/>
          <w:rFonts w:hint="eastAsia" w:ascii="仿宋_GB2312" w:hAnsi="仿宋_GB2312" w:eastAsia="仿宋_GB2312" w:cs="仿宋_GB2312"/>
          <w:b w:val="0"/>
          <w:color w:val="auto"/>
          <w:sz w:val="32"/>
          <w:szCs w:val="32"/>
        </w:rPr>
        <w:t>标准</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统一调整为上述</w:t>
      </w:r>
      <w:r>
        <w:rPr>
          <w:rStyle w:val="11"/>
          <w:rFonts w:hint="eastAsia" w:ascii="仿宋_GB2312" w:hAnsi="仿宋_GB2312" w:eastAsia="仿宋_GB2312" w:cs="仿宋_GB2312"/>
          <w:b w:val="0"/>
          <w:color w:val="auto"/>
          <w:sz w:val="32"/>
          <w:szCs w:val="32"/>
          <w:lang w:eastAsia="zh-CN"/>
        </w:rPr>
        <w:t>Ⅲ</w:t>
      </w:r>
      <w:r>
        <w:rPr>
          <w:rStyle w:val="11"/>
          <w:rFonts w:hint="eastAsia" w:ascii="仿宋_GB2312" w:hAnsi="仿宋_GB2312" w:eastAsia="仿宋_GB2312" w:cs="仿宋_GB2312"/>
          <w:b w:val="0"/>
          <w:color w:val="auto"/>
          <w:sz w:val="32"/>
          <w:szCs w:val="32"/>
          <w:lang w:val="en-US" w:eastAsia="zh-CN"/>
        </w:rPr>
        <w:t>类区片综合地价标准</w:t>
      </w:r>
      <w:r>
        <w:rPr>
          <w:rStyle w:val="11"/>
          <w:rFonts w:hint="eastAsia" w:ascii="仿宋_GB2312" w:hAnsi="仿宋_GB2312" w:eastAsia="仿宋_GB2312" w:cs="仿宋_GB2312"/>
          <w:b w:val="0"/>
          <w:color w:val="auto"/>
          <w:sz w:val="32"/>
          <w:szCs w:val="32"/>
        </w:rPr>
        <w:t>。</w:t>
      </w:r>
    </w:p>
    <w:p w14:paraId="75A3C9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农用地征地综合区片地价由土地补偿费和安置补助费组成，不含青苗补偿费、地上附着物补偿费、社会保障费用。</w:t>
      </w:r>
    </w:p>
    <w:p w14:paraId="46717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征收水浇地、旱地、林地（包括退耕还林地）、人工草地、天然草地、其他农用地的，具体标准见附件1。</w:t>
      </w:r>
    </w:p>
    <w:p w14:paraId="0C39EFC5">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jc w:val="both"/>
        <w:textAlignment w:val="auto"/>
        <w:rPr>
          <w:rFonts w:hint="default" w:ascii="仿宋_GB2312" w:hAnsi="仿宋_GB2312" w:eastAsia="仿宋_GB2312" w:cs="仿宋_GB2312"/>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 xml:space="preserve"> 奖励目的及原则：为了有效遏制</w:t>
      </w:r>
      <w:r>
        <w:rPr>
          <w:rStyle w:val="11"/>
          <w:rFonts w:hint="eastAsia" w:ascii="仿宋_GB2312" w:hAnsi="仿宋_GB2312" w:eastAsia="仿宋_GB2312" w:cs="仿宋_GB2312"/>
          <w:b w:val="0"/>
          <w:color w:val="auto"/>
          <w:sz w:val="32"/>
          <w:szCs w:val="32"/>
        </w:rPr>
        <w:t>抢栽、抢种、抢建</w:t>
      </w:r>
      <w:r>
        <w:rPr>
          <w:rStyle w:val="11"/>
          <w:rFonts w:hint="eastAsia" w:ascii="仿宋_GB2312" w:hAnsi="仿宋_GB2312" w:eastAsia="仿宋_GB2312" w:cs="仿宋_GB2312"/>
          <w:b w:val="0"/>
          <w:color w:val="auto"/>
          <w:sz w:val="32"/>
          <w:szCs w:val="32"/>
          <w:lang w:val="en-US" w:eastAsia="zh-CN"/>
        </w:rPr>
        <w:t>等违法违规行为</w:t>
      </w:r>
      <w:r>
        <w:rPr>
          <w:rStyle w:val="11"/>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lang w:val="en-US" w:eastAsia="zh-CN"/>
        </w:rPr>
        <w:t>对按期完成土地征收协议签订且承包土地范围内无违法用地的集体经济组织或承包人，不分地类给予15000元/亩的奖励。</w:t>
      </w:r>
    </w:p>
    <w:p w14:paraId="33610C3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第二十</w:t>
      </w:r>
      <w:r>
        <w:rPr>
          <w:rStyle w:val="11"/>
          <w:rFonts w:hint="eastAsia" w:ascii="仿宋_GB2312" w:hAnsi="仿宋_GB2312" w:eastAsia="仿宋_GB2312" w:cs="仿宋_GB2312"/>
          <w:color w:val="auto"/>
          <w:sz w:val="32"/>
          <w:szCs w:val="32"/>
          <w:lang w:val="en-US" w:eastAsia="zh-CN"/>
        </w:rPr>
        <w:t>六</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整块耕地（以家庭为单位）征收后剩余不足0.5亩的，连同剩余部分全部征收。</w:t>
      </w:r>
    </w:p>
    <w:p w14:paraId="4F08678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第二十</w:t>
      </w:r>
      <w:r>
        <w:rPr>
          <w:rStyle w:val="11"/>
          <w:rFonts w:hint="eastAsia" w:ascii="仿宋_GB2312" w:hAnsi="仿宋_GB2312" w:eastAsia="仿宋_GB2312" w:cs="仿宋_GB2312"/>
          <w:color w:val="auto"/>
          <w:sz w:val="32"/>
          <w:szCs w:val="32"/>
          <w:lang w:val="en-US" w:eastAsia="zh-CN"/>
        </w:rPr>
        <w:t>七</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涉及煤矿办公楼、厂房、工业广场、采矿用地需征收集体土地的，按照本办法有关规定执行，法律法规另有规定的除外。</w:t>
      </w:r>
    </w:p>
    <w:p w14:paraId="363A6D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第二十</w:t>
      </w:r>
      <w:r>
        <w:rPr>
          <w:rStyle w:val="11"/>
          <w:rFonts w:hint="eastAsia" w:ascii="仿宋_GB2312" w:hAnsi="仿宋_GB2312" w:eastAsia="仿宋_GB2312" w:cs="仿宋_GB2312"/>
          <w:color w:val="auto"/>
          <w:sz w:val="32"/>
          <w:szCs w:val="32"/>
          <w:lang w:val="en-US" w:eastAsia="zh-CN"/>
        </w:rPr>
        <w:t>八</w:t>
      </w:r>
      <w:r>
        <w:rPr>
          <w:rStyle w:val="11"/>
          <w:rFonts w:hint="eastAsia" w:ascii="仿宋_GB2312" w:hAnsi="仿宋_GB2312" w:eastAsia="仿宋_GB2312" w:cs="仿宋_GB2312"/>
          <w:color w:val="auto"/>
          <w:sz w:val="32"/>
          <w:szCs w:val="32"/>
        </w:rPr>
        <w:t xml:space="preserve">条 </w:t>
      </w:r>
      <w:r>
        <w:rPr>
          <w:rStyle w:val="11"/>
          <w:rFonts w:hint="eastAsia" w:ascii="仿宋_GB2312" w:hAnsi="仿宋_GB2312" w:eastAsia="仿宋_GB2312" w:cs="仿宋_GB2312"/>
          <w:b w:val="0"/>
          <w:color w:val="auto"/>
          <w:sz w:val="32"/>
          <w:szCs w:val="32"/>
        </w:rPr>
        <w:t>建设项目收回国有农、林、牧场用地的补偿标准，根据《国土资源部办公厅</w:t>
      </w:r>
      <w:r>
        <w:rPr>
          <w:rStyle w:val="11"/>
          <w:rFonts w:hint="eastAsia" w:ascii="仿宋_GB2312" w:hAnsi="仿宋_GB2312" w:eastAsia="仿宋_GB2312" w:cs="仿宋_GB2312"/>
          <w:b w:val="0"/>
          <w:color w:val="auto"/>
          <w:sz w:val="32"/>
          <w:szCs w:val="32"/>
          <w:lang w:val="en-US" w:eastAsia="zh-CN"/>
        </w:rPr>
        <w:t xml:space="preserve"> </w:t>
      </w:r>
      <w:r>
        <w:rPr>
          <w:rStyle w:val="11"/>
          <w:rFonts w:hint="eastAsia" w:ascii="仿宋_GB2312" w:hAnsi="仿宋_GB2312" w:eastAsia="仿宋_GB2312" w:cs="仿宋_GB2312"/>
          <w:b w:val="0"/>
          <w:color w:val="auto"/>
          <w:sz w:val="32"/>
          <w:szCs w:val="32"/>
        </w:rPr>
        <w:t>农业部办公厅收回国有农场农用地有关补偿问题复函的通知》文件精神，参照征收集体农用地的补偿标准执行（具体标准按附件1对应的区片地价执行）；林木补偿费依据《内蒙古自治区人民政府办公厅关于印发建设项目使用林地补偿标准的通知》文件精神，由中介机构评估确定。</w:t>
      </w:r>
    </w:p>
    <w:p w14:paraId="175CA0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第二十</w:t>
      </w:r>
      <w:r>
        <w:rPr>
          <w:rStyle w:val="11"/>
          <w:rFonts w:hint="eastAsia" w:ascii="仿宋_GB2312" w:hAnsi="仿宋_GB2312" w:eastAsia="仿宋_GB2312" w:cs="仿宋_GB2312"/>
          <w:color w:val="auto"/>
          <w:sz w:val="32"/>
          <w:szCs w:val="32"/>
          <w:lang w:val="en-US" w:eastAsia="zh-CN"/>
        </w:rPr>
        <w:t>九</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征地范围内涉及收回国有建设用地使用权的（持国有土地使用证），按照收回国有土地使用权有关程序执行。</w:t>
      </w:r>
    </w:p>
    <w:p w14:paraId="4EB00AF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w:t>
      </w:r>
      <w:r>
        <w:rPr>
          <w:rStyle w:val="11"/>
          <w:rFonts w:hint="eastAsia" w:ascii="仿宋_GB2312" w:hAnsi="仿宋_GB2312" w:eastAsia="仿宋_GB2312" w:cs="仿宋_GB2312"/>
          <w:color w:val="auto"/>
          <w:sz w:val="32"/>
          <w:szCs w:val="32"/>
          <w:lang w:val="en-US" w:eastAsia="zh-CN"/>
        </w:rPr>
        <w:t>三</w:t>
      </w:r>
      <w:r>
        <w:rPr>
          <w:rStyle w:val="11"/>
          <w:rFonts w:hint="eastAsia" w:ascii="仿宋_GB2312" w:hAnsi="仿宋_GB2312" w:eastAsia="仿宋_GB2312" w:cs="仿宋_GB2312"/>
          <w:color w:val="auto"/>
          <w:sz w:val="32"/>
          <w:szCs w:val="32"/>
        </w:rPr>
        <w:t>十条</w:t>
      </w:r>
      <w:r>
        <w:rPr>
          <w:rStyle w:val="11"/>
          <w:rFonts w:hint="eastAsia" w:ascii="仿宋_GB2312" w:hAnsi="仿宋_GB2312" w:eastAsia="仿宋_GB2312" w:cs="仿宋_GB2312"/>
          <w:b w:val="0"/>
          <w:color w:val="auto"/>
          <w:sz w:val="32"/>
          <w:szCs w:val="32"/>
        </w:rPr>
        <w:t xml:space="preserve"> 迁坟补偿（具体见附件9）</w:t>
      </w:r>
    </w:p>
    <w:p w14:paraId="0A2F45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单人砖葬36000元／座；双人砖葬46000元／座；单人土葬31000元／座；双人土葬36000元／座；新选坟地补偿45000元／处；按期完成迁坟的给予5000元／座奖励。</w:t>
      </w:r>
    </w:p>
    <w:p w14:paraId="7BBF93E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一</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其它附着物的补偿标准</w:t>
      </w:r>
    </w:p>
    <w:p w14:paraId="447E1E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房屋补偿见附件2；附着物补偿见附件3；养殖棚圈补偿见附件4；养殖水面土方工程补偿见附件5；温室大棚补偿见附件6；零星林木、药材补偿见附件7；临时用地补偿见附件8；青苗补偿见附件10。</w:t>
      </w:r>
    </w:p>
    <w:p w14:paraId="78F29A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上述附件中未明确的构筑物、附着物补偿由第三方机构评估确定。</w:t>
      </w:r>
    </w:p>
    <w:p w14:paraId="2B95B33B">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5E048A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第二节 房屋及附属设施征收补偿</w:t>
      </w:r>
    </w:p>
    <w:p w14:paraId="07A6DAB2">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5739EA4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二</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征收城市规划区范围内集体土地上的住宅房屋</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自然资源局为实施主体）</w:t>
      </w:r>
      <w:r>
        <w:rPr>
          <w:rStyle w:val="11"/>
          <w:rFonts w:hint="eastAsia" w:ascii="仿宋_GB2312" w:hAnsi="仿宋_GB2312" w:eastAsia="仿宋_GB2312" w:cs="仿宋_GB2312"/>
          <w:b w:val="0"/>
          <w:color w:val="auto"/>
          <w:sz w:val="32"/>
          <w:szCs w:val="32"/>
        </w:rPr>
        <w:t>，被征收人可以选择货币补偿，也可以选择产权调换安置（具体方案另行规定）。</w:t>
      </w:r>
    </w:p>
    <w:p w14:paraId="64DC8C6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三</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征收城市规划区范围外集体土地上的住宅房屋，采取现金补偿安置：</w:t>
      </w:r>
    </w:p>
    <w:p w14:paraId="0E7C78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（一）宅基地土地补偿</w:t>
      </w:r>
      <w:r>
        <w:rPr>
          <w:rStyle w:val="11"/>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宅基地严格按照《达拉特旗人民政府关于印发达拉特旗农村牧区宅基地及建房管理办法（试行）的通知》文件精神，执行“一户一宅”政策，宅基地面积牧区每户不得超过500㎡、农区每户不得超过400㎡</w:t>
      </w:r>
      <w:r>
        <w:rPr>
          <w:rStyle w:val="11"/>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rPr>
        <w:t>建筑占地比例不得超过50％。宅基地土地补偿标准</w:t>
      </w:r>
      <w:r>
        <w:rPr>
          <w:rStyle w:val="11"/>
          <w:rFonts w:hint="eastAsia" w:ascii="仿宋_GB2312" w:hAnsi="仿宋_GB2312" w:eastAsia="仿宋_GB2312" w:cs="仿宋_GB2312"/>
          <w:b w:val="0"/>
          <w:color w:val="auto"/>
          <w:sz w:val="32"/>
          <w:szCs w:val="32"/>
        </w:rPr>
        <w:t>按照《鄂尔多斯市人民政府关于公布征地区片综合地价征收农用地以外的其它土地、青苗和地上附着物等补偿标准及土地补偿费和安置补助费分配比例的通知》</w:t>
      </w:r>
      <w:r>
        <w:rPr>
          <w:rFonts w:hint="eastAsia" w:ascii="仿宋_GB2312" w:hAnsi="仿宋_GB2312" w:eastAsia="仿宋_GB2312" w:cs="仿宋_GB2312"/>
          <w:color w:val="auto"/>
          <w:sz w:val="32"/>
          <w:szCs w:val="32"/>
        </w:rPr>
        <w:t>文件精神，</w:t>
      </w:r>
      <w:r>
        <w:rPr>
          <w:rStyle w:val="11"/>
          <w:rFonts w:hint="eastAsia" w:ascii="仿宋_GB2312" w:hAnsi="仿宋_GB2312" w:eastAsia="仿宋_GB2312" w:cs="仿宋_GB2312"/>
          <w:b w:val="0"/>
          <w:color w:val="auto"/>
          <w:sz w:val="32"/>
          <w:szCs w:val="32"/>
        </w:rPr>
        <w:t>一次性以现金补偿。宅基地土地补偿费用，由村集体经济组织按照被拆迁户是否放弃宅基地使用权确定分配方案。</w:t>
      </w:r>
    </w:p>
    <w:p w14:paraId="3DB11B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宅基地面积超出政策规定的部分，按实际地类给予补偿。实际面积小于政策规定的部分按实测面积给予补偿。</w:t>
      </w:r>
    </w:p>
    <w:p w14:paraId="6CC7E2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Style w:val="11"/>
          <w:rFonts w:hint="eastAsia" w:ascii="仿宋_GB2312" w:hAnsi="仿宋_GB2312" w:eastAsia="仿宋_GB2312" w:cs="仿宋_GB2312"/>
          <w:b w:val="0"/>
          <w:color w:val="auto"/>
          <w:sz w:val="32"/>
          <w:szCs w:val="32"/>
        </w:rPr>
        <w:t>（二）住宅房屋的补偿</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rPr>
        <w:t>根据中介机构的评估结果，对房屋给予一次性现金补偿。补偿后的生产设备及其他设施按照“谁补偿、谁处置”的原则由征拆方履行法定程序依法处置。</w:t>
      </w:r>
      <w:r>
        <w:rPr>
          <w:rFonts w:hint="eastAsia" w:ascii="仿宋_GB2312" w:hAnsi="仿宋_GB2312" w:eastAsia="仿宋_GB2312" w:cs="仿宋_GB2312"/>
          <w:color w:val="auto"/>
          <w:sz w:val="32"/>
          <w:szCs w:val="32"/>
        </w:rPr>
        <w:t>户籍在本集体经济组织的村民，符合“一户一宅”政策，且农区建筑面积（包括住宅主房及凉房、炭房、大门洞、车库等附房）在200㎡以内（含200㎡）的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牧区建筑面积（包括住宅主房及凉房、炭房、大门洞、车库等附房）在250㎡以内（含250㎡）的，由第三方机构依据市场价评估给予补偿；农区建筑面积超出200㎡的部分，牧区建筑面积超出250㎡的部分由第三方机构依据成本价评估给予补偿。其它附着物（包括住户的附属设施，如厕所、猪圈羊圈、水井和鸡窝狗窝等）由第三方机构依据市场价评估给予补偿。</w:t>
      </w:r>
    </w:p>
    <w:p w14:paraId="0831A5C2">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本集体经济组织户籍村民因扶贫搬迁、地质灾害防治、新农村建设、移民安置等按照政府统一规划和批准使用宅基地的，在退出原宅基地并注销登记后，建筑物（房屋）的补偿标准，参照本条执行。违法建筑一律不予补偿。</w:t>
      </w:r>
    </w:p>
    <w:p w14:paraId="771CD2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住宅房屋拆迁奖励原则：</w:t>
      </w:r>
    </w:p>
    <w:p w14:paraId="6A1AED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1.住宅补偿。被拆迁户</w:t>
      </w:r>
      <w:r>
        <w:rPr>
          <w:rStyle w:val="11"/>
          <w:rFonts w:hint="eastAsia" w:ascii="仿宋_GB2312" w:hAnsi="仿宋_GB2312" w:eastAsia="仿宋_GB2312" w:cs="仿宋_GB2312"/>
          <w:b w:val="0"/>
          <w:color w:val="auto"/>
          <w:sz w:val="32"/>
          <w:szCs w:val="32"/>
        </w:rPr>
        <w:t>在收到评估报告之日起30天内</w:t>
      </w:r>
      <w:r>
        <w:rPr>
          <w:rFonts w:hint="eastAsia" w:ascii="仿宋_GB2312" w:hAnsi="仿宋_GB2312" w:eastAsia="仿宋_GB2312" w:cs="仿宋_GB2312"/>
          <w:color w:val="auto"/>
          <w:sz w:val="32"/>
          <w:szCs w:val="32"/>
        </w:rPr>
        <w:t>签订拆迁补偿协议并完成拆除的，在房屋评估价的基础上上浮65％给予补偿。被拆迁户在收到评估报告之日起31—40天内签订协议并按协议约定期限搬迁的，在房屋评估价的基础上上浮50％给予补偿。</w:t>
      </w:r>
      <w:r>
        <w:rPr>
          <w:rStyle w:val="11"/>
          <w:rFonts w:hint="eastAsia" w:ascii="仿宋_GB2312" w:hAnsi="仿宋_GB2312" w:eastAsia="仿宋_GB2312" w:cs="仿宋_GB2312"/>
          <w:b w:val="0"/>
          <w:color w:val="auto"/>
          <w:sz w:val="32"/>
          <w:szCs w:val="32"/>
        </w:rPr>
        <w:t>被拆迁户在收到评估报告之日起超出40天签订协议的，不予奖励。</w:t>
      </w:r>
    </w:p>
    <w:p w14:paraId="508A83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2.其它附着物（包括住户的附属设施，如厕所、猪圈羊圈、水井和鸡窝狗窝等）的补偿。被拆迁户在</w:t>
      </w:r>
      <w:r>
        <w:rPr>
          <w:rStyle w:val="11"/>
          <w:rFonts w:hint="eastAsia" w:ascii="仿宋_GB2312" w:hAnsi="仿宋_GB2312" w:eastAsia="仿宋_GB2312" w:cs="仿宋_GB2312"/>
          <w:b w:val="0"/>
          <w:color w:val="auto"/>
          <w:sz w:val="32"/>
          <w:szCs w:val="32"/>
        </w:rPr>
        <w:t>收到评估报告之日起30天内签订协议并按协议约定期限搬迁的，在</w:t>
      </w:r>
      <w:r>
        <w:rPr>
          <w:rFonts w:hint="eastAsia" w:ascii="仿宋_GB2312" w:hAnsi="仿宋_GB2312" w:eastAsia="仿宋_GB2312" w:cs="仿宋_GB2312"/>
          <w:color w:val="auto"/>
          <w:sz w:val="32"/>
          <w:szCs w:val="32"/>
        </w:rPr>
        <w:t>评估价的基础上上浮50％给予补偿。</w:t>
      </w:r>
      <w:r>
        <w:rPr>
          <w:rStyle w:val="11"/>
          <w:rFonts w:hint="eastAsia" w:ascii="仿宋_GB2312" w:hAnsi="仿宋_GB2312" w:eastAsia="仿宋_GB2312" w:cs="仿宋_GB2312"/>
          <w:b w:val="0"/>
          <w:color w:val="auto"/>
          <w:sz w:val="32"/>
          <w:szCs w:val="32"/>
        </w:rPr>
        <w:t>被拆迁户在收到评估报告之日起31—40天内签订协议并按协议约定期限搬迁的，在</w:t>
      </w:r>
      <w:r>
        <w:rPr>
          <w:rFonts w:hint="eastAsia" w:ascii="仿宋_GB2312" w:hAnsi="仿宋_GB2312" w:eastAsia="仿宋_GB2312" w:cs="仿宋_GB2312"/>
          <w:color w:val="auto"/>
          <w:sz w:val="32"/>
          <w:szCs w:val="32"/>
        </w:rPr>
        <w:t>评估价的基础上上浮40％给予补偿。</w:t>
      </w:r>
      <w:r>
        <w:rPr>
          <w:rStyle w:val="11"/>
          <w:rFonts w:hint="eastAsia" w:ascii="仿宋_GB2312" w:hAnsi="仿宋_GB2312" w:eastAsia="仿宋_GB2312" w:cs="仿宋_GB2312"/>
          <w:b w:val="0"/>
          <w:color w:val="auto"/>
          <w:sz w:val="32"/>
          <w:szCs w:val="32"/>
        </w:rPr>
        <w:t>被拆迁户在收到评估报告之日起超出40天签订协议的，不予奖励。</w:t>
      </w:r>
    </w:p>
    <w:p w14:paraId="682109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3.被拆迁户按照协议约定期限完成搬迁的，奖励3万元/人。</w:t>
      </w:r>
    </w:p>
    <w:p w14:paraId="3D6D752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四</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征收经济开发区总体规划范围内集体土地上的房屋，补偿标准按照本办法第三十</w:t>
      </w:r>
      <w:r>
        <w:rPr>
          <w:rStyle w:val="11"/>
          <w:rFonts w:hint="eastAsia" w:ascii="仿宋_GB2312" w:hAnsi="仿宋_GB2312" w:eastAsia="仿宋_GB2312" w:cs="仿宋_GB2312"/>
          <w:b w:val="0"/>
          <w:color w:val="auto"/>
          <w:sz w:val="32"/>
          <w:szCs w:val="32"/>
          <w:lang w:val="en-US" w:eastAsia="zh-CN"/>
        </w:rPr>
        <w:t>三</w:t>
      </w:r>
      <w:r>
        <w:rPr>
          <w:rStyle w:val="11"/>
          <w:rFonts w:hint="eastAsia" w:ascii="仿宋_GB2312" w:hAnsi="仿宋_GB2312" w:eastAsia="仿宋_GB2312" w:cs="仿宋_GB2312"/>
          <w:b w:val="0"/>
          <w:color w:val="auto"/>
          <w:sz w:val="32"/>
          <w:szCs w:val="32"/>
        </w:rPr>
        <w:t>条执行，被拆迁户放弃宅基地使用权的，享受第三十</w:t>
      </w:r>
      <w:r>
        <w:rPr>
          <w:rStyle w:val="11"/>
          <w:rFonts w:hint="eastAsia" w:ascii="仿宋_GB2312" w:hAnsi="仿宋_GB2312" w:eastAsia="仿宋_GB2312" w:cs="仿宋_GB2312"/>
          <w:b w:val="0"/>
          <w:color w:val="auto"/>
          <w:sz w:val="32"/>
          <w:szCs w:val="32"/>
          <w:lang w:val="en-US" w:eastAsia="zh-CN"/>
        </w:rPr>
        <w:t>七</w:t>
      </w:r>
      <w:r>
        <w:rPr>
          <w:rStyle w:val="11"/>
          <w:rFonts w:hint="eastAsia" w:ascii="仿宋_GB2312" w:hAnsi="仿宋_GB2312" w:eastAsia="仿宋_GB2312" w:cs="仿宋_GB2312"/>
          <w:b w:val="0"/>
          <w:color w:val="auto"/>
          <w:sz w:val="32"/>
          <w:szCs w:val="32"/>
        </w:rPr>
        <w:t>条住房保障相关政策。</w:t>
      </w:r>
    </w:p>
    <w:p w14:paraId="26AD032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五</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凡是非住宅用途的房屋，一律按现金给予补偿。</w:t>
      </w:r>
    </w:p>
    <w:p w14:paraId="16D847A9">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1.被征收房屋为“住改商”的，被征收房屋及土地的补偿按照本办法第三十</w:t>
      </w:r>
      <w:r>
        <w:rPr>
          <w:rStyle w:val="11"/>
          <w:rFonts w:hint="eastAsia" w:ascii="仿宋_GB2312" w:hAnsi="仿宋_GB2312" w:eastAsia="仿宋_GB2312" w:cs="仿宋_GB2312"/>
          <w:b w:val="0"/>
          <w:color w:val="auto"/>
          <w:sz w:val="32"/>
          <w:szCs w:val="32"/>
          <w:lang w:val="en-US" w:eastAsia="zh-CN"/>
        </w:rPr>
        <w:t>三</w:t>
      </w:r>
      <w:r>
        <w:rPr>
          <w:rStyle w:val="11"/>
          <w:rFonts w:hint="eastAsia" w:ascii="仿宋_GB2312" w:hAnsi="仿宋_GB2312" w:eastAsia="仿宋_GB2312" w:cs="仿宋_GB2312"/>
          <w:b w:val="0"/>
          <w:color w:val="auto"/>
          <w:sz w:val="32"/>
          <w:szCs w:val="32"/>
        </w:rPr>
        <w:t>条执行</w:t>
      </w:r>
      <w:r>
        <w:rPr>
          <w:rFonts w:hint="eastAsia" w:ascii="仿宋_GB2312" w:hAnsi="仿宋_GB2312" w:eastAsia="仿宋_GB2312" w:cs="仿宋_GB2312"/>
          <w:color w:val="auto"/>
          <w:sz w:val="32"/>
          <w:szCs w:val="32"/>
        </w:rPr>
        <w:t>。</w:t>
      </w:r>
    </w:p>
    <w:p w14:paraId="2E474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营业损失补偿奖励原则：</w:t>
      </w:r>
    </w:p>
    <w:p w14:paraId="194860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hint="eastAsia" w:ascii="仿宋_GB2312" w:hAnsi="仿宋_GB2312" w:eastAsia="仿宋_GB2312" w:cs="仿宋_GB2312"/>
          <w:b w:val="0"/>
          <w:color w:val="auto"/>
          <w:sz w:val="32"/>
          <w:szCs w:val="32"/>
          <w:lang w:eastAsia="zh-CN"/>
        </w:rPr>
      </w:pP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1</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rPr>
        <w:t>被征收房屋位于国道、省道或县道两侧的，连续经营年限在10年以上（包含10年）且能提供本房产营业执照，按实际经营房屋建筑面积给予800元/㎡的补偿。</w:t>
      </w:r>
      <w:bookmarkStart w:id="6" w:name="OLE_LINK4"/>
      <w:r>
        <w:rPr>
          <w:rStyle w:val="11"/>
          <w:rFonts w:hint="eastAsia" w:ascii="仿宋_GB2312" w:hAnsi="仿宋_GB2312" w:eastAsia="仿宋_GB2312" w:cs="仿宋_GB2312"/>
          <w:b w:val="0"/>
          <w:color w:val="auto"/>
          <w:sz w:val="32"/>
          <w:szCs w:val="32"/>
        </w:rPr>
        <w:t>连续经营年限在3年以上（含3年）10年以下且能提供本房产营业执照，按实际经营房屋建筑面积给予300元/㎡—600元/㎡的补偿（连续经营年限3年的，按实际经营房屋建筑面积给予300元/㎡的补偿</w:t>
      </w:r>
      <w:bookmarkEnd w:id="6"/>
      <w:r>
        <w:rPr>
          <w:rStyle w:val="11"/>
          <w:rFonts w:hint="eastAsia" w:ascii="仿宋_GB2312" w:hAnsi="仿宋_GB2312" w:eastAsia="仿宋_GB2312" w:cs="仿宋_GB2312"/>
          <w:b w:val="0"/>
          <w:color w:val="auto"/>
          <w:sz w:val="32"/>
          <w:szCs w:val="32"/>
        </w:rPr>
        <w:t>，以此为基础，连续经营年限每增加一年，按实际经营房屋建筑面积增加50元/㎡的补偿）。连续经营年限在3年以</w:t>
      </w:r>
      <w:r>
        <w:rPr>
          <w:rStyle w:val="11"/>
          <w:rFonts w:hint="eastAsia" w:ascii="仿宋_GB2312" w:hAnsi="仿宋_GB2312" w:eastAsia="仿宋_GB2312" w:cs="仿宋_GB2312"/>
          <w:b w:val="0"/>
          <w:color w:val="auto"/>
          <w:sz w:val="32"/>
          <w:szCs w:val="32"/>
          <w:lang w:val="en-US" w:eastAsia="zh-CN"/>
        </w:rPr>
        <w:t>下</w:t>
      </w:r>
      <w:r>
        <w:rPr>
          <w:rStyle w:val="11"/>
          <w:rFonts w:hint="eastAsia" w:ascii="仿宋_GB2312" w:hAnsi="仿宋_GB2312" w:eastAsia="仿宋_GB2312" w:cs="仿宋_GB2312"/>
          <w:b w:val="0"/>
          <w:color w:val="auto"/>
          <w:sz w:val="32"/>
          <w:szCs w:val="32"/>
        </w:rPr>
        <w:t>且能提供本房产营业执照，按实际经营房屋建筑面积给予</w:t>
      </w:r>
      <w:r>
        <w:rPr>
          <w:rStyle w:val="11"/>
          <w:rFonts w:hint="eastAsia" w:ascii="仿宋_GB2312" w:hAnsi="仿宋_GB2312" w:eastAsia="仿宋_GB2312" w:cs="仿宋_GB2312"/>
          <w:b w:val="0"/>
          <w:color w:val="auto"/>
          <w:sz w:val="32"/>
          <w:szCs w:val="32"/>
          <w:lang w:val="en-US" w:eastAsia="zh-CN"/>
        </w:rPr>
        <w:t>15</w:t>
      </w:r>
      <w:r>
        <w:rPr>
          <w:rStyle w:val="11"/>
          <w:rFonts w:hint="eastAsia" w:ascii="仿宋_GB2312" w:hAnsi="仿宋_GB2312" w:eastAsia="仿宋_GB2312" w:cs="仿宋_GB2312"/>
          <w:b w:val="0"/>
          <w:color w:val="auto"/>
          <w:sz w:val="32"/>
          <w:szCs w:val="32"/>
        </w:rPr>
        <w:t>0元/㎡</w:t>
      </w:r>
      <w:r>
        <w:rPr>
          <w:rStyle w:val="11"/>
          <w:rFonts w:hint="eastAsia" w:ascii="仿宋_GB2312" w:hAnsi="仿宋_GB2312" w:eastAsia="仿宋_GB2312" w:cs="仿宋_GB2312"/>
          <w:b w:val="0"/>
          <w:color w:val="auto"/>
          <w:sz w:val="32"/>
          <w:szCs w:val="32"/>
          <w:lang w:val="en-US" w:eastAsia="zh-CN"/>
        </w:rPr>
        <w:t>给予</w:t>
      </w:r>
      <w:r>
        <w:rPr>
          <w:rStyle w:val="11"/>
          <w:rFonts w:hint="eastAsia" w:ascii="仿宋_GB2312" w:hAnsi="仿宋_GB2312" w:eastAsia="仿宋_GB2312" w:cs="仿宋_GB2312"/>
          <w:b w:val="0"/>
          <w:color w:val="auto"/>
          <w:sz w:val="32"/>
          <w:szCs w:val="32"/>
        </w:rPr>
        <w:t>补偿</w:t>
      </w:r>
      <w:r>
        <w:rPr>
          <w:rStyle w:val="11"/>
          <w:rFonts w:hint="eastAsia" w:ascii="仿宋_GB2312" w:hAnsi="仿宋_GB2312" w:eastAsia="仿宋_GB2312" w:cs="仿宋_GB2312"/>
          <w:b w:val="0"/>
          <w:color w:val="auto"/>
          <w:sz w:val="32"/>
          <w:szCs w:val="32"/>
          <w:lang w:eastAsia="zh-CN"/>
        </w:rPr>
        <w:t>。</w:t>
      </w:r>
    </w:p>
    <w:p w14:paraId="017016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2）被征收房屋位于乡村道路或其它乡村巷道两侧的，连续经营年限在10年以上且能提供本房产营业执照，按实际经营建筑面积给予500元/㎡补偿。连续经营年限在3年以上（含3年）10年以下且能提供本房产营业执照，按实际经营房屋建筑面积给予150元/㎡—450元/㎡的补偿（连续经营年限3年的，按实际经营房屋建筑面积给予150元/㎡的补偿；以此为基础，连续经营年限每增加一年，按实际经营房屋建筑面积增加50元/㎡的补偿）。</w:t>
      </w:r>
    </w:p>
    <w:p w14:paraId="42E1D4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若被征收人认为其停产停业损失超过以上补偿标准的，应当向征地工作组提供房屋被征收前三年的收益、纳税凭证、停产停业期限等相关证明材料。征地工作组应当与被征收人共同委托第三方机构对停产停业损失进行评估测算，并按照评估结果支付补偿费。</w:t>
      </w:r>
    </w:p>
    <w:p w14:paraId="70061A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 xml:space="preserve">2.征收设施农用地上的厂房及附属设施的补偿按中介机构的评估结果给予补偿。 </w:t>
      </w:r>
    </w:p>
    <w:p w14:paraId="228786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奖励原则：（1）被拆迁户在收到评估报告之日起30天内签订协议并按协议约定期限搬迁的，按厂房、附属设施总价的基础上上浮50%给予被征收人奖励。（2）被拆迁户在收到评估报告之日起31—40天内签订协议并按协议约定期限搬迁的，按厂房、附属设施评估总价的基础上上浮40%给予被征收人奖励。（3）被拆迁户在收到评估报告之日起超出40天签订协议的，不予奖励。</w:t>
      </w:r>
    </w:p>
    <w:p w14:paraId="66A9F9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六</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其它补偿标准</w:t>
      </w:r>
    </w:p>
    <w:p w14:paraId="4FA2A4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（一）搬迁费。以户为单位一次性支付5000元/户。</w:t>
      </w:r>
    </w:p>
    <w:p w14:paraId="00BDD5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Style w:val="11"/>
          <w:rFonts w:hint="eastAsia" w:ascii="仿宋_GB2312" w:hAnsi="仿宋_GB2312" w:eastAsia="仿宋_GB2312" w:cs="仿宋_GB2312"/>
          <w:b w:val="0"/>
          <w:color w:val="auto"/>
          <w:sz w:val="32"/>
          <w:szCs w:val="32"/>
        </w:rPr>
        <w:t>（二）过渡安置费。</w:t>
      </w:r>
      <w:r>
        <w:rPr>
          <w:rFonts w:hint="eastAsia" w:ascii="仿宋_GB2312" w:hAnsi="仿宋_GB2312" w:eastAsia="仿宋_GB2312" w:cs="仿宋_GB2312"/>
          <w:color w:val="auto"/>
          <w:sz w:val="32"/>
          <w:szCs w:val="32"/>
        </w:rPr>
        <w:t>临时过渡期为12个月，由搬迁农牧民自行解决过渡用房，</w:t>
      </w:r>
      <w:r>
        <w:rPr>
          <w:rStyle w:val="11"/>
          <w:rFonts w:hint="eastAsia" w:ascii="仿宋_GB2312" w:hAnsi="仿宋_GB2312" w:eastAsia="仿宋_GB2312" w:cs="仿宋_GB2312"/>
          <w:b w:val="0"/>
          <w:color w:val="auto"/>
          <w:sz w:val="32"/>
          <w:szCs w:val="32"/>
        </w:rPr>
        <w:t>以户为单位一次性支付12000元/户。</w:t>
      </w:r>
    </w:p>
    <w:p w14:paraId="7D6608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（三）移机费。有线电视、电话及宽带网络等设施移机补助费用每项按300元给予补偿。</w:t>
      </w:r>
    </w:p>
    <w:p w14:paraId="299DAC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低保及残疾补助。被征收人属于低保户、残疾人家庭（低保、残疾仅限于产权人夫妻双方；低保证、残疾证必须登记注册），凡在房屋征收确定的签约之日起30天内签订协议并按协议约定期限搬迁交房的，给予2—3万元/户的补助。持一级或二级残疾证补助3万元/户；持三级或四级残疾证补助2万/户；持低保证的补助3万元/户；既有残疾证又有低保证的只享受其中一项。</w:t>
      </w:r>
    </w:p>
    <w:p w14:paraId="643EAC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p>
    <w:p w14:paraId="2AD36A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第三节 被征地农民住房及养老保障</w:t>
      </w:r>
    </w:p>
    <w:p w14:paraId="12338A9C">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5BA0389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七</w:t>
      </w:r>
      <w:r>
        <w:rPr>
          <w:rStyle w:val="11"/>
          <w:rFonts w:hint="eastAsia" w:ascii="仿宋_GB2312" w:hAnsi="仿宋_GB2312" w:eastAsia="仿宋_GB2312" w:cs="仿宋_GB2312"/>
          <w:color w:val="auto"/>
          <w:sz w:val="32"/>
          <w:szCs w:val="32"/>
        </w:rPr>
        <w:t xml:space="preserve">条 </w:t>
      </w:r>
      <w:r>
        <w:rPr>
          <w:rStyle w:val="11"/>
          <w:rFonts w:hint="eastAsia" w:ascii="仿宋_GB2312" w:hAnsi="仿宋_GB2312" w:eastAsia="仿宋_GB2312" w:cs="仿宋_GB2312"/>
          <w:b w:val="0"/>
          <w:color w:val="auto"/>
          <w:sz w:val="32"/>
          <w:szCs w:val="32"/>
        </w:rPr>
        <w:t>住房保障</w:t>
      </w:r>
    </w:p>
    <w:p w14:paraId="77BCDB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被拆迁户如需在本地新建住宅的，宅基地补偿款由集体经济组织统筹支配，在符合达拉特旗土地利用总体规划的前提下，集体经济组织提供宅基地，由本人向所在地苏木镇和相关部门提出申请，办理用地手续，给予10万元/户三通一平基础设施配套费。</w:t>
      </w:r>
    </w:p>
    <w:p w14:paraId="63F3AF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（二）被拆迁户放弃宅基地使用权的，宅基地不予补偿，每人可享受12万元购房补贴。</w:t>
      </w:r>
    </w:p>
    <w:p w14:paraId="1A7AB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（三）征收土地后，以家庭承包地为单位人均耕地不足0.5亩，对未纳入征收土地范围内的房屋给予拆迁，可享受相应的购房补贴政策。</w:t>
      </w:r>
    </w:p>
    <w:p w14:paraId="0BCFA8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（四）征收集体经济组织部分土地的购房补贴。补贴金额=享受补贴人数×12万元/人，享受补贴人数取整数（享受补贴人数=征收土地面积</w:t>
      </w:r>
      <w:r>
        <w:rPr>
          <w:rStyle w:val="11"/>
          <w:rFonts w:ascii="仿宋_GB2312" w:hAnsi="仿宋_GB2312" w:eastAsia="仿宋_GB2312" w:cs="仿宋_GB2312"/>
          <w:b w:val="0"/>
          <w:color w:val="auto"/>
          <w:sz w:val="32"/>
          <w:szCs w:val="32"/>
        </w:rPr>
        <w:t>÷</w:t>
      </w:r>
      <w:r>
        <w:rPr>
          <w:rStyle w:val="11"/>
          <w:rFonts w:hint="eastAsia" w:ascii="仿宋_GB2312" w:hAnsi="仿宋_GB2312" w:eastAsia="仿宋_GB2312" w:cs="仿宋_GB2312"/>
          <w:b w:val="0"/>
          <w:color w:val="auto"/>
          <w:sz w:val="32"/>
          <w:szCs w:val="32"/>
        </w:rPr>
        <w:t>征地前人均土地面积)。具体享受人员应优先考虑主动放弃宅基地使用权的被拆迁户和本村范围内无房（无宅基地）户。被征收土地范围内拆迁户较集中时，据实支付购房补贴费用，在后期的土地征收过程中，根据已征地数量，按上述享受补贴人数公式测算的数额核减前期超标准值享受养老保障补贴的人数。</w:t>
      </w:r>
    </w:p>
    <w:p w14:paraId="2E655F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（五）已经享受过矿区移民搬迁和生态移民搬迁的，均不享受新选宅基地和购房补贴政策。</w:t>
      </w:r>
    </w:p>
    <w:p w14:paraId="243200E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第三十</w:t>
      </w:r>
      <w:r>
        <w:rPr>
          <w:rStyle w:val="11"/>
          <w:rFonts w:hint="eastAsia" w:ascii="仿宋_GB2312" w:hAnsi="仿宋_GB2312" w:eastAsia="仿宋_GB2312" w:cs="仿宋_GB2312"/>
          <w:color w:val="auto"/>
          <w:sz w:val="32"/>
          <w:szCs w:val="32"/>
          <w:lang w:val="en-US" w:eastAsia="zh-CN"/>
        </w:rPr>
        <w:t>八</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被征地农牧民养老保障。</w:t>
      </w:r>
    </w:p>
    <w:p w14:paraId="305211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为了切实保障被征地农牧民的生活不因征收土地而降低，由旗人民政府、农村集体经济组织或村民委员会和个人共同筹集被征地农牧民养老保障资金，具体方案如下：</w:t>
      </w:r>
    </w:p>
    <w:p w14:paraId="22F5AB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养老保障范围。在征收农村集体土地时，纳入养老保障补贴范围的人员为享有农村集体土地承包经营权的在册农业人口。以家庭承包地为单位征地后人均耕地不足0.5亩，家庭成员原则上应优先纳入养老保障范围。具体享受补贴的人员由农村集体经济组织或村民委员会集体讨论提出，经公示无异议后，报当地</w:t>
      </w:r>
      <w:r>
        <w:rPr>
          <w:rStyle w:val="11"/>
          <w:rFonts w:hint="eastAsia" w:ascii="仿宋_GB2312" w:hAnsi="仿宋_GB2312" w:eastAsia="仿宋_GB2312" w:cs="仿宋_GB2312"/>
          <w:b w:val="0"/>
          <w:color w:val="auto"/>
          <w:sz w:val="32"/>
          <w:szCs w:val="32"/>
          <w:lang w:eastAsia="zh-CN"/>
        </w:rPr>
        <w:t>苏木镇</w:t>
      </w:r>
      <w:r>
        <w:rPr>
          <w:rStyle w:val="11"/>
          <w:rFonts w:hint="eastAsia" w:ascii="仿宋_GB2312" w:hAnsi="仿宋_GB2312" w:eastAsia="仿宋_GB2312" w:cs="仿宋_GB2312"/>
          <w:b w:val="0"/>
          <w:color w:val="auto"/>
          <w:sz w:val="32"/>
          <w:szCs w:val="32"/>
        </w:rPr>
        <w:t>人民政府备案。</w:t>
      </w:r>
    </w:p>
    <w:p w14:paraId="7DBE8D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养老保障资金筹集。被征地农牧民参加养老保障所需资金，由旗人民政府、农村集体经济组织或村民委员会和个人共同筹集。根据我旗经济社会发展状况，应筹集养老保障金确定为18.14万元/人，旗人民政府补贴70％，即12.7万元/人，在土地出让收益中列支。农村集体经济组织或村民委员会、个人共承担30％，即5.44万元/人，农村集体经济组织或村民委员会补贴部分原则上在土地补偿费中抵缴，个人缴纳部分原则上在土地安置补偿费中抵缴，具体承担的比例需根据征地补偿费分配及使用方案协商确定。</w:t>
      </w:r>
    </w:p>
    <w:p w14:paraId="5C53CB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养老保障资金支付。征收土地后，旗人民政府承担的养老保障补贴按被征地农村集体经济组织集体（村或社集体）的征地比例给予支付，旗人民政府承担的养老保险补贴金额=享受补贴人数×12.7万元，享受补贴人数取整数（享受补贴人数=征收土地面积</w:t>
      </w:r>
      <w:r>
        <w:rPr>
          <w:rStyle w:val="11"/>
          <w:rFonts w:ascii="Arial" w:hAnsi="Arial" w:eastAsia="仿宋_GB2312" w:cs="Arial"/>
          <w:b w:val="0"/>
          <w:color w:val="auto"/>
          <w:sz w:val="32"/>
          <w:szCs w:val="32"/>
        </w:rPr>
        <w:t>÷</w:t>
      </w:r>
      <w:r>
        <w:rPr>
          <w:rStyle w:val="11"/>
          <w:rFonts w:hint="eastAsia" w:ascii="仿宋_GB2312" w:hAnsi="仿宋_GB2312" w:eastAsia="仿宋_GB2312" w:cs="仿宋_GB2312"/>
          <w:b w:val="0"/>
          <w:color w:val="auto"/>
          <w:sz w:val="32"/>
          <w:szCs w:val="32"/>
        </w:rPr>
        <w:t>征地前人均土地面积)。</w:t>
      </w:r>
    </w:p>
    <w:p w14:paraId="78ECE7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男年满16周岁、不满60周岁；女年满16周岁、不满55周岁人员的补贴资金原则上直接转入社保局养老保障专户，也可与农村集体经济组织（村或社集体）签订养老保障承诺协议后，将政府承担的养老保障补贴金一次性支付给农村集体经济组织（村或社集体）；被征地农民参加职工基本养老保险或城乡居民基本养老保险，政府补贴数额不变，个人应履行的缴费义务不变。上述年龄范围外的人员，直接签订养老保障补贴协议，并支付补贴金。被征收土地范围内耕地较集中时，据实支付失地（失去耕地）农民养老保障补贴，在后期的土地征收过程中，根据已征地数量，按上述享受补贴人数公式测算的数额核减前期超标准值享受养老保障补贴的人数。</w:t>
      </w:r>
    </w:p>
    <w:p w14:paraId="76A3D6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（五）纳入养老保障范围的人员，按“低标准缴费，低标准享受”的养老政策，根据实际情况可自愿选择参加职工基本养老保险或城乡居民基本养老保险。</w:t>
      </w:r>
    </w:p>
    <w:p w14:paraId="714F5F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（六）已经享受过矿区移民安置社保政策的，在永久性征地过程中测算养老保障补贴费用时，应核减已享受的矿区移民搬迁养老保险补贴部分。</w:t>
      </w:r>
    </w:p>
    <w:p w14:paraId="209E87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p>
    <w:p w14:paraId="0FA746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r>
        <w:rPr>
          <w:rStyle w:val="11"/>
          <w:rFonts w:hint="eastAsia" w:ascii="黑体" w:hAnsi="黑体" w:eastAsia="黑体"/>
          <w:b w:val="0"/>
          <w:bCs w:val="0"/>
          <w:color w:val="auto"/>
          <w:sz w:val="32"/>
          <w:szCs w:val="32"/>
        </w:rPr>
        <w:t>第五章 集体土地征用的补偿安置</w:t>
      </w:r>
    </w:p>
    <w:p w14:paraId="6FC0E589">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31B4F6BE">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both"/>
        <w:textAlignment w:val="auto"/>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第一节 井工矿征用集体土地的补偿安置</w:t>
      </w:r>
    </w:p>
    <w:p w14:paraId="355FFFED">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151E2A4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土地塌陷补偿</w:t>
      </w:r>
    </w:p>
    <w:p w14:paraId="76FB88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因井工煤矿采空区塌陷达到稳定沉陷的期限与采矿地质条件、埋藏深度、煤层厚度、煤层数、开采方式等因素有关，考虑到自然沉降、环境治理工程与复垦时间、生态恢复管护及稳沉检测期限等众多因素，将</w:t>
      </w:r>
      <w:r>
        <w:rPr>
          <w:rFonts w:hint="eastAsia" w:ascii="仿宋_GB2312" w:hAnsi="仿宋_GB2312" w:eastAsia="仿宋_GB2312" w:cs="仿宋_GB2312"/>
          <w:color w:val="auto"/>
          <w:sz w:val="32"/>
          <w:szCs w:val="32"/>
        </w:rPr>
        <w:t>土地塌陷补偿周期</w:t>
      </w:r>
      <w:r>
        <w:rPr>
          <w:rFonts w:hint="eastAsia" w:ascii="仿宋_GB2312" w:hAnsi="仿宋_GB2312" w:eastAsia="仿宋_GB2312" w:cs="仿宋_GB2312"/>
          <w:color w:val="auto"/>
          <w:sz w:val="32"/>
          <w:szCs w:val="32"/>
          <w:lang w:val="en-US" w:eastAsia="zh-CN"/>
        </w:rPr>
        <w:t>确定</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20年</w:t>
      </w:r>
      <w:r>
        <w:rPr>
          <w:rFonts w:hint="eastAsia" w:ascii="仿宋_GB2312" w:hAnsi="仿宋_GB2312" w:eastAsia="仿宋_GB2312" w:cs="仿宋_GB2312"/>
          <w:color w:val="auto"/>
          <w:sz w:val="32"/>
          <w:szCs w:val="32"/>
        </w:rPr>
        <w:t>。土地塌陷补偿标准</w:t>
      </w:r>
      <w:r>
        <w:rPr>
          <w:rFonts w:hint="eastAsia" w:ascii="仿宋_GB2312" w:hAnsi="仿宋_GB2312" w:eastAsia="仿宋_GB2312" w:cs="仿宋_GB2312"/>
          <w:color w:val="auto"/>
          <w:sz w:val="32"/>
          <w:szCs w:val="32"/>
          <w:lang w:val="en-US" w:eastAsia="zh-CN"/>
        </w:rPr>
        <w:t>确定为</w:t>
      </w:r>
      <w:r>
        <w:rPr>
          <w:rFonts w:hint="eastAsia" w:ascii="仿宋_GB2312" w:hAnsi="仿宋_GB2312" w:eastAsia="仿宋_GB2312" w:cs="仿宋_GB2312"/>
          <w:color w:val="auto"/>
          <w:sz w:val="32"/>
          <w:szCs w:val="32"/>
        </w:rPr>
        <w:t>：不同地类区片综合地价的8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p>
    <w:p w14:paraId="594C0CCC">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奖励目的及原则：为了有效遏制</w:t>
      </w:r>
      <w:r>
        <w:rPr>
          <w:rStyle w:val="11"/>
          <w:rFonts w:hint="eastAsia" w:ascii="仿宋_GB2312" w:hAnsi="仿宋_GB2312" w:eastAsia="仿宋_GB2312" w:cs="仿宋_GB2312"/>
          <w:b w:val="0"/>
          <w:color w:val="auto"/>
          <w:sz w:val="32"/>
          <w:szCs w:val="32"/>
        </w:rPr>
        <w:t>抢栽、抢种、抢建</w:t>
      </w:r>
      <w:r>
        <w:rPr>
          <w:rStyle w:val="11"/>
          <w:rFonts w:hint="eastAsia" w:ascii="仿宋_GB2312" w:hAnsi="仿宋_GB2312" w:eastAsia="仿宋_GB2312" w:cs="仿宋_GB2312"/>
          <w:b w:val="0"/>
          <w:color w:val="auto"/>
          <w:sz w:val="32"/>
          <w:szCs w:val="32"/>
          <w:lang w:val="en-US" w:eastAsia="zh-CN"/>
        </w:rPr>
        <w:t>等违法违规行为</w:t>
      </w:r>
      <w:r>
        <w:rPr>
          <w:rStyle w:val="11"/>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lang w:val="en-US" w:eastAsia="zh-CN"/>
        </w:rPr>
        <w:t>对按期完成土地征收协议签订且承包土地范围内无违法用地的集体经济组织或承包人，不分地类给予15000元/亩的奖励。</w:t>
      </w:r>
    </w:p>
    <w:p w14:paraId="6DCE4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bookmarkStart w:id="7" w:name="OLE_LINK10"/>
      <w:r>
        <w:rPr>
          <w:rFonts w:hint="eastAsia" w:ascii="仿宋_GB2312" w:hAnsi="仿宋_GB2312" w:eastAsia="仿宋_GB2312" w:cs="仿宋_GB2312"/>
          <w:color w:val="auto"/>
          <w:sz w:val="32"/>
          <w:szCs w:val="32"/>
          <w:lang w:eastAsia="zh-CN"/>
        </w:rPr>
        <w:t>土地塌陷补偿周期</w:t>
      </w:r>
      <w:r>
        <w:rPr>
          <w:rFonts w:hint="eastAsia" w:ascii="仿宋_GB2312" w:hAnsi="仿宋_GB2312" w:eastAsia="仿宋_GB2312" w:cs="仿宋_GB2312"/>
          <w:color w:val="auto"/>
          <w:sz w:val="32"/>
          <w:szCs w:val="32"/>
        </w:rPr>
        <w:t>到期后，塌陷区未完成土地复垦、生态修复治理的</w:t>
      </w:r>
      <w:bookmarkEnd w:id="7"/>
      <w:r>
        <w:rPr>
          <w:rFonts w:hint="eastAsia" w:ascii="仿宋_GB2312" w:hAnsi="仿宋_GB2312" w:eastAsia="仿宋_GB2312" w:cs="仿宋_GB2312"/>
          <w:color w:val="auto"/>
          <w:sz w:val="32"/>
          <w:szCs w:val="32"/>
        </w:rPr>
        <w:t>，煤炭企业给予塌陷区农村集体经济组织耕地700元/亩·年、林草</w:t>
      </w:r>
      <w:r>
        <w:rPr>
          <w:rFonts w:hint="eastAsia" w:ascii="仿宋_GB2312" w:hAnsi="仿宋_GB2312" w:eastAsia="仿宋_GB2312" w:cs="仿宋_GB2312"/>
          <w:color w:val="auto"/>
          <w:sz w:val="32"/>
          <w:szCs w:val="32"/>
          <w:lang w:eastAsia="zh-CN"/>
        </w:rPr>
        <w:t>地</w:t>
      </w:r>
      <w:r>
        <w:rPr>
          <w:rFonts w:hint="eastAsia" w:ascii="仿宋_GB2312" w:hAnsi="仿宋_GB2312" w:eastAsia="仿宋_GB2312" w:cs="仿宋_GB2312"/>
          <w:color w:val="auto"/>
          <w:sz w:val="32"/>
          <w:szCs w:val="32"/>
        </w:rPr>
        <w:t>及其他农用地300元/亩·年的补偿，直至完成土地复垦、生态修复治理或累计补偿金额达到现行（到期时）区片综合地价标准时终止补偿。</w:t>
      </w:r>
    </w:p>
    <w:p w14:paraId="18479A8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 xml:space="preserve">十条 </w:t>
      </w:r>
      <w:r>
        <w:rPr>
          <w:rFonts w:hint="eastAsia" w:ascii="仿宋_GB2312" w:hAnsi="仿宋_GB2312" w:eastAsia="仿宋_GB2312" w:cs="仿宋_GB2312"/>
          <w:color w:val="auto"/>
          <w:sz w:val="32"/>
          <w:szCs w:val="32"/>
        </w:rPr>
        <w:t>土地流转补偿</w:t>
      </w:r>
    </w:p>
    <w:p w14:paraId="0514E0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指的土地流转是指村民将承包的土地经营权（使用权）转租给采矿企业。井工煤矿涉及整社移民的，该社暂不开采的耕地实行土地流转，流转费一年一补。流转期间，因采矿造成塌陷的土地按照本办法第四十条执行，补偿后土地流转费自然终止。</w:t>
      </w:r>
    </w:p>
    <w:p w14:paraId="770C06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水浇地流转标准：650元/亩·年；旱地流转标准：450元/亩·年；其它地类不享受土地流转补偿。</w:t>
      </w:r>
    </w:p>
    <w:p w14:paraId="0E898D8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color w:val="auto"/>
          <w:sz w:val="32"/>
          <w:szCs w:val="32"/>
        </w:rPr>
      </w:pPr>
      <w:r>
        <w:rPr>
          <w:rFonts w:hint="eastAsia" w:ascii="仿宋" w:hAnsi="仿宋" w:eastAsia="仿宋" w:cs="仿宋"/>
          <w:b/>
          <w:bCs/>
          <w:color w:val="auto"/>
          <w:sz w:val="32"/>
          <w:szCs w:val="32"/>
        </w:rPr>
        <w:t>第四十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_GB2312" w:hAnsi="仿宋_GB2312" w:eastAsia="仿宋_GB2312" w:cs="仿宋_GB2312"/>
          <w:color w:val="auto"/>
          <w:sz w:val="32"/>
          <w:szCs w:val="32"/>
        </w:rPr>
        <w:t xml:space="preserve"> 移民搬迁农牧民的</w:t>
      </w:r>
      <w:r>
        <w:rPr>
          <w:rStyle w:val="11"/>
          <w:rFonts w:hint="eastAsia" w:ascii="仿宋_GB2312" w:hAnsi="仿宋_GB2312" w:eastAsia="仿宋_GB2312" w:cs="仿宋_GB2312"/>
          <w:b w:val="0"/>
          <w:bCs w:val="0"/>
          <w:color w:val="auto"/>
          <w:sz w:val="32"/>
          <w:szCs w:val="32"/>
        </w:rPr>
        <w:t>住房保障</w:t>
      </w:r>
    </w:p>
    <w:p w14:paraId="1100CB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土地塌陷范围内的被移民搬迁的住户享受本办法</w:t>
      </w:r>
      <w:r>
        <w:rPr>
          <w:rStyle w:val="11"/>
          <w:rFonts w:hint="eastAsia" w:ascii="仿宋_GB2312" w:hAnsi="仿宋_GB2312" w:eastAsia="仿宋_GB2312" w:cs="仿宋_GB2312"/>
          <w:b w:val="0"/>
          <w:bCs w:val="0"/>
          <w:color w:val="auto"/>
          <w:sz w:val="32"/>
          <w:szCs w:val="32"/>
        </w:rPr>
        <w:t>第三十</w:t>
      </w:r>
      <w:r>
        <w:rPr>
          <w:rStyle w:val="11"/>
          <w:rFonts w:hint="eastAsia" w:ascii="仿宋_GB2312" w:hAnsi="仿宋_GB2312" w:eastAsia="仿宋_GB2312" w:cs="仿宋_GB2312"/>
          <w:b w:val="0"/>
          <w:bCs w:val="0"/>
          <w:color w:val="auto"/>
          <w:sz w:val="32"/>
          <w:szCs w:val="32"/>
          <w:lang w:val="en-US" w:eastAsia="zh-CN"/>
        </w:rPr>
        <w:t>七</w:t>
      </w:r>
      <w:r>
        <w:rPr>
          <w:rStyle w:val="11"/>
          <w:rFonts w:hint="eastAsia" w:ascii="仿宋_GB2312" w:hAnsi="仿宋_GB2312" w:eastAsia="仿宋_GB2312" w:cs="仿宋_GB2312"/>
          <w:b w:val="0"/>
          <w:bCs w:val="0"/>
          <w:color w:val="auto"/>
          <w:sz w:val="32"/>
          <w:szCs w:val="32"/>
        </w:rPr>
        <w:t>条住</w:t>
      </w:r>
      <w:r>
        <w:rPr>
          <w:rFonts w:hint="eastAsia" w:ascii="仿宋_GB2312" w:hAnsi="仿宋_GB2312" w:eastAsia="仿宋_GB2312" w:cs="仿宋_GB2312"/>
          <w:color w:val="auto"/>
          <w:sz w:val="32"/>
          <w:szCs w:val="32"/>
        </w:rPr>
        <w:t>房保障政策</w:t>
      </w:r>
      <w:r>
        <w:rPr>
          <w:rStyle w:val="11"/>
          <w:rFonts w:hint="eastAsia" w:ascii="仿宋_GB2312" w:hAnsi="仿宋_GB2312" w:eastAsia="仿宋_GB2312" w:cs="仿宋_GB2312"/>
          <w:b w:val="0"/>
          <w:bCs w:val="0"/>
          <w:color w:val="auto"/>
          <w:sz w:val="32"/>
          <w:szCs w:val="32"/>
        </w:rPr>
        <w:t xml:space="preserve">。 </w:t>
      </w:r>
      <w:r>
        <w:rPr>
          <w:rStyle w:val="11"/>
          <w:rFonts w:hint="eastAsia" w:ascii="仿宋_GB2312" w:hAnsi="仿宋_GB2312" w:eastAsia="仿宋_GB2312" w:cs="仿宋_GB2312"/>
          <w:b w:val="0"/>
          <w:color w:val="auto"/>
          <w:sz w:val="32"/>
          <w:szCs w:val="32"/>
        </w:rPr>
        <w:t>已经享受过矿区移民搬迁和生态移民搬迁的，均不享受新选宅基地和购房补贴政策。</w:t>
      </w:r>
    </w:p>
    <w:p w14:paraId="64DA09C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被移民搬迁</w:t>
      </w:r>
      <w:r>
        <w:rPr>
          <w:rStyle w:val="11"/>
          <w:rFonts w:hint="eastAsia" w:ascii="仿宋_GB2312" w:hAnsi="仿宋_GB2312" w:eastAsia="仿宋_GB2312" w:cs="仿宋_GB2312"/>
          <w:b w:val="0"/>
          <w:bCs w:val="0"/>
          <w:color w:val="auto"/>
          <w:sz w:val="32"/>
          <w:szCs w:val="32"/>
        </w:rPr>
        <w:t>农牧民的养老保障</w:t>
      </w:r>
    </w:p>
    <w:p w14:paraId="0A6983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为了切实保障被</w:t>
      </w:r>
      <w:r>
        <w:rPr>
          <w:rFonts w:hint="eastAsia" w:ascii="仿宋_GB2312" w:hAnsi="仿宋_GB2312" w:eastAsia="仿宋_GB2312" w:cs="仿宋_GB2312"/>
          <w:color w:val="auto"/>
          <w:sz w:val="32"/>
          <w:szCs w:val="32"/>
        </w:rPr>
        <w:t>搬迁</w:t>
      </w:r>
      <w:r>
        <w:rPr>
          <w:rStyle w:val="11"/>
          <w:rFonts w:hint="eastAsia" w:ascii="仿宋_GB2312" w:hAnsi="仿宋_GB2312" w:eastAsia="仿宋_GB2312" w:cs="仿宋_GB2312"/>
          <w:b w:val="0"/>
          <w:bCs w:val="0"/>
          <w:color w:val="auto"/>
          <w:sz w:val="32"/>
          <w:szCs w:val="32"/>
        </w:rPr>
        <w:t>农牧民</w:t>
      </w:r>
      <w:r>
        <w:rPr>
          <w:rStyle w:val="11"/>
          <w:rFonts w:hint="eastAsia" w:ascii="仿宋_GB2312" w:hAnsi="仿宋_GB2312" w:eastAsia="仿宋_GB2312" w:cs="仿宋_GB2312"/>
          <w:b w:val="0"/>
          <w:color w:val="auto"/>
          <w:sz w:val="32"/>
          <w:szCs w:val="32"/>
        </w:rPr>
        <w:t>的生活不因</w:t>
      </w:r>
      <w:r>
        <w:rPr>
          <w:rFonts w:hint="eastAsia" w:ascii="仿宋_GB2312" w:hAnsi="仿宋_GB2312" w:eastAsia="仿宋_GB2312" w:cs="仿宋_GB2312"/>
          <w:color w:val="auto"/>
          <w:sz w:val="32"/>
          <w:szCs w:val="32"/>
        </w:rPr>
        <w:t>移民搬迁</w:t>
      </w:r>
      <w:r>
        <w:rPr>
          <w:rStyle w:val="11"/>
          <w:rFonts w:hint="eastAsia" w:ascii="仿宋_GB2312" w:hAnsi="仿宋_GB2312" w:eastAsia="仿宋_GB2312" w:cs="仿宋_GB2312"/>
          <w:b w:val="0"/>
          <w:color w:val="auto"/>
          <w:sz w:val="32"/>
          <w:szCs w:val="32"/>
        </w:rPr>
        <w:t>而降低，由用地企业</w:t>
      </w:r>
      <w:r>
        <w:rPr>
          <w:rFonts w:hint="eastAsia" w:ascii="仿宋_GB2312" w:hAnsi="仿宋_GB2312" w:eastAsia="仿宋_GB2312" w:cs="仿宋_GB2312"/>
          <w:bCs/>
          <w:color w:val="auto"/>
          <w:sz w:val="32"/>
          <w:szCs w:val="32"/>
        </w:rPr>
        <w:t>一次性给予被移民搬迁</w:t>
      </w:r>
      <w:r>
        <w:rPr>
          <w:rStyle w:val="11"/>
          <w:rFonts w:hint="eastAsia" w:ascii="仿宋_GB2312" w:hAnsi="仿宋_GB2312" w:eastAsia="仿宋_GB2312" w:cs="仿宋_GB2312"/>
          <w:b w:val="0"/>
          <w:color w:val="auto"/>
          <w:sz w:val="32"/>
          <w:szCs w:val="32"/>
        </w:rPr>
        <w:t>农牧民养老</w:t>
      </w:r>
      <w:r>
        <w:rPr>
          <w:rFonts w:hint="eastAsia" w:ascii="仿宋_GB2312" w:hAnsi="仿宋_GB2312" w:eastAsia="仿宋_GB2312" w:cs="仿宋_GB2312"/>
          <w:color w:val="auto"/>
          <w:sz w:val="32"/>
          <w:szCs w:val="32"/>
        </w:rPr>
        <w:t>保障补贴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万元/人。土地塌陷补偿到期后，塌陷区未完成土地复垦和生态修复治理，应</w:t>
      </w:r>
      <w:r>
        <w:rPr>
          <w:rStyle w:val="11"/>
          <w:rFonts w:hint="eastAsia" w:ascii="仿宋_GB2312" w:hAnsi="仿宋_GB2312" w:eastAsia="仿宋_GB2312" w:cs="仿宋_GB2312"/>
          <w:b w:val="0"/>
          <w:color w:val="auto"/>
          <w:sz w:val="32"/>
          <w:szCs w:val="32"/>
        </w:rPr>
        <w:t>由用地企业</w:t>
      </w:r>
      <w:r>
        <w:rPr>
          <w:rFonts w:hint="eastAsia" w:ascii="仿宋_GB2312" w:hAnsi="仿宋_GB2312" w:eastAsia="仿宋_GB2312" w:cs="仿宋_GB2312"/>
          <w:bCs/>
          <w:color w:val="auto"/>
          <w:sz w:val="32"/>
          <w:szCs w:val="32"/>
        </w:rPr>
        <w:t>给予被移民搬迁</w:t>
      </w:r>
      <w:r>
        <w:rPr>
          <w:rStyle w:val="11"/>
          <w:rFonts w:hint="eastAsia" w:ascii="仿宋_GB2312" w:hAnsi="仿宋_GB2312" w:eastAsia="仿宋_GB2312" w:cs="仿宋_GB2312"/>
          <w:b w:val="0"/>
          <w:color w:val="auto"/>
          <w:sz w:val="32"/>
          <w:szCs w:val="32"/>
        </w:rPr>
        <w:t>农牧民养老</w:t>
      </w:r>
      <w:r>
        <w:rPr>
          <w:rFonts w:hint="eastAsia" w:ascii="仿宋_GB2312" w:hAnsi="仿宋_GB2312" w:eastAsia="仿宋_GB2312" w:cs="仿宋_GB2312"/>
          <w:color w:val="auto"/>
          <w:sz w:val="32"/>
          <w:szCs w:val="32"/>
        </w:rPr>
        <w:t>保障补贴0.8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万元/人·年，直至完成土地复垦、生态修复治理或累计</w:t>
      </w:r>
      <w:r>
        <w:rPr>
          <w:rStyle w:val="11"/>
          <w:rFonts w:hint="eastAsia" w:ascii="仿宋_GB2312" w:hAnsi="仿宋_GB2312" w:eastAsia="仿宋_GB2312" w:cs="仿宋_GB2312"/>
          <w:b w:val="0"/>
          <w:color w:val="auto"/>
          <w:sz w:val="32"/>
          <w:szCs w:val="32"/>
        </w:rPr>
        <w:t>养老</w:t>
      </w:r>
      <w:r>
        <w:rPr>
          <w:rFonts w:hint="eastAsia" w:ascii="仿宋_GB2312" w:hAnsi="仿宋_GB2312" w:eastAsia="仿宋_GB2312" w:cs="仿宋_GB2312"/>
          <w:color w:val="auto"/>
          <w:sz w:val="32"/>
          <w:szCs w:val="32"/>
        </w:rPr>
        <w:t>保障补贴金额达到现行（到期时）养老保障补贴金额时终止补偿。享受补贴人员必须是被移民搬迁集体经济组织成员。</w:t>
      </w:r>
    </w:p>
    <w:p w14:paraId="4B7F7DB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生态环境补偿</w:t>
      </w:r>
    </w:p>
    <w:p w14:paraId="396EBE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采矿企业开采造成爆破震动、生态环境影响和人畜饮水困难的，采矿企业积极采取措施，消除影响。如人畜饮水工程、灌溉水源及设施损毁。对无法恢复或造成损失的要进行相应补偿。</w:t>
      </w:r>
    </w:p>
    <w:p w14:paraId="7AB04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（一）在本办法出台前，采矿企业已与村社签订生态环境补偿协议的，按原协议约定条款进行补偿。</w:t>
      </w:r>
    </w:p>
    <w:p w14:paraId="18571D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（二）采矿企业塌陷占涉及社土地总面积50%以上或耕地总面积60%以上的，对受影响且未享受移民搬迁农业户籍人口给予不高于1000元/人·年补偿。</w:t>
      </w:r>
    </w:p>
    <w:p w14:paraId="0EC55E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（三）未达到上述占地比例，根据采矿企业塌陷所占地比例，对受影响且未享受移民搬迁农业户籍人口给予不高于800元/人·年补偿。</w:t>
      </w:r>
    </w:p>
    <w:p w14:paraId="4B631B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（四）全年停产的采矿企业，不再发放生态环境补偿款。采矿企业生产不足一年的，按季度核算发放。</w:t>
      </w:r>
    </w:p>
    <w:p w14:paraId="0D2E0A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Fonts w:hint="eastAsia" w:ascii="仿宋_GB2312" w:hAnsi="仿宋_GB2312" w:eastAsia="仿宋_GB2312" w:cs="仿宋_GB2312"/>
          <w:color w:val="auto"/>
          <w:sz w:val="32"/>
          <w:szCs w:val="32"/>
        </w:rPr>
        <w:t>（五）</w:t>
      </w:r>
      <w:r>
        <w:rPr>
          <w:rStyle w:val="11"/>
          <w:rFonts w:hint="eastAsia" w:ascii="仿宋_GB2312" w:hAnsi="仿宋_GB2312" w:eastAsia="仿宋_GB2312" w:cs="仿宋_GB2312"/>
          <w:b w:val="0"/>
          <w:color w:val="auto"/>
          <w:sz w:val="32"/>
          <w:szCs w:val="32"/>
        </w:rPr>
        <w:t>已经享受过矿区移民搬迁和生态移民搬迁的，均不享受</w:t>
      </w:r>
      <w:r>
        <w:rPr>
          <w:rFonts w:hint="eastAsia" w:ascii="仿宋_GB2312" w:hAnsi="仿宋_GB2312" w:eastAsia="仿宋_GB2312" w:cs="仿宋_GB2312"/>
          <w:color w:val="auto"/>
          <w:sz w:val="32"/>
          <w:szCs w:val="32"/>
        </w:rPr>
        <w:t>生态环境</w:t>
      </w:r>
      <w:r>
        <w:rPr>
          <w:rStyle w:val="11"/>
          <w:rFonts w:hint="eastAsia" w:ascii="仿宋_GB2312" w:hAnsi="仿宋_GB2312" w:eastAsia="仿宋_GB2312" w:cs="仿宋_GB2312"/>
          <w:b w:val="0"/>
          <w:color w:val="auto"/>
          <w:sz w:val="32"/>
          <w:szCs w:val="32"/>
        </w:rPr>
        <w:t>补偿的相关政策。</w:t>
      </w:r>
    </w:p>
    <w:p w14:paraId="7F7A5FEE">
      <w:pPr>
        <w:keepNext w:val="0"/>
        <w:keepLines w:val="0"/>
        <w:pageBreakBefore w:val="0"/>
        <w:widowControl w:val="0"/>
        <w:tabs>
          <w:tab w:val="left" w:pos="3103"/>
        </w:tabs>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 xml:space="preserve">条 </w:t>
      </w:r>
      <w:r>
        <w:rPr>
          <w:rStyle w:val="11"/>
          <w:rFonts w:hint="eastAsia" w:ascii="仿宋_GB2312" w:hAnsi="仿宋_GB2312" w:eastAsia="仿宋_GB2312" w:cs="仿宋_GB2312"/>
          <w:b w:val="0"/>
          <w:color w:val="auto"/>
          <w:sz w:val="32"/>
          <w:szCs w:val="32"/>
        </w:rPr>
        <w:t>归还土地及利用管理</w:t>
      </w:r>
    </w:p>
    <w:p w14:paraId="6FCC42D1">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40" w:firstLineChars="200"/>
        <w:jc w:val="both"/>
        <w:textAlignment w:val="auto"/>
        <w:rPr>
          <w:rStyle w:val="11"/>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矿企业按照黄河流域生态保护和高质量发展国家战略及绿色矿山建设政策要求，将完成采矿并复垦的土地归还给农村集体经济组织或村民委员会（土地所有权单位），由农村集体经济组织或村民委员会统一管理。</w:t>
      </w:r>
    </w:p>
    <w:p w14:paraId="3054CB87">
      <w:pPr>
        <w:keepNext w:val="0"/>
        <w:keepLines w:val="0"/>
        <w:pageBreakBefore w:val="0"/>
        <w:widowControl w:val="0"/>
        <w:kinsoku/>
        <w:wordWrap/>
        <w:overflowPunct/>
        <w:topLinePunct w:val="0"/>
        <w:autoSpaceDE/>
        <w:autoSpaceDN/>
        <w:bidi w:val="0"/>
        <w:adjustRightInd/>
        <w:snapToGrid/>
        <w:spacing w:line="560" w:lineRule="exact"/>
        <w:ind w:firstLine="1606" w:firstLineChars="500"/>
        <w:jc w:val="left"/>
        <w:textAlignment w:val="auto"/>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第二节 临时使用集体土地的补偿</w:t>
      </w:r>
    </w:p>
    <w:p w14:paraId="64AADB7E">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0EAEC18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第四十</w:t>
      </w:r>
      <w:r>
        <w:rPr>
          <w:rStyle w:val="11"/>
          <w:rFonts w:hint="eastAsia" w:ascii="仿宋_GB2312" w:hAnsi="仿宋_GB2312" w:eastAsia="仿宋_GB2312" w:cs="仿宋_GB2312"/>
          <w:color w:val="auto"/>
          <w:sz w:val="32"/>
          <w:szCs w:val="32"/>
          <w:lang w:val="en-US" w:eastAsia="zh-CN"/>
        </w:rPr>
        <w:t>五</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凡在达拉特旗行政区域内需要临时使用集体土地，必须依法申请旗人民政府有关行政主管部门按规定履行审批程序、缴纳相关费用后方可使用。</w:t>
      </w:r>
    </w:p>
    <w:p w14:paraId="00BD7AB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第四十</w:t>
      </w:r>
      <w:r>
        <w:rPr>
          <w:rStyle w:val="11"/>
          <w:rFonts w:hint="eastAsia" w:ascii="仿宋_GB2312" w:hAnsi="仿宋_GB2312" w:eastAsia="仿宋_GB2312" w:cs="仿宋_GB2312"/>
          <w:color w:val="auto"/>
          <w:sz w:val="32"/>
          <w:szCs w:val="32"/>
          <w:lang w:val="en-US" w:eastAsia="zh-CN"/>
        </w:rPr>
        <w:t>六</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临时用地经旗人民政府相关行政主管部门批准后，用地单位应当与被使用土地所在农村集体经济组织（承包户）签订临时使用土地协议，经用地单位、所在地苏木镇人民政府、相关农村集体经济组织及土地承包户进行现场清点、丈量，确认土地及地上附着物后，按本办法附件8的标准进行补偿，并及时报有关部门备案。</w:t>
      </w:r>
    </w:p>
    <w:p w14:paraId="2AC3F1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1.临时使用集体土地补偿：占用一年按补偿标准的2倍补偿；占用二年按补偿标准的3倍补偿，具体补偿标准见附件8。</w:t>
      </w:r>
    </w:p>
    <w:p w14:paraId="49FCB5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2.达拉特旗行政区域内输油、输气、输水等管道工程配套阀室、检查井等附属设施按临时用地管理，其补偿按永久性用地标准执行（见附件1）；铺设管道的土地按临时用地管理，开挖部分的土地补偿按永久性用地标准执行（见附件1）。</w:t>
      </w:r>
    </w:p>
    <w:p w14:paraId="07971D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lang w:val="en-US" w:eastAsia="zh-CN"/>
        </w:rPr>
        <w:t>3</w:t>
      </w:r>
      <w:r>
        <w:rPr>
          <w:rStyle w:val="11"/>
          <w:rFonts w:hint="eastAsia" w:ascii="仿宋_GB2312" w:hAnsi="仿宋_GB2312" w:eastAsia="仿宋_GB2312" w:cs="仿宋_GB2312"/>
          <w:b w:val="0"/>
          <w:color w:val="auto"/>
          <w:sz w:val="32"/>
          <w:szCs w:val="32"/>
        </w:rPr>
        <w:t>.工程施工临时碾压、堆放弃土等临时用地以实际占用面积为准。</w:t>
      </w:r>
    </w:p>
    <w:p w14:paraId="723608C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第四十</w:t>
      </w:r>
      <w:r>
        <w:rPr>
          <w:rStyle w:val="11"/>
          <w:rFonts w:hint="eastAsia" w:ascii="仿宋_GB2312" w:hAnsi="仿宋_GB2312" w:eastAsia="仿宋_GB2312" w:cs="仿宋_GB2312"/>
          <w:color w:val="auto"/>
          <w:sz w:val="32"/>
          <w:szCs w:val="32"/>
          <w:lang w:val="en-US" w:eastAsia="zh-CN"/>
        </w:rPr>
        <w:t>七</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临时使用集体土地期限一般不超过两年，使用期满后，如用地单位需继续使用，必须经有关部门重新批准后，由用地单位与所在村集体经济组织（承包户）签订协议，并按相关标准进行补偿后方可继续使用。</w:t>
      </w:r>
    </w:p>
    <w:p w14:paraId="383A81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第四十</w:t>
      </w:r>
      <w:r>
        <w:rPr>
          <w:rStyle w:val="11"/>
          <w:rFonts w:hint="eastAsia" w:ascii="仿宋_GB2312" w:hAnsi="仿宋_GB2312" w:eastAsia="仿宋_GB2312" w:cs="仿宋_GB2312"/>
          <w:color w:val="auto"/>
          <w:sz w:val="32"/>
          <w:szCs w:val="32"/>
          <w:lang w:val="en-US" w:eastAsia="zh-CN"/>
        </w:rPr>
        <w:t>八</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临时用地建设项目竣工后，建设用地单位应按照与所在村集体经济组织签订的临时使用土地协议，恢复土地生产条件；旗水利局、生态环境</w:t>
      </w:r>
      <w:r>
        <w:rPr>
          <w:rStyle w:val="11"/>
          <w:rFonts w:hint="eastAsia" w:ascii="仿宋_GB2312" w:hAnsi="仿宋_GB2312" w:eastAsia="仿宋_GB2312" w:cs="仿宋_GB2312"/>
          <w:b w:val="0"/>
          <w:color w:val="auto"/>
          <w:sz w:val="32"/>
          <w:szCs w:val="32"/>
          <w:lang w:eastAsia="zh-CN"/>
        </w:rPr>
        <w:t>分</w:t>
      </w:r>
      <w:r>
        <w:rPr>
          <w:rStyle w:val="11"/>
          <w:rFonts w:hint="eastAsia" w:ascii="仿宋_GB2312" w:hAnsi="仿宋_GB2312" w:eastAsia="仿宋_GB2312" w:cs="仿宋_GB2312"/>
          <w:b w:val="0"/>
          <w:color w:val="auto"/>
          <w:sz w:val="32"/>
          <w:szCs w:val="32"/>
        </w:rPr>
        <w:t>局、林草局、自然资源局、农牧局等部门负责监督建设用地单位进行环境保护及植被恢复等工作。</w:t>
      </w:r>
    </w:p>
    <w:p w14:paraId="19050A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第四十</w:t>
      </w:r>
      <w:r>
        <w:rPr>
          <w:rStyle w:val="11"/>
          <w:rFonts w:hint="eastAsia" w:ascii="仿宋_GB2312" w:hAnsi="仿宋_GB2312" w:eastAsia="仿宋_GB2312" w:cs="仿宋_GB2312"/>
          <w:color w:val="auto"/>
          <w:sz w:val="32"/>
          <w:szCs w:val="32"/>
          <w:lang w:val="en-US" w:eastAsia="zh-CN"/>
        </w:rPr>
        <w:t>九</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建设用地单位临时使用乡村道路，造成路面通行不畅的，由建设用地单位负责恢复原路况或按实际损毁情况予以补偿。</w:t>
      </w:r>
    </w:p>
    <w:p w14:paraId="00BF07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p>
    <w:p w14:paraId="3A1A43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r>
        <w:rPr>
          <w:rStyle w:val="11"/>
          <w:rFonts w:hint="eastAsia" w:ascii="黑体" w:hAnsi="黑体" w:eastAsia="黑体"/>
          <w:b w:val="0"/>
          <w:bCs w:val="0"/>
          <w:color w:val="auto"/>
          <w:sz w:val="32"/>
          <w:szCs w:val="32"/>
        </w:rPr>
        <w:t>第六章 监督管理</w:t>
      </w:r>
    </w:p>
    <w:p w14:paraId="4CF64C48">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1B22CA8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w:t>
      </w:r>
      <w:r>
        <w:rPr>
          <w:rStyle w:val="11"/>
          <w:rFonts w:hint="eastAsia" w:ascii="仿宋_GB2312" w:hAnsi="仿宋_GB2312" w:eastAsia="仿宋_GB2312" w:cs="仿宋_GB2312"/>
          <w:color w:val="auto"/>
          <w:sz w:val="32"/>
          <w:szCs w:val="32"/>
          <w:lang w:val="en-US" w:eastAsia="zh-CN"/>
        </w:rPr>
        <w:t>五</w:t>
      </w:r>
      <w:r>
        <w:rPr>
          <w:rStyle w:val="11"/>
          <w:rFonts w:hint="eastAsia" w:ascii="仿宋_GB2312" w:hAnsi="仿宋_GB2312" w:eastAsia="仿宋_GB2312" w:cs="仿宋_GB2312"/>
          <w:color w:val="auto"/>
          <w:sz w:val="32"/>
          <w:szCs w:val="32"/>
        </w:rPr>
        <w:t>十条</w:t>
      </w:r>
      <w:r>
        <w:rPr>
          <w:rStyle w:val="11"/>
          <w:rFonts w:hint="eastAsia" w:ascii="仿宋_GB2312" w:hAnsi="仿宋_GB2312" w:eastAsia="仿宋_GB2312" w:cs="仿宋_GB2312"/>
          <w:b w:val="0"/>
          <w:color w:val="auto"/>
          <w:sz w:val="32"/>
          <w:szCs w:val="32"/>
        </w:rPr>
        <w:t xml:space="preserve"> 各相关单位要按照“事前监管到位、事中处理到位、事后打击到位”的三到位原则，加强监督管理。</w:t>
      </w:r>
    </w:p>
    <w:p w14:paraId="3EA06C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一</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各苏木镇要履行属地管理责任，落实动态巡查，加强源头管控和日常监督。对发现的违法行为及时制止，必要时联合组织实施专项打击行动，已经形成的地上附着物必须限期自行清除，逾期未清除的，由属地苏木镇组织相关部门联合清除。</w:t>
      </w:r>
    </w:p>
    <w:p w14:paraId="5A310F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二</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建立健全违法行为举报制度，对外公布举报热线，积极倡导广大人民群众和社会各界对抢栽、抢种、抢建等违法行为进行监督、举报，受理举报部门对举报人和举报内容严格保密，切实保护举报人的合法权益。</w:t>
      </w:r>
    </w:p>
    <w:p w14:paraId="7969BC1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三</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凡经征地工作组调查符合下列情形之一的，认定为</w:t>
      </w:r>
      <w:bookmarkStart w:id="8" w:name="OLE_LINK5"/>
      <w:r>
        <w:rPr>
          <w:rStyle w:val="11"/>
          <w:rFonts w:hint="eastAsia" w:ascii="仿宋_GB2312" w:hAnsi="仿宋_GB2312" w:eastAsia="仿宋_GB2312" w:cs="仿宋_GB2312"/>
          <w:b w:val="0"/>
          <w:color w:val="auto"/>
          <w:sz w:val="32"/>
          <w:szCs w:val="32"/>
        </w:rPr>
        <w:t>抢栽、抢种、抢建,</w:t>
      </w:r>
      <w:bookmarkEnd w:id="8"/>
      <w:r>
        <w:rPr>
          <w:rStyle w:val="11"/>
          <w:rFonts w:hint="eastAsia" w:ascii="仿宋_GB2312" w:hAnsi="仿宋_GB2312" w:eastAsia="仿宋_GB2312" w:cs="仿宋_GB2312"/>
          <w:b w:val="0"/>
          <w:color w:val="auto"/>
          <w:sz w:val="32"/>
          <w:szCs w:val="32"/>
        </w:rPr>
        <w:t>一律不予补偿。</w:t>
      </w:r>
    </w:p>
    <w:p w14:paraId="583883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（一）栽种反季节、超密度、违反生长规律的林果苗木；多次多地突击移植的林果苗木。</w:t>
      </w:r>
    </w:p>
    <w:p w14:paraId="7DE7EC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（二）未取得合法手续，新建、扩建、改建房屋和改变房屋用途，临时搭建简易建（构）筑物。</w:t>
      </w:r>
    </w:p>
    <w:p w14:paraId="4FBE37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（三）建设数量明显不符合实际生产生活需求的地下室、机井、冷库等。</w:t>
      </w:r>
    </w:p>
    <w:p w14:paraId="2C571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（四）建设明显不符合农牧民日常生产生活需求的建（构）筑物或其他设施的。</w:t>
      </w:r>
    </w:p>
    <w:p w14:paraId="0BA00E0A">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color w:val="auto"/>
        </w:rPr>
      </w:pPr>
      <w:r>
        <w:rPr>
          <w:rStyle w:val="11"/>
          <w:rFonts w:hint="eastAsia" w:ascii="仿宋_GB2312" w:hAnsi="仿宋_GB2312" w:eastAsia="仿宋_GB2312" w:cs="仿宋_GB2312"/>
          <w:b w:val="0"/>
          <w:color w:val="auto"/>
          <w:sz w:val="32"/>
          <w:szCs w:val="32"/>
        </w:rPr>
        <w:t>（五）其他明显不是为生产生活建设的栽种和建设行为。</w:t>
      </w:r>
    </w:p>
    <w:p w14:paraId="1871FC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仿宋_GB2312" w:hAnsi="仿宋_GB2312" w:eastAsia="仿宋_GB2312" w:cs="仿宋_GB2312"/>
          <w:color w:val="auto"/>
          <w:sz w:val="32"/>
          <w:szCs w:val="32"/>
        </w:rPr>
      </w:pPr>
    </w:p>
    <w:p w14:paraId="6116C5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r>
        <w:rPr>
          <w:rStyle w:val="11"/>
          <w:rFonts w:hint="eastAsia" w:ascii="黑体" w:hAnsi="黑体" w:eastAsia="黑体"/>
          <w:b w:val="0"/>
          <w:bCs w:val="0"/>
          <w:color w:val="auto"/>
          <w:sz w:val="32"/>
          <w:szCs w:val="32"/>
        </w:rPr>
        <w:t>第七章 法律责任</w:t>
      </w:r>
    </w:p>
    <w:p w14:paraId="42872644">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5FB9E33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四</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属于下列情形之一的，以诈骗罪追究刑事责任；尚不构成犯罪的，由公安机关予以治安管理处罚。</w:t>
      </w:r>
    </w:p>
    <w:p w14:paraId="4305E3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（一）以抢栽抢种抢建等方式，弄虚作假，骗取征地补偿费的。</w:t>
      </w:r>
    </w:p>
    <w:p w14:paraId="4AB6C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（二）与征收土地无关的人员，通过为被征收人提供信息、财物或合股等方式参与抢栽抢种抢建，骗取报酬或参与征地补偿安置费分配的。</w:t>
      </w:r>
    </w:p>
    <w:p w14:paraId="273679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（三）非法占有集体土地，骗取征地补偿费的。</w:t>
      </w:r>
    </w:p>
    <w:p w14:paraId="31A136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（四）冒领、骗取征地补偿费的。</w:t>
      </w:r>
    </w:p>
    <w:p w14:paraId="1493D7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（五）其他符合构成犯罪和行政违法的行为。</w:t>
      </w:r>
    </w:p>
    <w:p w14:paraId="05A0978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五</w:t>
      </w:r>
      <w:r>
        <w:rPr>
          <w:rStyle w:val="11"/>
          <w:rFonts w:hint="eastAsia" w:ascii="仿宋_GB2312" w:hAnsi="仿宋_GB2312" w:eastAsia="仿宋_GB2312" w:cs="仿宋_GB2312"/>
          <w:color w:val="auto"/>
          <w:sz w:val="32"/>
          <w:szCs w:val="32"/>
        </w:rPr>
        <w:t xml:space="preserve">条 </w:t>
      </w:r>
      <w:r>
        <w:rPr>
          <w:rStyle w:val="11"/>
          <w:rFonts w:hint="eastAsia" w:ascii="仿宋_GB2312" w:hAnsi="仿宋_GB2312" w:eastAsia="仿宋_GB2312" w:cs="仿宋_GB2312"/>
          <w:b w:val="0"/>
          <w:color w:val="auto"/>
          <w:sz w:val="32"/>
          <w:szCs w:val="32"/>
        </w:rPr>
        <w:t>属于下列情形之一，以强迫交易罪、敲诈勒索罪追究刑事责任；尚不构成犯罪的，由公安机关予以治安管理处罚。</w:t>
      </w:r>
    </w:p>
    <w:p w14:paraId="0EB1B7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（一）被征收人在土地征收过程中不按规定补偿标准“漫天要价”，采取威胁、要挟等手段，胁迫项目用地单位接受不合理的补偿条件获取不当利益的。</w:t>
      </w:r>
    </w:p>
    <w:p w14:paraId="350B50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（二）通过签订“阴阳合同”、强揽工程、强迫交易等方式幕后交易，向项目用地单位索要额外征地补偿费用，获取非法高额补偿的。</w:t>
      </w:r>
    </w:p>
    <w:p w14:paraId="4E523C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（三）其他符合构成犯罪和行政违法的行为。</w:t>
      </w:r>
    </w:p>
    <w:p w14:paraId="505E1B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六</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有下列行为之一的，由公安机关以阻碍执行公务予以治安管理处罚；使用暴力、威胁方法实施前述行为，以妨害公务罪追究刑事责任。</w:t>
      </w:r>
    </w:p>
    <w:p w14:paraId="449137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（一）抗拒、阻挠国家机关工作人员依法制止和清除抢栽、抢种、抢建等行为的。</w:t>
      </w:r>
    </w:p>
    <w:p w14:paraId="728CA2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（二）阻碍征拆人员依法执行职务的其他行为。</w:t>
      </w:r>
    </w:p>
    <w:p w14:paraId="344630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（三）其他符合构成犯罪和行政违法的行为。</w:t>
      </w:r>
    </w:p>
    <w:p w14:paraId="465A2E6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w:t>
      </w:r>
      <w:r>
        <w:rPr>
          <w:rStyle w:val="11"/>
          <w:rFonts w:hint="eastAsia" w:ascii="仿宋_GB2312" w:hAnsi="仿宋_GB2312" w:eastAsia="仿宋_GB2312" w:cs="仿宋_GB2312"/>
          <w:color w:val="auto"/>
          <w:sz w:val="32"/>
          <w:szCs w:val="32"/>
          <w:lang w:val="en-US" w:eastAsia="zh-CN"/>
        </w:rPr>
        <w:t>五十七</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实施下列行为，由公安机关以扰乱单位秩序、聚众扰乱单位秩序、寻衅滋事予以治安管理处罚；聚众实施下列行为，造成严重损失，对首要分子和其他积极参加的，以聚众扰乱社会秩序罪追究刑事责任；以寻衅滋事罪追究刑事责任。</w:t>
      </w:r>
    </w:p>
    <w:p w14:paraId="5F910D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（一）采取在项目用地单位生产经营、工作等场所滞留、静坐的。</w:t>
      </w:r>
    </w:p>
    <w:p w14:paraId="2A31C0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（二）非法聚集等方式滋扰、纠缠，或采取拦截车辆、封门堵路的。</w:t>
      </w:r>
    </w:p>
    <w:p w14:paraId="440C36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（三）把生活不能自理的人员留置在生产工作场所的。</w:t>
      </w:r>
    </w:p>
    <w:p w14:paraId="1E88EF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（四）在召开村民会议讨论过程中蓄意捣乱、煽动不明真相人员阻止会议进行并造成不良影响的。</w:t>
      </w:r>
    </w:p>
    <w:p w14:paraId="1B4895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（五）其他符合构成犯罪和行政违法的行为。</w:t>
      </w:r>
    </w:p>
    <w:p w14:paraId="13B53E1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八</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项目用地单位未经审批非法占用农用地，符合刑法有关规定的，以非法占用农用地罪追究刑事责任，尚不构成犯罪的按照土地管理法相关规定，给予行政处罚。造成村民房屋、地上附着物等财产损失的，应当赔偿损失，构成犯罪的，依法追究刑事责任，尚不构成犯罪的，依法予以治安管理处罚。</w:t>
      </w:r>
    </w:p>
    <w:p w14:paraId="41F33B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第五十</w:t>
      </w:r>
      <w:r>
        <w:rPr>
          <w:rStyle w:val="11"/>
          <w:rFonts w:hint="eastAsia" w:ascii="仿宋_GB2312" w:hAnsi="仿宋_GB2312" w:eastAsia="仿宋_GB2312" w:cs="仿宋_GB2312"/>
          <w:color w:val="auto"/>
          <w:sz w:val="32"/>
          <w:szCs w:val="32"/>
          <w:lang w:val="en-US" w:eastAsia="zh-CN"/>
        </w:rPr>
        <w:t>九</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项目用地单位非法采用威胁、恐吓、断水、断电、断路、堵路等暴力的方式强制搬迁，给被征收人的正常生活造成严重影响或损失的，承担相应法律责任，构成犯罪依法追究刑事责任。</w:t>
      </w:r>
    </w:p>
    <w:p w14:paraId="73B7B1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w:t>
      </w:r>
      <w:r>
        <w:rPr>
          <w:rStyle w:val="11"/>
          <w:rFonts w:hint="eastAsia" w:ascii="仿宋_GB2312" w:hAnsi="仿宋_GB2312" w:eastAsia="仿宋_GB2312" w:cs="仿宋_GB2312"/>
          <w:color w:val="auto"/>
          <w:sz w:val="32"/>
          <w:szCs w:val="32"/>
          <w:lang w:val="en-US" w:eastAsia="zh-CN"/>
        </w:rPr>
        <w:t>六</w:t>
      </w:r>
      <w:r>
        <w:rPr>
          <w:rStyle w:val="11"/>
          <w:rFonts w:hint="eastAsia" w:ascii="仿宋_GB2312" w:hAnsi="仿宋_GB2312" w:eastAsia="仿宋_GB2312" w:cs="仿宋_GB2312"/>
          <w:color w:val="auto"/>
          <w:sz w:val="32"/>
          <w:szCs w:val="32"/>
        </w:rPr>
        <w:t>十条</w:t>
      </w:r>
      <w:r>
        <w:rPr>
          <w:rStyle w:val="11"/>
          <w:rFonts w:hint="eastAsia" w:ascii="仿宋_GB2312" w:hAnsi="仿宋_GB2312" w:eastAsia="仿宋_GB2312" w:cs="仿宋_GB2312"/>
          <w:b w:val="0"/>
          <w:color w:val="auto"/>
          <w:sz w:val="32"/>
          <w:szCs w:val="32"/>
        </w:rPr>
        <w:t xml:space="preserve"> 项目用地单位私自直接或变相给予被征收人标准以外的额外补偿，扰乱正常征地秩序，发改、工信、住建、能源、自然资源、林草等相关部门在项目审批、矿产资源出让、土地出让等方面采取限制批准等方式实施联合惩戒。</w:t>
      </w:r>
    </w:p>
    <w:p w14:paraId="6237EAD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一</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各单位未积极履行监管责任，监管不到位导致严重后果的，依纪依法追究相关部门和工作人员的责任。</w:t>
      </w:r>
    </w:p>
    <w:p w14:paraId="1C91373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二</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收土地预公告发布前，相关工作人员应当严格保密项目选址、土地征收等信息。国家机关工作人员泄露项目选址、土地征收等信息，或支持、指使、参与抢栽、抢种、抢建等违法行为的，严格依纪依规依法问责。党员干部、行使公权力人员（含村社干部）支持或参与抢栽、抢种、抢建行为的，按照有关规定从严从重处理。执法部门工作人员玩忽职守、滥用职权，未按照规定及时制止上述行为或行为发生后未按照法律法规规定及时采取行政处罚、行政强制等措施的，严格依纪依规依法追责问责。上述行为情节严重构成犯罪的，移交司法机关依法惩处。</w:t>
      </w:r>
    </w:p>
    <w:p w14:paraId="0A1D897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三</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应当启动强制征收程序未及时启动，造成相关建设项目进度严重滞后、项目无法实施或延迟履行补偿职责导致补偿费用增加，造成国有资产损失后果的，严格依纪依规依法问责，构成犯罪的移交司法机关依法惩处。</w:t>
      </w:r>
    </w:p>
    <w:p w14:paraId="389B155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四</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征拆人员徇私舞弊，违反土地管理法，滥用职权，非法批准征收、征用、占用土地，情节严重，符合刑法第四百一十条规定的，以非法批准征收、征用、占用土地罪追究刑事责任。</w:t>
      </w:r>
    </w:p>
    <w:p w14:paraId="3FCFD05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五</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在征地补偿工作中，有关部门及其工作人员侵吞、挪用征地补偿费用，符合刑法有关规定的，以职务侵占罪、挪用资金罪、贪污罪、挪用公款罪追究刑事责任。</w:t>
      </w:r>
    </w:p>
    <w:p w14:paraId="788C9E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黑体" w:hAnsi="黑体" w:eastAsia="黑体"/>
          <w:b w:val="0"/>
          <w:bCs w:val="0"/>
          <w:color w:val="auto"/>
          <w:sz w:val="32"/>
          <w:szCs w:val="32"/>
        </w:rPr>
      </w:pPr>
    </w:p>
    <w:p w14:paraId="7F33FE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ascii="黑体" w:hAnsi="黑体" w:eastAsia="黑体"/>
          <w:b w:val="0"/>
          <w:bCs w:val="0"/>
          <w:color w:val="auto"/>
          <w:sz w:val="32"/>
          <w:szCs w:val="32"/>
        </w:rPr>
      </w:pPr>
      <w:r>
        <w:rPr>
          <w:rStyle w:val="11"/>
          <w:rFonts w:hint="eastAsia" w:ascii="黑体" w:hAnsi="黑体" w:eastAsia="黑体"/>
          <w:b w:val="0"/>
          <w:bCs w:val="0"/>
          <w:color w:val="auto"/>
          <w:sz w:val="32"/>
          <w:szCs w:val="32"/>
        </w:rPr>
        <w:t>第八章 附  则</w:t>
      </w:r>
    </w:p>
    <w:p w14:paraId="731B01E3">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color w:val="auto"/>
        </w:rPr>
      </w:pPr>
    </w:p>
    <w:p w14:paraId="5440AD1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六</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本办法附件中未列入的补偿项目及价格标准，根据中介机构的评估结果给予补偿。</w:t>
      </w:r>
    </w:p>
    <w:p w14:paraId="2EEE233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七</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做好新旧标准衔接工作。</w:t>
      </w:r>
    </w:p>
    <w:p w14:paraId="3E4CF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1.凡在本办法生效前，已发布土地</w:t>
      </w:r>
      <w:bookmarkStart w:id="9" w:name="OLE_LINK7"/>
      <w:r>
        <w:rPr>
          <w:rStyle w:val="11"/>
          <w:rFonts w:hint="eastAsia" w:ascii="仿宋_GB2312" w:hAnsi="仿宋_GB2312" w:eastAsia="仿宋_GB2312" w:cs="仿宋_GB2312"/>
          <w:b w:val="0"/>
          <w:color w:val="auto"/>
          <w:sz w:val="32"/>
          <w:szCs w:val="32"/>
        </w:rPr>
        <w:t>征收</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征用</w:t>
      </w:r>
      <w:bookmarkEnd w:id="9"/>
      <w:r>
        <w:rPr>
          <w:rStyle w:val="11"/>
          <w:rFonts w:hint="eastAsia" w:ascii="仿宋_GB2312" w:hAnsi="仿宋_GB2312" w:eastAsia="仿宋_GB2312" w:cs="仿宋_GB2312"/>
          <w:b w:val="0"/>
          <w:color w:val="auto"/>
          <w:sz w:val="32"/>
          <w:szCs w:val="32"/>
        </w:rPr>
        <w:t>公告，但所有土地均未签订协议、未</w:t>
      </w:r>
      <w:r>
        <w:rPr>
          <w:rStyle w:val="11"/>
          <w:rFonts w:hint="eastAsia" w:ascii="仿宋_GB2312" w:hAnsi="仿宋_GB2312" w:eastAsia="仿宋_GB2312" w:cs="仿宋_GB2312"/>
          <w:b w:val="0"/>
          <w:color w:val="auto"/>
          <w:sz w:val="32"/>
          <w:szCs w:val="32"/>
          <w:lang w:val="en-US" w:eastAsia="zh-CN"/>
        </w:rPr>
        <w:t>按规定</w:t>
      </w:r>
      <w:r>
        <w:rPr>
          <w:rStyle w:val="11"/>
          <w:rFonts w:hint="eastAsia" w:ascii="仿宋_GB2312" w:hAnsi="仿宋_GB2312" w:eastAsia="仿宋_GB2312" w:cs="仿宋_GB2312"/>
          <w:b w:val="0"/>
          <w:color w:val="auto"/>
          <w:sz w:val="32"/>
          <w:szCs w:val="32"/>
        </w:rPr>
        <w:t>办理用地审批</w:t>
      </w:r>
      <w:r>
        <w:rPr>
          <w:rStyle w:val="11"/>
          <w:rFonts w:hint="eastAsia" w:ascii="仿宋_GB2312" w:hAnsi="仿宋_GB2312" w:eastAsia="仿宋_GB2312" w:cs="仿宋_GB2312"/>
          <w:b w:val="0"/>
          <w:color w:val="auto"/>
          <w:sz w:val="32"/>
          <w:szCs w:val="32"/>
          <w:lang w:val="en-US" w:eastAsia="zh-CN"/>
        </w:rPr>
        <w:t>手续</w:t>
      </w:r>
      <w:r>
        <w:rPr>
          <w:rStyle w:val="11"/>
          <w:rFonts w:hint="eastAsia" w:ascii="仿宋_GB2312" w:hAnsi="仿宋_GB2312" w:eastAsia="仿宋_GB2312" w:cs="仿宋_GB2312"/>
          <w:b w:val="0"/>
          <w:color w:val="auto"/>
          <w:sz w:val="32"/>
          <w:szCs w:val="32"/>
        </w:rPr>
        <w:t>的项目，均按照本办法的标准和程序实施。</w:t>
      </w:r>
    </w:p>
    <w:p w14:paraId="0C87EB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2.凡在本办法生效前，所有土地均已签订征收</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征用补偿</w:t>
      </w:r>
      <w:r>
        <w:rPr>
          <w:rStyle w:val="11"/>
          <w:rFonts w:hint="eastAsia" w:ascii="仿宋_GB2312" w:hAnsi="仿宋_GB2312" w:eastAsia="仿宋_GB2312" w:cs="仿宋_GB2312"/>
          <w:b w:val="0"/>
          <w:color w:val="auto"/>
          <w:sz w:val="32"/>
          <w:szCs w:val="32"/>
        </w:rPr>
        <w:t>协议并已补偿到位</w:t>
      </w:r>
      <w:r>
        <w:rPr>
          <w:rStyle w:val="11"/>
          <w:rFonts w:hint="eastAsia" w:ascii="仿宋_GB2312" w:hAnsi="仿宋_GB2312" w:eastAsia="仿宋_GB2312" w:cs="仿宋_GB2312"/>
          <w:b w:val="0"/>
          <w:color w:val="auto"/>
          <w:sz w:val="32"/>
          <w:szCs w:val="32"/>
          <w:lang w:val="en-US" w:eastAsia="zh-CN"/>
        </w:rPr>
        <w:t>的</w:t>
      </w:r>
      <w:r>
        <w:rPr>
          <w:rStyle w:val="11"/>
          <w:rFonts w:hint="eastAsia" w:ascii="仿宋_GB2312" w:hAnsi="仿宋_GB2312" w:eastAsia="仿宋_GB2312" w:cs="仿宋_GB2312"/>
          <w:b w:val="0"/>
          <w:color w:val="auto"/>
          <w:sz w:val="32"/>
          <w:szCs w:val="32"/>
        </w:rPr>
        <w:t>，需办理征收</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征用及</w:t>
      </w:r>
      <w:r>
        <w:rPr>
          <w:rStyle w:val="11"/>
          <w:rFonts w:hint="eastAsia" w:ascii="仿宋_GB2312" w:hAnsi="仿宋_GB2312" w:eastAsia="仿宋_GB2312" w:cs="仿宋_GB2312"/>
          <w:b w:val="0"/>
          <w:color w:val="auto"/>
          <w:sz w:val="32"/>
          <w:szCs w:val="32"/>
        </w:rPr>
        <w:t>农用地转用审批手续</w:t>
      </w:r>
      <w:r>
        <w:rPr>
          <w:rStyle w:val="11"/>
          <w:rFonts w:hint="eastAsia" w:ascii="仿宋_GB2312" w:hAnsi="仿宋_GB2312" w:eastAsia="仿宋_GB2312" w:cs="仿宋_GB2312"/>
          <w:b w:val="0"/>
          <w:color w:val="auto"/>
          <w:sz w:val="32"/>
          <w:szCs w:val="32"/>
          <w:lang w:val="en-US" w:eastAsia="zh-CN"/>
        </w:rPr>
        <w:t>的</w:t>
      </w:r>
      <w:r>
        <w:rPr>
          <w:rStyle w:val="11"/>
          <w:rFonts w:hint="eastAsia" w:ascii="仿宋_GB2312" w:hAnsi="仿宋_GB2312" w:eastAsia="仿宋_GB2312" w:cs="仿宋_GB2312"/>
          <w:b w:val="0"/>
          <w:color w:val="auto"/>
          <w:sz w:val="32"/>
          <w:szCs w:val="32"/>
        </w:rPr>
        <w:t>，仍履行已生效协议不予补差。村民委员会按要求出具报批组卷相关材料。</w:t>
      </w:r>
    </w:p>
    <w:p w14:paraId="6295A6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3.凡在本办法生效前，正在实施的征收</w:t>
      </w:r>
      <w:r>
        <w:rPr>
          <w:rStyle w:val="11"/>
          <w:rFonts w:hint="eastAsia" w:ascii="仿宋_GB2312" w:hAnsi="仿宋_GB2312" w:eastAsia="仿宋_GB2312" w:cs="仿宋_GB2312"/>
          <w:b w:val="0"/>
          <w:color w:val="auto"/>
          <w:sz w:val="32"/>
          <w:szCs w:val="32"/>
          <w:lang w:eastAsia="zh-CN"/>
        </w:rPr>
        <w:t>、</w:t>
      </w:r>
      <w:r>
        <w:rPr>
          <w:rStyle w:val="11"/>
          <w:rFonts w:hint="eastAsia" w:ascii="仿宋_GB2312" w:hAnsi="仿宋_GB2312" w:eastAsia="仿宋_GB2312" w:cs="仿宋_GB2312"/>
          <w:b w:val="0"/>
          <w:color w:val="auto"/>
          <w:sz w:val="32"/>
          <w:szCs w:val="32"/>
          <w:lang w:val="en-US" w:eastAsia="zh-CN"/>
        </w:rPr>
        <w:t>征用土</w:t>
      </w:r>
      <w:r>
        <w:rPr>
          <w:rStyle w:val="11"/>
          <w:rFonts w:hint="eastAsia" w:ascii="仿宋_GB2312" w:hAnsi="仿宋_GB2312" w:eastAsia="仿宋_GB2312" w:cs="仿宋_GB2312"/>
          <w:b w:val="0"/>
          <w:color w:val="auto"/>
          <w:sz w:val="32"/>
          <w:szCs w:val="32"/>
        </w:rPr>
        <w:t>地项目，部分农牧民已领取征地补偿费，但未</w:t>
      </w:r>
      <w:r>
        <w:rPr>
          <w:rStyle w:val="11"/>
          <w:rFonts w:hint="eastAsia" w:ascii="仿宋_GB2312" w:hAnsi="仿宋_GB2312" w:eastAsia="仿宋_GB2312" w:cs="仿宋_GB2312"/>
          <w:b w:val="0"/>
          <w:color w:val="auto"/>
          <w:sz w:val="32"/>
          <w:szCs w:val="32"/>
          <w:lang w:val="en-US" w:eastAsia="zh-CN"/>
        </w:rPr>
        <w:t>按规定</w:t>
      </w:r>
      <w:r>
        <w:rPr>
          <w:rStyle w:val="11"/>
          <w:rFonts w:hint="eastAsia" w:ascii="仿宋_GB2312" w:hAnsi="仿宋_GB2312" w:eastAsia="仿宋_GB2312" w:cs="仿宋_GB2312"/>
          <w:b w:val="0"/>
          <w:color w:val="auto"/>
          <w:sz w:val="32"/>
          <w:szCs w:val="32"/>
        </w:rPr>
        <w:t>完成</w:t>
      </w:r>
      <w:r>
        <w:rPr>
          <w:rStyle w:val="11"/>
          <w:rFonts w:hint="eastAsia" w:ascii="仿宋_GB2312" w:hAnsi="仿宋_GB2312" w:eastAsia="仿宋_GB2312" w:cs="仿宋_GB2312"/>
          <w:b w:val="0"/>
          <w:color w:val="auto"/>
          <w:sz w:val="32"/>
          <w:szCs w:val="32"/>
          <w:lang w:val="en-US" w:eastAsia="zh-CN"/>
        </w:rPr>
        <w:t>用地审批</w:t>
      </w:r>
      <w:r>
        <w:rPr>
          <w:rStyle w:val="11"/>
          <w:rFonts w:hint="eastAsia" w:ascii="仿宋_GB2312" w:hAnsi="仿宋_GB2312" w:eastAsia="仿宋_GB2312" w:cs="仿宋_GB2312"/>
          <w:b w:val="0"/>
          <w:color w:val="auto"/>
          <w:sz w:val="32"/>
          <w:szCs w:val="32"/>
        </w:rPr>
        <w:t>手续的均按本办法的标准执行，由自然资源局与苏木镇、村民委员会或集体经济组织签定补差协议。</w:t>
      </w:r>
    </w:p>
    <w:p w14:paraId="601B4E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Style w:val="11"/>
          <w:rFonts w:hint="eastAsia" w:ascii="仿宋_GB2312" w:hAnsi="仿宋_GB2312" w:eastAsia="仿宋_GB2312" w:cs="仿宋_GB2312"/>
          <w:b w:val="0"/>
          <w:color w:val="auto"/>
          <w:sz w:val="32"/>
          <w:szCs w:val="32"/>
        </w:rPr>
        <w:t>4.本办法</w:t>
      </w:r>
      <w:r>
        <w:rPr>
          <w:rFonts w:hint="eastAsia" w:ascii="仿宋_GB2312" w:hAnsi="仿宋_GB2312" w:eastAsia="仿宋_GB2312" w:cs="仿宋_GB2312"/>
          <w:bCs/>
          <w:color w:val="auto"/>
          <w:sz w:val="32"/>
          <w:szCs w:val="32"/>
        </w:rPr>
        <w:t>生效后，</w:t>
      </w:r>
      <w:r>
        <w:rPr>
          <w:rFonts w:hint="eastAsia" w:ascii="仿宋_GB2312" w:hAnsi="仿宋_GB2312" w:eastAsia="仿宋_GB2312" w:cs="仿宋_GB2312"/>
          <w:bCs/>
          <w:color w:val="auto"/>
          <w:sz w:val="32"/>
          <w:szCs w:val="32"/>
          <w:lang w:val="en-US" w:eastAsia="zh-CN"/>
        </w:rPr>
        <w:t>露天</w:t>
      </w:r>
      <w:r>
        <w:rPr>
          <w:rStyle w:val="11"/>
          <w:rFonts w:hint="eastAsia" w:ascii="仿宋_GB2312" w:hAnsi="仿宋_GB2312" w:eastAsia="仿宋_GB2312" w:cs="仿宋_GB2312"/>
          <w:b w:val="0"/>
          <w:color w:val="auto"/>
          <w:sz w:val="32"/>
          <w:szCs w:val="32"/>
        </w:rPr>
        <w:t>煤矿采矿用地</w:t>
      </w:r>
      <w:r>
        <w:rPr>
          <w:rFonts w:hint="eastAsia" w:ascii="仿宋_GB2312" w:hAnsi="仿宋_GB2312" w:eastAsia="仿宋_GB2312" w:cs="仿宋_GB2312"/>
          <w:color w:val="auto"/>
          <w:sz w:val="32"/>
          <w:szCs w:val="32"/>
        </w:rPr>
        <w:t>属于已经批复的临时用地（先行用地）在批复期限内无法完成复垦还地的，或未获批临时用地（先行用地）但已经签定临时用地协议并补偿到位的，均应办理建设用地审批手续，</w:t>
      </w:r>
      <w:r>
        <w:rPr>
          <w:rStyle w:val="11"/>
          <w:rFonts w:hint="eastAsia" w:ascii="仿宋_GB2312" w:hAnsi="仿宋_GB2312" w:eastAsia="仿宋_GB2312" w:cs="仿宋_GB2312"/>
          <w:b w:val="0"/>
          <w:color w:val="auto"/>
          <w:sz w:val="32"/>
          <w:szCs w:val="32"/>
        </w:rPr>
        <w:t>原则上由自然资源局</w:t>
      </w:r>
      <w:r>
        <w:rPr>
          <w:rFonts w:hint="eastAsia" w:ascii="仿宋_GB2312" w:hAnsi="仿宋_GB2312" w:eastAsia="仿宋_GB2312" w:cs="仿宋_GB2312"/>
          <w:color w:val="auto"/>
          <w:sz w:val="32"/>
          <w:szCs w:val="32"/>
        </w:rPr>
        <w:t>按照本办法标准</w:t>
      </w:r>
      <w:r>
        <w:rPr>
          <w:rStyle w:val="11"/>
          <w:rFonts w:hint="eastAsia" w:ascii="仿宋_GB2312" w:hAnsi="仿宋_GB2312" w:eastAsia="仿宋_GB2312" w:cs="仿宋_GB2312"/>
          <w:b w:val="0"/>
          <w:color w:val="auto"/>
          <w:sz w:val="32"/>
          <w:szCs w:val="32"/>
        </w:rPr>
        <w:t>与苏木镇、农村集体经济组织或村民委员会签定补偿协议，</w:t>
      </w:r>
      <w:r>
        <w:rPr>
          <w:rFonts w:hint="eastAsia" w:ascii="仿宋_GB2312" w:hAnsi="仿宋_GB2312" w:eastAsia="仿宋_GB2312" w:cs="仿宋_GB2312"/>
          <w:color w:val="auto"/>
          <w:sz w:val="32"/>
          <w:szCs w:val="32"/>
        </w:rPr>
        <w:t>补齐差价。对于煤矿临时用地（先行用地）协议签订之日起已使用年限超出三年的，应考虑合同约定年限及已使用年限等因素，确定补差数额。</w:t>
      </w:r>
    </w:p>
    <w:p w14:paraId="1AFB37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bookmarkStart w:id="10" w:name="OLE_LINK9"/>
      <w:bookmarkStart w:id="11" w:name="OLE_LINK13"/>
      <w:r>
        <w:rPr>
          <w:rFonts w:hint="eastAsia" w:ascii="仿宋_GB2312" w:hAnsi="仿宋_GB2312" w:eastAsia="仿宋_GB2312" w:cs="仿宋_GB2312"/>
          <w:color w:val="auto"/>
          <w:sz w:val="32"/>
          <w:szCs w:val="32"/>
        </w:rPr>
        <w:t>本办法</w:t>
      </w:r>
      <w:bookmarkEnd w:id="10"/>
      <w:r>
        <w:rPr>
          <w:rFonts w:hint="eastAsia" w:ascii="仿宋_GB2312" w:hAnsi="仿宋_GB2312" w:eastAsia="仿宋_GB2312" w:cs="仿宋_GB2312"/>
          <w:color w:val="auto"/>
          <w:sz w:val="32"/>
          <w:szCs w:val="32"/>
        </w:rPr>
        <w:t>生效后，</w:t>
      </w:r>
      <w:bookmarkEnd w:id="11"/>
      <w:bookmarkStart w:id="12" w:name="OLE_LINK8"/>
      <w:r>
        <w:rPr>
          <w:rFonts w:hint="eastAsia" w:ascii="仿宋_GB2312" w:hAnsi="仿宋_GB2312" w:eastAsia="仿宋_GB2312" w:cs="仿宋_GB2312"/>
          <w:color w:val="auto"/>
          <w:sz w:val="32"/>
          <w:szCs w:val="32"/>
        </w:rPr>
        <w:t>井工矿用地企业已与农牧民签订</w:t>
      </w:r>
      <w:bookmarkEnd w:id="12"/>
      <w:r>
        <w:rPr>
          <w:rFonts w:hint="eastAsia" w:ascii="仿宋_GB2312" w:hAnsi="仿宋_GB2312" w:eastAsia="仿宋_GB2312" w:cs="仿宋_GB2312"/>
          <w:color w:val="auto"/>
          <w:sz w:val="32"/>
          <w:szCs w:val="32"/>
        </w:rPr>
        <w:t>土地流转</w:t>
      </w:r>
      <w:r>
        <w:rPr>
          <w:rFonts w:hint="eastAsia" w:ascii="仿宋_GB2312" w:hAnsi="仿宋_GB2312" w:eastAsia="仿宋_GB2312" w:cs="仿宋_GB2312"/>
          <w:color w:val="auto"/>
          <w:sz w:val="32"/>
          <w:szCs w:val="32"/>
          <w:lang w:val="en-US" w:eastAsia="zh-CN"/>
        </w:rPr>
        <w:t>协议</w:t>
      </w:r>
      <w:r>
        <w:rPr>
          <w:rFonts w:hint="eastAsia" w:ascii="仿宋_GB2312" w:hAnsi="仿宋_GB2312" w:eastAsia="仿宋_GB2312" w:cs="仿宋_GB2312"/>
          <w:color w:val="auto"/>
          <w:sz w:val="32"/>
          <w:szCs w:val="32"/>
        </w:rPr>
        <w:t>的，土地流转补偿按本办法标准执行。</w:t>
      </w:r>
    </w:p>
    <w:p w14:paraId="7AC6F2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本办法生效</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rPr>
        <w:t>，井工矿用地企业</w:t>
      </w:r>
      <w:r>
        <w:rPr>
          <w:rFonts w:hint="eastAsia" w:ascii="仿宋_GB2312" w:hAnsi="仿宋_GB2312" w:eastAsia="仿宋_GB2312" w:cs="仿宋_GB2312"/>
          <w:color w:val="auto"/>
          <w:sz w:val="32"/>
          <w:szCs w:val="32"/>
          <w:lang w:eastAsia="zh-CN"/>
        </w:rPr>
        <w:t>已</w:t>
      </w:r>
      <w:r>
        <w:rPr>
          <w:rFonts w:hint="eastAsia" w:ascii="仿宋_GB2312" w:hAnsi="仿宋_GB2312" w:eastAsia="仿宋_GB2312" w:cs="仿宋_GB2312"/>
          <w:color w:val="auto"/>
          <w:sz w:val="32"/>
          <w:szCs w:val="32"/>
        </w:rPr>
        <w:t>与农牧民签订</w:t>
      </w:r>
      <w:r>
        <w:rPr>
          <w:rFonts w:hint="eastAsia" w:ascii="仿宋_GB2312" w:hAnsi="仿宋_GB2312" w:eastAsia="仿宋_GB2312" w:cs="仿宋_GB2312"/>
          <w:color w:val="auto"/>
          <w:sz w:val="32"/>
          <w:szCs w:val="32"/>
          <w:lang w:val="en-US" w:eastAsia="zh-CN"/>
        </w:rPr>
        <w:t>塌陷补偿协议</w:t>
      </w:r>
      <w:bookmarkStart w:id="13" w:name="OLE_LINK11"/>
      <w:r>
        <w:rPr>
          <w:rFonts w:hint="eastAsia" w:ascii="仿宋_GB2312" w:hAnsi="仿宋_GB2312" w:eastAsia="仿宋_GB2312" w:cs="仿宋_GB2312"/>
          <w:color w:val="auto"/>
          <w:sz w:val="32"/>
          <w:szCs w:val="32"/>
          <w:lang w:val="en-US" w:eastAsia="zh-CN"/>
        </w:rPr>
        <w:t>，补偿协议约定</w:t>
      </w:r>
      <w:r>
        <w:rPr>
          <w:rFonts w:hint="eastAsia" w:ascii="仿宋_GB2312" w:hAnsi="仿宋_GB2312" w:eastAsia="仿宋_GB2312" w:cs="仿宋_GB2312"/>
          <w:color w:val="auto"/>
          <w:sz w:val="32"/>
          <w:szCs w:val="32"/>
        </w:rPr>
        <w:t>土地塌陷补偿周期</w:t>
      </w:r>
      <w:r>
        <w:rPr>
          <w:rFonts w:hint="eastAsia" w:ascii="仿宋_GB2312" w:hAnsi="仿宋_GB2312" w:eastAsia="仿宋_GB2312" w:cs="仿宋_GB2312"/>
          <w:color w:val="auto"/>
          <w:sz w:val="32"/>
          <w:szCs w:val="32"/>
          <w:lang w:val="en-US" w:eastAsia="zh-CN"/>
        </w:rPr>
        <w:t>超出</w:t>
      </w:r>
      <w:r>
        <w:rPr>
          <w:rFonts w:hint="eastAsia" w:ascii="仿宋_GB2312" w:hAnsi="仿宋_GB2312" w:eastAsia="仿宋_GB2312" w:cs="仿宋_GB2312"/>
          <w:color w:val="auto"/>
          <w:sz w:val="32"/>
          <w:szCs w:val="32"/>
        </w:rPr>
        <w:t>本办法</w:t>
      </w:r>
      <w:r>
        <w:rPr>
          <w:rFonts w:hint="eastAsia" w:ascii="仿宋_GB2312" w:hAnsi="仿宋_GB2312" w:eastAsia="仿宋_GB2312" w:cs="仿宋_GB2312"/>
          <w:color w:val="auto"/>
          <w:sz w:val="32"/>
          <w:szCs w:val="32"/>
          <w:lang w:val="en-US" w:eastAsia="zh-CN"/>
        </w:rPr>
        <w:t>补偿周期的</w:t>
      </w:r>
      <w:bookmarkEnd w:id="13"/>
      <w:r>
        <w:rPr>
          <w:rFonts w:hint="eastAsia" w:ascii="仿宋_GB2312" w:hAnsi="仿宋_GB2312" w:eastAsia="仿宋_GB2312" w:cs="仿宋_GB2312"/>
          <w:color w:val="auto"/>
          <w:sz w:val="32"/>
          <w:szCs w:val="32"/>
          <w:lang w:val="en-US" w:eastAsia="zh-CN"/>
        </w:rPr>
        <w:t>，按本办法执行。</w:t>
      </w:r>
      <w:r>
        <w:rPr>
          <w:rFonts w:hint="eastAsia" w:ascii="仿宋_GB2312" w:hAnsi="仿宋_GB2312" w:eastAsia="仿宋_GB2312" w:cs="仿宋_GB2312"/>
          <w:color w:val="auto"/>
          <w:sz w:val="32"/>
          <w:szCs w:val="32"/>
        </w:rPr>
        <w:t>到期后，塌陷区未完成土地复垦、生态修复治理</w:t>
      </w:r>
      <w:r>
        <w:rPr>
          <w:rFonts w:hint="eastAsia" w:ascii="仿宋_GB2312" w:hAnsi="仿宋_GB2312" w:eastAsia="仿宋_GB2312" w:cs="仿宋_GB2312"/>
          <w:color w:val="auto"/>
          <w:sz w:val="32"/>
          <w:szCs w:val="32"/>
          <w:lang w:val="en-US" w:eastAsia="zh-CN"/>
        </w:rPr>
        <w:t>的补偿、养老保障补贴</w:t>
      </w:r>
      <w:bookmarkStart w:id="14" w:name="OLE_LINK12"/>
      <w:r>
        <w:rPr>
          <w:rFonts w:hint="eastAsia" w:ascii="仿宋_GB2312" w:hAnsi="仿宋_GB2312" w:eastAsia="仿宋_GB2312" w:cs="仿宋_GB2312"/>
          <w:color w:val="auto"/>
          <w:sz w:val="32"/>
          <w:szCs w:val="32"/>
          <w:lang w:val="en-US" w:eastAsia="zh-CN"/>
        </w:rPr>
        <w:t>按本办法执行</w:t>
      </w:r>
      <w:bookmarkEnd w:id="14"/>
      <w:r>
        <w:rPr>
          <w:rFonts w:hint="eastAsia" w:ascii="仿宋_GB2312" w:hAnsi="仿宋_GB2312" w:eastAsia="仿宋_GB2312" w:cs="仿宋_GB2312"/>
          <w:color w:val="auto"/>
          <w:sz w:val="32"/>
          <w:szCs w:val="32"/>
          <w:lang w:val="en-US" w:eastAsia="zh-CN"/>
        </w:rPr>
        <w:t>。</w:t>
      </w:r>
    </w:p>
    <w:p w14:paraId="0E041C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八</w:t>
      </w:r>
      <w:r>
        <w:rPr>
          <w:rStyle w:val="11"/>
          <w:rFonts w:hint="eastAsia" w:ascii="仿宋_GB2312" w:hAnsi="仿宋_GB2312" w:eastAsia="仿宋_GB2312" w:cs="仿宋_GB2312"/>
          <w:color w:val="auto"/>
          <w:sz w:val="32"/>
          <w:szCs w:val="32"/>
        </w:rPr>
        <w:t xml:space="preserve">条 </w:t>
      </w:r>
      <w:r>
        <w:rPr>
          <w:rStyle w:val="11"/>
          <w:rFonts w:hint="eastAsia" w:ascii="仿宋_GB2312" w:hAnsi="仿宋_GB2312" w:eastAsia="仿宋_GB2312" w:cs="仿宋_GB2312"/>
          <w:b w:val="0"/>
          <w:color w:val="auto"/>
          <w:sz w:val="32"/>
          <w:szCs w:val="32"/>
        </w:rPr>
        <w:t>本办法自公布之日起</w:t>
      </w:r>
      <w:r>
        <w:rPr>
          <w:rStyle w:val="11"/>
          <w:rFonts w:hint="eastAsia" w:ascii="仿宋_GB2312" w:hAnsi="仿宋_GB2312" w:eastAsia="仿宋_GB2312" w:cs="仿宋_GB2312"/>
          <w:b w:val="0"/>
          <w:color w:val="auto"/>
          <w:sz w:val="32"/>
          <w:szCs w:val="32"/>
          <w:lang w:eastAsia="zh-CN"/>
        </w:rPr>
        <w:t>施行</w:t>
      </w:r>
      <w:r>
        <w:rPr>
          <w:rStyle w:val="11"/>
          <w:rFonts w:hint="eastAsia" w:ascii="仿宋_GB2312" w:hAnsi="仿宋_GB2312" w:eastAsia="仿宋_GB2312" w:cs="仿宋_GB2312"/>
          <w:b w:val="0"/>
          <w:color w:val="auto"/>
          <w:sz w:val="32"/>
          <w:szCs w:val="32"/>
        </w:rPr>
        <w:t>，有效期至2027年12月31日。达拉特旗人民政府《关于印发达拉特旗矿区采矿临时使用集体土地及移民安置补偿办法的通知》（达政发〔2022〕63号）同时废止。</w:t>
      </w:r>
    </w:p>
    <w:p w14:paraId="271FED1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color w:val="auto"/>
          <w:sz w:val="32"/>
          <w:szCs w:val="32"/>
        </w:rPr>
        <w:t>第六十</w:t>
      </w:r>
      <w:r>
        <w:rPr>
          <w:rStyle w:val="11"/>
          <w:rFonts w:hint="eastAsia" w:ascii="仿宋_GB2312" w:hAnsi="仿宋_GB2312" w:eastAsia="仿宋_GB2312" w:cs="仿宋_GB2312"/>
          <w:color w:val="auto"/>
          <w:sz w:val="32"/>
          <w:szCs w:val="32"/>
          <w:lang w:val="en-US" w:eastAsia="zh-CN"/>
        </w:rPr>
        <w:t>九</w:t>
      </w:r>
      <w:r>
        <w:rPr>
          <w:rStyle w:val="11"/>
          <w:rFonts w:hint="eastAsia" w:ascii="仿宋_GB2312" w:hAnsi="仿宋_GB2312" w:eastAsia="仿宋_GB2312" w:cs="仿宋_GB2312"/>
          <w:color w:val="auto"/>
          <w:sz w:val="32"/>
          <w:szCs w:val="32"/>
        </w:rPr>
        <w:t>条</w:t>
      </w:r>
      <w:r>
        <w:rPr>
          <w:rStyle w:val="11"/>
          <w:rFonts w:hint="eastAsia" w:ascii="仿宋_GB2312" w:hAnsi="仿宋_GB2312" w:eastAsia="仿宋_GB2312" w:cs="仿宋_GB2312"/>
          <w:b w:val="0"/>
          <w:color w:val="auto"/>
          <w:sz w:val="32"/>
          <w:szCs w:val="32"/>
        </w:rPr>
        <w:t xml:space="preserve"> 本办法由达拉特旗自然资源局负责解释。</w:t>
      </w:r>
    </w:p>
    <w:p w14:paraId="02FA6596">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Style w:val="11"/>
          <w:rFonts w:ascii="仿宋_GB2312" w:hAnsi="仿宋_GB2312" w:eastAsia="仿宋_GB2312" w:cs="仿宋_GB2312"/>
          <w:b w:val="0"/>
          <w:color w:val="auto"/>
          <w:sz w:val="32"/>
          <w:szCs w:val="32"/>
        </w:rPr>
      </w:pPr>
    </w:p>
    <w:p w14:paraId="7DAF81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附件：1.征收土地补偿标准表</w:t>
      </w:r>
    </w:p>
    <w:p w14:paraId="6265BFE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2.房屋补偿标准表</w:t>
      </w:r>
    </w:p>
    <w:p w14:paraId="373C7C9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3.附着物补偿标准表</w:t>
      </w:r>
    </w:p>
    <w:p w14:paraId="6CCFBAFB">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4.养殖棚圈补偿标准表</w:t>
      </w:r>
    </w:p>
    <w:p w14:paraId="10331C14">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5.养殖水面土方工程补偿标准表</w:t>
      </w:r>
    </w:p>
    <w:p w14:paraId="0CE306C1">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6.温室大棚补偿标准表</w:t>
      </w:r>
    </w:p>
    <w:p w14:paraId="18A9B1A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7.零星林木药材补偿标准表</w:t>
      </w:r>
    </w:p>
    <w:p w14:paraId="1BF10782">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8.临时征用土地补偿标准表</w:t>
      </w:r>
    </w:p>
    <w:p w14:paraId="6204BCEE">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9.迁坟补偿标准表</w:t>
      </w:r>
    </w:p>
    <w:p w14:paraId="27A9CF33">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Style w:val="11"/>
          <w:rFonts w:ascii="仿宋_GB2312" w:hAnsi="仿宋_GB2312" w:eastAsia="仿宋_GB2312" w:cs="仿宋_GB2312"/>
          <w:b w:val="0"/>
          <w:color w:val="auto"/>
          <w:sz w:val="32"/>
          <w:szCs w:val="32"/>
        </w:rPr>
      </w:pPr>
      <w:r>
        <w:rPr>
          <w:rStyle w:val="11"/>
          <w:rFonts w:hint="eastAsia" w:ascii="仿宋_GB2312" w:hAnsi="仿宋_GB2312" w:eastAsia="仿宋_GB2312" w:cs="仿宋_GB2312"/>
          <w:b w:val="0"/>
          <w:color w:val="auto"/>
          <w:sz w:val="32"/>
          <w:szCs w:val="32"/>
        </w:rPr>
        <w:t>10.青苗补偿标准表</w:t>
      </w:r>
    </w:p>
    <w:p w14:paraId="4EB608B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auto"/>
          <w:sz w:val="32"/>
          <w:szCs w:val="32"/>
        </w:rPr>
        <w:sectPr>
          <w:footerReference r:id="rId3" w:type="default"/>
          <w:pgSz w:w="11906" w:h="16840"/>
          <w:pgMar w:top="2098" w:right="1474" w:bottom="1984" w:left="1587" w:header="0" w:footer="1440" w:gutter="0"/>
          <w:pgNumType w:fmt="numberInDash"/>
          <w:cols w:space="720" w:num="1"/>
          <w:docGrid w:type="lines" w:linePitch="1" w:charSpace="0"/>
        </w:sectPr>
      </w:pPr>
    </w:p>
    <w:p w14:paraId="494003F9">
      <w:pPr>
        <w:jc w:val="left"/>
        <w:rPr>
          <w:rFonts w:ascii="黑体" w:hAnsi="黑体" w:eastAsia="黑体"/>
          <w:color w:val="auto"/>
          <w:sz w:val="32"/>
          <w:szCs w:val="32"/>
        </w:rPr>
      </w:pPr>
      <w:r>
        <w:rPr>
          <w:rFonts w:hint="eastAsia" w:ascii="黑体" w:hAnsi="黑体" w:eastAsia="黑体"/>
          <w:color w:val="auto"/>
          <w:sz w:val="32"/>
          <w:szCs w:val="32"/>
        </w:rPr>
        <w:t>附件1</w:t>
      </w:r>
    </w:p>
    <w:tbl>
      <w:tblPr>
        <w:tblStyle w:val="8"/>
        <w:tblW w:w="0" w:type="auto"/>
        <w:tblInd w:w="0" w:type="dxa"/>
        <w:tblLayout w:type="fixed"/>
        <w:tblCellMar>
          <w:top w:w="0" w:type="dxa"/>
          <w:left w:w="108" w:type="dxa"/>
          <w:bottom w:w="0" w:type="dxa"/>
          <w:right w:w="108" w:type="dxa"/>
        </w:tblCellMar>
      </w:tblPr>
      <w:tblGrid>
        <w:gridCol w:w="691"/>
        <w:gridCol w:w="4515"/>
        <w:gridCol w:w="2226"/>
        <w:gridCol w:w="706"/>
        <w:gridCol w:w="1038"/>
      </w:tblGrid>
      <w:tr w14:paraId="0D8C7CF9">
        <w:tblPrEx>
          <w:tblCellMar>
            <w:top w:w="0" w:type="dxa"/>
            <w:left w:w="108" w:type="dxa"/>
            <w:bottom w:w="0" w:type="dxa"/>
            <w:right w:w="108" w:type="dxa"/>
          </w:tblCellMar>
        </w:tblPrEx>
        <w:trPr>
          <w:trHeight w:val="1021" w:hRule="atLeast"/>
        </w:trPr>
        <w:tc>
          <w:tcPr>
            <w:tcW w:w="9176" w:type="dxa"/>
            <w:gridSpan w:val="5"/>
            <w:tcBorders>
              <w:top w:val="nil"/>
              <w:left w:val="nil"/>
              <w:bottom w:val="nil"/>
              <w:right w:val="nil"/>
            </w:tcBorders>
            <w:noWrap w:val="0"/>
            <w:vAlign w:val="center"/>
          </w:tcPr>
          <w:p w14:paraId="6EE31304">
            <w:pPr>
              <w:widowControl/>
              <w:jc w:val="center"/>
              <w:rPr>
                <w:rFonts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32"/>
                <w:szCs w:val="32"/>
              </w:rPr>
              <w:t>征收土地补偿标准表</w:t>
            </w:r>
          </w:p>
        </w:tc>
      </w:tr>
      <w:tr w14:paraId="4F82ACB4">
        <w:tblPrEx>
          <w:tblCellMar>
            <w:top w:w="0" w:type="dxa"/>
            <w:left w:w="108" w:type="dxa"/>
            <w:bottom w:w="0" w:type="dxa"/>
            <w:right w:w="108" w:type="dxa"/>
          </w:tblCellMar>
        </w:tblPrEx>
        <w:trPr>
          <w:trHeight w:val="863" w:hRule="atLeast"/>
        </w:trPr>
        <w:tc>
          <w:tcPr>
            <w:tcW w:w="691" w:type="dxa"/>
            <w:tcBorders>
              <w:top w:val="single" w:color="000000" w:sz="8" w:space="0"/>
              <w:left w:val="single" w:color="000000" w:sz="8" w:space="0"/>
              <w:bottom w:val="single" w:color="000000" w:sz="8" w:space="0"/>
              <w:right w:val="single" w:color="000000" w:sz="8" w:space="0"/>
            </w:tcBorders>
            <w:noWrap w:val="0"/>
            <w:vAlign w:val="center"/>
          </w:tcPr>
          <w:p w14:paraId="78CE5F56">
            <w:pPr>
              <w:widowControl/>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区片</w:t>
            </w:r>
          </w:p>
          <w:p w14:paraId="059BAEB7">
            <w:pPr>
              <w:widowControl/>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级别</w:t>
            </w:r>
          </w:p>
        </w:tc>
        <w:tc>
          <w:tcPr>
            <w:tcW w:w="4515" w:type="dxa"/>
            <w:tcBorders>
              <w:top w:val="single" w:color="000000" w:sz="8" w:space="0"/>
              <w:left w:val="nil"/>
              <w:bottom w:val="single" w:color="000000" w:sz="8" w:space="0"/>
              <w:right w:val="single" w:color="auto" w:sz="8" w:space="0"/>
            </w:tcBorders>
            <w:noWrap w:val="0"/>
            <w:vAlign w:val="center"/>
          </w:tcPr>
          <w:p w14:paraId="65507AEC">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区片范围描述</w:t>
            </w:r>
          </w:p>
        </w:tc>
        <w:tc>
          <w:tcPr>
            <w:tcW w:w="2226" w:type="dxa"/>
            <w:tcBorders>
              <w:top w:val="single" w:color="000000" w:sz="8" w:space="0"/>
              <w:left w:val="single" w:color="auto" w:sz="8" w:space="0"/>
              <w:bottom w:val="single" w:color="000000" w:sz="8" w:space="0"/>
              <w:right w:val="single" w:color="000000" w:sz="8" w:space="0"/>
            </w:tcBorders>
            <w:noWrap w:val="0"/>
            <w:vAlign w:val="center"/>
          </w:tcPr>
          <w:p w14:paraId="0534BC42">
            <w:pPr>
              <w:widowControl/>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地 类</w:t>
            </w:r>
          </w:p>
        </w:tc>
        <w:tc>
          <w:tcPr>
            <w:tcW w:w="706" w:type="dxa"/>
            <w:tcBorders>
              <w:top w:val="single" w:color="000000" w:sz="8" w:space="0"/>
              <w:left w:val="nil"/>
              <w:bottom w:val="single" w:color="000000" w:sz="8" w:space="0"/>
              <w:right w:val="single" w:color="000000" w:sz="8" w:space="0"/>
            </w:tcBorders>
            <w:noWrap w:val="0"/>
            <w:vAlign w:val="center"/>
          </w:tcPr>
          <w:p w14:paraId="5F193183">
            <w:pPr>
              <w:widowControl/>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单位</w:t>
            </w:r>
          </w:p>
        </w:tc>
        <w:tc>
          <w:tcPr>
            <w:tcW w:w="1038" w:type="dxa"/>
            <w:tcBorders>
              <w:top w:val="single" w:color="000000" w:sz="8" w:space="0"/>
              <w:left w:val="nil"/>
              <w:bottom w:val="single" w:color="000000" w:sz="8" w:space="0"/>
              <w:right w:val="single" w:color="000000" w:sz="8" w:space="0"/>
            </w:tcBorders>
            <w:noWrap w:val="0"/>
            <w:vAlign w:val="center"/>
          </w:tcPr>
          <w:p w14:paraId="3F0AC6FF">
            <w:pPr>
              <w:widowControl/>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标准（元）</w:t>
            </w:r>
          </w:p>
        </w:tc>
      </w:tr>
      <w:tr w14:paraId="5AC03A63">
        <w:tblPrEx>
          <w:tblCellMar>
            <w:top w:w="0" w:type="dxa"/>
            <w:left w:w="108" w:type="dxa"/>
            <w:bottom w:w="0" w:type="dxa"/>
            <w:right w:w="108" w:type="dxa"/>
          </w:tblCellMar>
        </w:tblPrEx>
        <w:trPr>
          <w:trHeight w:val="494" w:hRule="atLeast"/>
        </w:trPr>
        <w:tc>
          <w:tcPr>
            <w:tcW w:w="691" w:type="dxa"/>
            <w:vMerge w:val="restart"/>
            <w:tcBorders>
              <w:top w:val="nil"/>
              <w:left w:val="single" w:color="000000" w:sz="8" w:space="0"/>
              <w:bottom w:val="single" w:color="000000" w:sz="8" w:space="0"/>
              <w:right w:val="single" w:color="000000" w:sz="8" w:space="0"/>
            </w:tcBorders>
            <w:noWrap w:val="0"/>
            <w:vAlign w:val="center"/>
          </w:tcPr>
          <w:p w14:paraId="37C7943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一类</w:t>
            </w:r>
          </w:p>
        </w:tc>
        <w:tc>
          <w:tcPr>
            <w:tcW w:w="4515" w:type="dxa"/>
            <w:vMerge w:val="restart"/>
            <w:tcBorders>
              <w:top w:val="nil"/>
              <w:left w:val="nil"/>
              <w:right w:val="single" w:color="auto" w:sz="8" w:space="0"/>
            </w:tcBorders>
            <w:noWrap w:val="0"/>
            <w:vAlign w:val="center"/>
          </w:tcPr>
          <w:p w14:paraId="29E33479">
            <w:pPr>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锡尼街道(腾达社区、召南社区、城关社区、巴音社区、长胜社区、和平社区)、西园街道(迎宾社区、文苑社区、西园社区、白塔北社区、金鹏社区)、树林召镇(树林召村、三顷地村)、白塔街道(蒙达社区、白塔社区、化工社区、恒润社区)、工业街道(石化社区、北大社区、兴盛园社区、召北社区)、昭君街道(泰兴社区、新华社区、兴建社区、南干社区)</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平原街道(锦园社区、新园社区</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0000FF"/>
                <w:kern w:val="0"/>
                <w:sz w:val="24"/>
                <w:szCs w:val="24"/>
              </w:rPr>
              <w:t>东源社区</w:t>
            </w:r>
            <w:r>
              <w:rPr>
                <w:rFonts w:hint="eastAsia" w:ascii="仿宋_GB2312" w:hAnsi="仿宋_GB2312" w:eastAsia="仿宋_GB2312" w:cs="仿宋_GB2312"/>
                <w:color w:val="auto"/>
                <w:kern w:val="0"/>
                <w:sz w:val="24"/>
                <w:szCs w:val="24"/>
              </w:rPr>
              <w:t>)</w:t>
            </w:r>
          </w:p>
        </w:tc>
        <w:tc>
          <w:tcPr>
            <w:tcW w:w="2226" w:type="dxa"/>
            <w:tcBorders>
              <w:top w:val="single" w:color="000000" w:sz="8" w:space="0"/>
              <w:left w:val="single" w:color="auto" w:sz="8" w:space="0"/>
              <w:bottom w:val="single" w:color="000000" w:sz="8" w:space="0"/>
              <w:right w:val="single" w:color="000000" w:sz="8" w:space="0"/>
            </w:tcBorders>
            <w:noWrap w:val="0"/>
            <w:vAlign w:val="center"/>
          </w:tcPr>
          <w:p w14:paraId="6070703E">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水浇地</w:t>
            </w:r>
          </w:p>
        </w:tc>
        <w:tc>
          <w:tcPr>
            <w:tcW w:w="706" w:type="dxa"/>
            <w:tcBorders>
              <w:top w:val="single" w:color="000000" w:sz="8" w:space="0"/>
              <w:left w:val="nil"/>
              <w:bottom w:val="single" w:color="000000" w:sz="8" w:space="0"/>
              <w:right w:val="single" w:color="000000" w:sz="8" w:space="0"/>
            </w:tcBorders>
            <w:noWrap w:val="0"/>
            <w:vAlign w:val="center"/>
          </w:tcPr>
          <w:p w14:paraId="6B575AD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single" w:color="000000" w:sz="8" w:space="0"/>
              <w:left w:val="nil"/>
              <w:bottom w:val="single" w:color="000000" w:sz="8" w:space="0"/>
              <w:right w:val="single" w:color="000000" w:sz="8" w:space="0"/>
            </w:tcBorders>
            <w:noWrap w:val="0"/>
            <w:vAlign w:val="center"/>
          </w:tcPr>
          <w:p w14:paraId="11FF6E25">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62010</w:t>
            </w:r>
          </w:p>
        </w:tc>
      </w:tr>
      <w:tr w14:paraId="2E24DFB2">
        <w:tblPrEx>
          <w:tblCellMar>
            <w:top w:w="0" w:type="dxa"/>
            <w:left w:w="108" w:type="dxa"/>
            <w:bottom w:w="0" w:type="dxa"/>
            <w:right w:w="108" w:type="dxa"/>
          </w:tblCellMar>
        </w:tblPrEx>
        <w:trPr>
          <w:trHeight w:val="43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7B90A268">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2694E62C">
            <w:pPr>
              <w:jc w:val="left"/>
              <w:rPr>
                <w:rFonts w:ascii="仿宋_GB2312" w:hAnsi="仿宋_GB2312" w:eastAsia="仿宋_GB2312" w:cs="仿宋_GB2312"/>
                <w:color w:val="auto"/>
                <w:kern w:val="0"/>
                <w:sz w:val="24"/>
                <w:szCs w:val="24"/>
              </w:rPr>
            </w:pPr>
          </w:p>
        </w:tc>
        <w:tc>
          <w:tcPr>
            <w:tcW w:w="2226" w:type="dxa"/>
            <w:tcBorders>
              <w:top w:val="single" w:color="000000" w:sz="8" w:space="0"/>
              <w:left w:val="single" w:color="auto" w:sz="8" w:space="0"/>
              <w:bottom w:val="single" w:color="000000" w:sz="8" w:space="0"/>
              <w:right w:val="single" w:color="000000" w:sz="8" w:space="0"/>
            </w:tcBorders>
            <w:noWrap w:val="0"/>
            <w:vAlign w:val="top"/>
          </w:tcPr>
          <w:p w14:paraId="05682FF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旱  地</w:t>
            </w:r>
          </w:p>
        </w:tc>
        <w:tc>
          <w:tcPr>
            <w:tcW w:w="706" w:type="dxa"/>
            <w:tcBorders>
              <w:top w:val="single" w:color="000000" w:sz="8" w:space="0"/>
              <w:left w:val="nil"/>
              <w:bottom w:val="single" w:color="000000" w:sz="8" w:space="0"/>
              <w:right w:val="single" w:color="000000" w:sz="8" w:space="0"/>
            </w:tcBorders>
            <w:noWrap w:val="0"/>
            <w:vAlign w:val="top"/>
          </w:tcPr>
          <w:p w14:paraId="020A5F2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single" w:color="000000" w:sz="8" w:space="0"/>
              <w:left w:val="nil"/>
              <w:bottom w:val="single" w:color="000000" w:sz="8" w:space="0"/>
              <w:right w:val="single" w:color="000000" w:sz="8" w:space="0"/>
            </w:tcBorders>
            <w:noWrap w:val="0"/>
            <w:vAlign w:val="top"/>
          </w:tcPr>
          <w:p w14:paraId="09C70A4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53000</w:t>
            </w:r>
          </w:p>
        </w:tc>
      </w:tr>
      <w:tr w14:paraId="35D1A6E2">
        <w:tblPrEx>
          <w:tblCellMar>
            <w:top w:w="0" w:type="dxa"/>
            <w:left w:w="108" w:type="dxa"/>
            <w:bottom w:w="0" w:type="dxa"/>
            <w:right w:w="108" w:type="dxa"/>
          </w:tblCellMar>
        </w:tblPrEx>
        <w:trPr>
          <w:trHeight w:val="44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610AA33A">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07ABD062">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693214D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  地</w:t>
            </w:r>
          </w:p>
        </w:tc>
        <w:tc>
          <w:tcPr>
            <w:tcW w:w="706" w:type="dxa"/>
            <w:tcBorders>
              <w:top w:val="nil"/>
              <w:left w:val="nil"/>
              <w:bottom w:val="single" w:color="000000" w:sz="8" w:space="0"/>
              <w:right w:val="single" w:color="000000" w:sz="8" w:space="0"/>
            </w:tcBorders>
            <w:noWrap w:val="0"/>
            <w:vAlign w:val="center"/>
          </w:tcPr>
          <w:p w14:paraId="09475901">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7565A98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27030</w:t>
            </w:r>
          </w:p>
        </w:tc>
      </w:tr>
      <w:tr w14:paraId="51513FFF">
        <w:tblPrEx>
          <w:tblCellMar>
            <w:top w:w="0" w:type="dxa"/>
            <w:left w:w="108" w:type="dxa"/>
            <w:bottom w:w="0" w:type="dxa"/>
            <w:right w:w="108" w:type="dxa"/>
          </w:tblCellMar>
        </w:tblPrEx>
        <w:trPr>
          <w:trHeight w:val="50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06633FD0">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08BF6B22">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12631B75">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人工牧草地</w:t>
            </w:r>
          </w:p>
        </w:tc>
        <w:tc>
          <w:tcPr>
            <w:tcW w:w="706" w:type="dxa"/>
            <w:tcBorders>
              <w:top w:val="nil"/>
              <w:left w:val="nil"/>
              <w:bottom w:val="single" w:color="000000" w:sz="8" w:space="0"/>
              <w:right w:val="single" w:color="000000" w:sz="8" w:space="0"/>
            </w:tcBorders>
            <w:noWrap w:val="0"/>
            <w:vAlign w:val="center"/>
          </w:tcPr>
          <w:p w14:paraId="6E757DA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40209964">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27030</w:t>
            </w:r>
          </w:p>
        </w:tc>
      </w:tr>
      <w:tr w14:paraId="002B85D3">
        <w:tblPrEx>
          <w:tblCellMar>
            <w:top w:w="0" w:type="dxa"/>
            <w:left w:w="108" w:type="dxa"/>
            <w:bottom w:w="0" w:type="dxa"/>
            <w:right w:w="108" w:type="dxa"/>
          </w:tblCellMar>
        </w:tblPrEx>
        <w:trPr>
          <w:trHeight w:val="41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4515619C">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5FE42648">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4EE5E7D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天然牧草地</w:t>
            </w:r>
          </w:p>
        </w:tc>
        <w:tc>
          <w:tcPr>
            <w:tcW w:w="706" w:type="dxa"/>
            <w:tcBorders>
              <w:top w:val="nil"/>
              <w:left w:val="nil"/>
              <w:bottom w:val="single" w:color="000000" w:sz="8" w:space="0"/>
              <w:right w:val="single" w:color="000000" w:sz="8" w:space="0"/>
            </w:tcBorders>
            <w:noWrap w:val="0"/>
            <w:vAlign w:val="center"/>
          </w:tcPr>
          <w:p w14:paraId="42447A7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1DC0AFB1">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22790</w:t>
            </w:r>
          </w:p>
        </w:tc>
      </w:tr>
      <w:tr w14:paraId="6284ABF8">
        <w:tblPrEx>
          <w:tblCellMar>
            <w:top w:w="0" w:type="dxa"/>
            <w:left w:w="108" w:type="dxa"/>
            <w:bottom w:w="0" w:type="dxa"/>
            <w:right w:w="108" w:type="dxa"/>
          </w:tblCellMar>
        </w:tblPrEx>
        <w:trPr>
          <w:trHeight w:val="42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7B64A057">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4EC0EB41">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6DAEF86E">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其他农用地</w:t>
            </w:r>
          </w:p>
        </w:tc>
        <w:tc>
          <w:tcPr>
            <w:tcW w:w="706" w:type="dxa"/>
            <w:tcBorders>
              <w:top w:val="nil"/>
              <w:left w:val="nil"/>
              <w:bottom w:val="single" w:color="000000" w:sz="8" w:space="0"/>
              <w:right w:val="single" w:color="000000" w:sz="8" w:space="0"/>
            </w:tcBorders>
            <w:noWrap w:val="0"/>
            <w:vAlign w:val="center"/>
          </w:tcPr>
          <w:p w14:paraId="54FA021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60746CE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22790</w:t>
            </w:r>
          </w:p>
        </w:tc>
      </w:tr>
      <w:tr w14:paraId="0AF852B6">
        <w:tblPrEx>
          <w:tblCellMar>
            <w:top w:w="0" w:type="dxa"/>
            <w:left w:w="108" w:type="dxa"/>
            <w:bottom w:w="0" w:type="dxa"/>
            <w:right w:w="108" w:type="dxa"/>
          </w:tblCellMar>
        </w:tblPrEx>
        <w:trPr>
          <w:trHeight w:val="49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67D9AD44">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43CE1BA9">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24A7A0CD">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建设用地（宅基地）</w:t>
            </w:r>
          </w:p>
        </w:tc>
        <w:tc>
          <w:tcPr>
            <w:tcW w:w="706" w:type="dxa"/>
            <w:tcBorders>
              <w:top w:val="nil"/>
              <w:left w:val="nil"/>
              <w:bottom w:val="single" w:color="000000" w:sz="8" w:space="0"/>
              <w:right w:val="single" w:color="000000" w:sz="8" w:space="0"/>
            </w:tcBorders>
            <w:noWrap w:val="0"/>
            <w:vAlign w:val="center"/>
          </w:tcPr>
          <w:p w14:paraId="10FA47A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56D465B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95400</w:t>
            </w:r>
          </w:p>
        </w:tc>
      </w:tr>
      <w:tr w14:paraId="60DB3B1F">
        <w:tblPrEx>
          <w:tblCellMar>
            <w:top w:w="0" w:type="dxa"/>
            <w:left w:w="108" w:type="dxa"/>
            <w:bottom w:w="0" w:type="dxa"/>
            <w:right w:w="108" w:type="dxa"/>
          </w:tblCellMar>
        </w:tblPrEx>
        <w:trPr>
          <w:trHeight w:val="49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3AAC9F86">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23B38786">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14D881C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建设用地（其他土地）</w:t>
            </w:r>
          </w:p>
        </w:tc>
        <w:tc>
          <w:tcPr>
            <w:tcW w:w="706" w:type="dxa"/>
            <w:tcBorders>
              <w:top w:val="nil"/>
              <w:left w:val="nil"/>
              <w:bottom w:val="single" w:color="000000" w:sz="8" w:space="0"/>
              <w:right w:val="single" w:color="000000" w:sz="8" w:space="0"/>
            </w:tcBorders>
            <w:noWrap w:val="0"/>
            <w:vAlign w:val="center"/>
          </w:tcPr>
          <w:p w14:paraId="1FEAF6D4">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0BF34EF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63600</w:t>
            </w:r>
          </w:p>
        </w:tc>
      </w:tr>
      <w:tr w14:paraId="60F81428">
        <w:tblPrEx>
          <w:tblCellMar>
            <w:top w:w="0" w:type="dxa"/>
            <w:left w:w="108" w:type="dxa"/>
            <w:bottom w:w="0" w:type="dxa"/>
            <w:right w:w="108" w:type="dxa"/>
          </w:tblCellMar>
        </w:tblPrEx>
        <w:trPr>
          <w:trHeight w:val="41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2893CF70">
            <w:pPr>
              <w:widowControl/>
              <w:jc w:val="center"/>
              <w:rPr>
                <w:rFonts w:ascii="仿宋_GB2312" w:hAnsi="仿宋_GB2312" w:eastAsia="仿宋_GB2312" w:cs="仿宋_GB2312"/>
                <w:color w:val="auto"/>
                <w:kern w:val="0"/>
                <w:sz w:val="24"/>
                <w:szCs w:val="24"/>
              </w:rPr>
            </w:pPr>
          </w:p>
        </w:tc>
        <w:tc>
          <w:tcPr>
            <w:tcW w:w="4515" w:type="dxa"/>
            <w:vMerge w:val="continue"/>
            <w:tcBorders>
              <w:left w:val="nil"/>
              <w:bottom w:val="single" w:color="000000" w:sz="8" w:space="0"/>
              <w:right w:val="single" w:color="auto" w:sz="8" w:space="0"/>
            </w:tcBorders>
            <w:noWrap w:val="0"/>
            <w:vAlign w:val="center"/>
          </w:tcPr>
          <w:p w14:paraId="46FC9D39">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705C40F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未利用地</w:t>
            </w:r>
          </w:p>
        </w:tc>
        <w:tc>
          <w:tcPr>
            <w:tcW w:w="706" w:type="dxa"/>
            <w:tcBorders>
              <w:top w:val="nil"/>
              <w:left w:val="nil"/>
              <w:bottom w:val="single" w:color="000000" w:sz="8" w:space="0"/>
              <w:right w:val="single" w:color="000000" w:sz="8" w:space="0"/>
            </w:tcBorders>
            <w:noWrap w:val="0"/>
            <w:vAlign w:val="center"/>
          </w:tcPr>
          <w:p w14:paraId="5288592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1A310A8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22790</w:t>
            </w:r>
          </w:p>
        </w:tc>
      </w:tr>
      <w:tr w14:paraId="6B86427E">
        <w:tblPrEx>
          <w:tblCellMar>
            <w:top w:w="0" w:type="dxa"/>
            <w:left w:w="108" w:type="dxa"/>
            <w:bottom w:w="0" w:type="dxa"/>
            <w:right w:w="108" w:type="dxa"/>
          </w:tblCellMar>
        </w:tblPrEx>
        <w:trPr>
          <w:trHeight w:val="449" w:hRule="atLeast"/>
        </w:trPr>
        <w:tc>
          <w:tcPr>
            <w:tcW w:w="691" w:type="dxa"/>
            <w:vMerge w:val="restart"/>
            <w:tcBorders>
              <w:top w:val="nil"/>
              <w:left w:val="single" w:color="000000" w:sz="8" w:space="0"/>
              <w:bottom w:val="single" w:color="000000" w:sz="8" w:space="0"/>
              <w:right w:val="single" w:color="000000" w:sz="8" w:space="0"/>
            </w:tcBorders>
            <w:noWrap w:val="0"/>
            <w:vAlign w:val="center"/>
          </w:tcPr>
          <w:p w14:paraId="7CC358F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二类</w:t>
            </w:r>
          </w:p>
        </w:tc>
        <w:tc>
          <w:tcPr>
            <w:tcW w:w="4515" w:type="dxa"/>
            <w:vMerge w:val="restart"/>
            <w:tcBorders>
              <w:top w:val="nil"/>
              <w:left w:val="nil"/>
              <w:right w:val="single" w:color="auto" w:sz="8" w:space="0"/>
            </w:tcBorders>
            <w:noWrap w:val="0"/>
            <w:vAlign w:val="center"/>
          </w:tcPr>
          <w:p w14:paraId="6BDE0672">
            <w:pPr>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树林召镇(南伙房村、靴铺窑子村、五股地村、林原村、二锁圪梁村、平原村、田家营子村、白柜村、新民村、东海心村、大树湾村)</w:t>
            </w:r>
          </w:p>
        </w:tc>
        <w:tc>
          <w:tcPr>
            <w:tcW w:w="2226" w:type="dxa"/>
            <w:tcBorders>
              <w:top w:val="nil"/>
              <w:left w:val="single" w:color="auto" w:sz="8" w:space="0"/>
              <w:bottom w:val="single" w:color="000000" w:sz="8" w:space="0"/>
              <w:right w:val="single" w:color="000000" w:sz="8" w:space="0"/>
            </w:tcBorders>
            <w:noWrap w:val="0"/>
            <w:vAlign w:val="center"/>
          </w:tcPr>
          <w:p w14:paraId="5E4E7E1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水浇地</w:t>
            </w:r>
          </w:p>
        </w:tc>
        <w:tc>
          <w:tcPr>
            <w:tcW w:w="706" w:type="dxa"/>
            <w:tcBorders>
              <w:top w:val="nil"/>
              <w:left w:val="nil"/>
              <w:bottom w:val="single" w:color="000000" w:sz="8" w:space="0"/>
              <w:right w:val="single" w:color="000000" w:sz="8" w:space="0"/>
            </w:tcBorders>
            <w:noWrap w:val="0"/>
            <w:vAlign w:val="center"/>
          </w:tcPr>
          <w:p w14:paraId="2F35059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4155BA6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48380</w:t>
            </w:r>
          </w:p>
        </w:tc>
      </w:tr>
      <w:tr w14:paraId="7B656790">
        <w:tblPrEx>
          <w:tblCellMar>
            <w:top w:w="0" w:type="dxa"/>
            <w:left w:w="108" w:type="dxa"/>
            <w:bottom w:w="0" w:type="dxa"/>
            <w:right w:w="108" w:type="dxa"/>
          </w:tblCellMar>
        </w:tblPrEx>
        <w:trPr>
          <w:trHeight w:val="44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7AAC3462">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395124CA">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31B9AA0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旱 地</w:t>
            </w:r>
          </w:p>
        </w:tc>
        <w:tc>
          <w:tcPr>
            <w:tcW w:w="706" w:type="dxa"/>
            <w:tcBorders>
              <w:top w:val="nil"/>
              <w:left w:val="nil"/>
              <w:bottom w:val="single" w:color="000000" w:sz="8" w:space="0"/>
              <w:right w:val="single" w:color="000000" w:sz="8" w:space="0"/>
            </w:tcBorders>
            <w:noWrap w:val="0"/>
            <w:vAlign w:val="center"/>
          </w:tcPr>
          <w:p w14:paraId="658A702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53420035">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41000</w:t>
            </w:r>
          </w:p>
        </w:tc>
      </w:tr>
      <w:tr w14:paraId="72BAA6B0">
        <w:tblPrEx>
          <w:tblCellMar>
            <w:top w:w="0" w:type="dxa"/>
            <w:left w:w="108" w:type="dxa"/>
            <w:bottom w:w="0" w:type="dxa"/>
            <w:right w:w="108" w:type="dxa"/>
          </w:tblCellMar>
        </w:tblPrEx>
        <w:trPr>
          <w:trHeight w:val="40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50B514DE">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244BF02C">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397F09C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 地</w:t>
            </w:r>
          </w:p>
        </w:tc>
        <w:tc>
          <w:tcPr>
            <w:tcW w:w="706" w:type="dxa"/>
            <w:tcBorders>
              <w:top w:val="nil"/>
              <w:left w:val="nil"/>
              <w:bottom w:val="single" w:color="000000" w:sz="8" w:space="0"/>
              <w:right w:val="single" w:color="000000" w:sz="8" w:space="0"/>
            </w:tcBorders>
            <w:noWrap w:val="0"/>
            <w:vAlign w:val="center"/>
          </w:tcPr>
          <w:p w14:paraId="51F6666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6E46EBD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20910</w:t>
            </w:r>
          </w:p>
        </w:tc>
      </w:tr>
      <w:tr w14:paraId="091A7882">
        <w:tblPrEx>
          <w:tblCellMar>
            <w:top w:w="0" w:type="dxa"/>
            <w:left w:w="108" w:type="dxa"/>
            <w:bottom w:w="0" w:type="dxa"/>
            <w:right w:w="108" w:type="dxa"/>
          </w:tblCellMar>
        </w:tblPrEx>
        <w:trPr>
          <w:trHeight w:val="37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2686FF3D">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43088A14">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6A0625C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人工牧草地</w:t>
            </w:r>
          </w:p>
        </w:tc>
        <w:tc>
          <w:tcPr>
            <w:tcW w:w="706" w:type="dxa"/>
            <w:tcBorders>
              <w:top w:val="nil"/>
              <w:left w:val="nil"/>
              <w:bottom w:val="single" w:color="000000" w:sz="8" w:space="0"/>
              <w:right w:val="single" w:color="000000" w:sz="8" w:space="0"/>
            </w:tcBorders>
            <w:noWrap w:val="0"/>
            <w:vAlign w:val="center"/>
          </w:tcPr>
          <w:p w14:paraId="720A9EC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2A7B18D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20910</w:t>
            </w:r>
          </w:p>
        </w:tc>
      </w:tr>
      <w:tr w14:paraId="6FA6156C">
        <w:tblPrEx>
          <w:tblCellMar>
            <w:top w:w="0" w:type="dxa"/>
            <w:left w:w="108" w:type="dxa"/>
            <w:bottom w:w="0" w:type="dxa"/>
            <w:right w:w="108" w:type="dxa"/>
          </w:tblCellMar>
        </w:tblPrEx>
        <w:trPr>
          <w:trHeight w:val="601"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38F8CBA6">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5D76EDE6">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2A12BB5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天然牧草地</w:t>
            </w:r>
          </w:p>
        </w:tc>
        <w:tc>
          <w:tcPr>
            <w:tcW w:w="706" w:type="dxa"/>
            <w:tcBorders>
              <w:top w:val="nil"/>
              <w:left w:val="nil"/>
              <w:bottom w:val="single" w:color="000000" w:sz="8" w:space="0"/>
              <w:right w:val="single" w:color="000000" w:sz="8" w:space="0"/>
            </w:tcBorders>
            <w:noWrap w:val="0"/>
            <w:vAlign w:val="center"/>
          </w:tcPr>
          <w:p w14:paraId="5825E17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7E02311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18040</w:t>
            </w:r>
          </w:p>
        </w:tc>
      </w:tr>
      <w:tr w14:paraId="2380648E">
        <w:tblPrEx>
          <w:tblCellMar>
            <w:top w:w="0" w:type="dxa"/>
            <w:left w:w="108" w:type="dxa"/>
            <w:bottom w:w="0" w:type="dxa"/>
            <w:right w:w="108" w:type="dxa"/>
          </w:tblCellMar>
        </w:tblPrEx>
        <w:trPr>
          <w:trHeight w:val="607"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56743CB6">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03999402">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1E510AE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其他农用地</w:t>
            </w:r>
          </w:p>
        </w:tc>
        <w:tc>
          <w:tcPr>
            <w:tcW w:w="706" w:type="dxa"/>
            <w:tcBorders>
              <w:top w:val="nil"/>
              <w:left w:val="nil"/>
              <w:bottom w:val="single" w:color="000000" w:sz="8" w:space="0"/>
              <w:right w:val="single" w:color="000000" w:sz="8" w:space="0"/>
            </w:tcBorders>
            <w:noWrap w:val="0"/>
            <w:vAlign w:val="center"/>
          </w:tcPr>
          <w:p w14:paraId="4BF63C9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59286E2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18040</w:t>
            </w:r>
          </w:p>
        </w:tc>
      </w:tr>
      <w:tr w14:paraId="32269154">
        <w:tblPrEx>
          <w:tblCellMar>
            <w:top w:w="0" w:type="dxa"/>
            <w:left w:w="108" w:type="dxa"/>
            <w:bottom w:w="0" w:type="dxa"/>
            <w:right w:w="108" w:type="dxa"/>
          </w:tblCellMar>
        </w:tblPrEx>
        <w:trPr>
          <w:trHeight w:val="539"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06144E0D">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133ADF66">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4C68428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建设用地（宅基地）</w:t>
            </w:r>
          </w:p>
        </w:tc>
        <w:tc>
          <w:tcPr>
            <w:tcW w:w="706" w:type="dxa"/>
            <w:tcBorders>
              <w:top w:val="nil"/>
              <w:left w:val="nil"/>
              <w:bottom w:val="single" w:color="000000" w:sz="8" w:space="0"/>
              <w:right w:val="single" w:color="000000" w:sz="8" w:space="0"/>
            </w:tcBorders>
            <w:noWrap w:val="0"/>
            <w:vAlign w:val="center"/>
          </w:tcPr>
          <w:p w14:paraId="3E9C773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5CF9C6A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73800</w:t>
            </w:r>
          </w:p>
        </w:tc>
      </w:tr>
      <w:tr w14:paraId="2AF73593">
        <w:tblPrEx>
          <w:tblCellMar>
            <w:top w:w="0" w:type="dxa"/>
            <w:left w:w="108" w:type="dxa"/>
            <w:bottom w:w="0" w:type="dxa"/>
            <w:right w:w="108" w:type="dxa"/>
          </w:tblCellMar>
        </w:tblPrEx>
        <w:trPr>
          <w:trHeight w:val="82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53B48337">
            <w:pPr>
              <w:widowControl/>
              <w:jc w:val="center"/>
              <w:rPr>
                <w:rFonts w:ascii="仿宋_GB2312" w:hAnsi="仿宋_GB2312" w:eastAsia="仿宋_GB2312" w:cs="仿宋_GB2312"/>
                <w:color w:val="auto"/>
                <w:kern w:val="0"/>
                <w:sz w:val="24"/>
                <w:szCs w:val="24"/>
              </w:rPr>
            </w:pPr>
          </w:p>
        </w:tc>
        <w:tc>
          <w:tcPr>
            <w:tcW w:w="4515" w:type="dxa"/>
            <w:vMerge w:val="continue"/>
            <w:tcBorders>
              <w:left w:val="nil"/>
              <w:right w:val="single" w:color="auto" w:sz="8" w:space="0"/>
            </w:tcBorders>
            <w:noWrap w:val="0"/>
            <w:vAlign w:val="center"/>
          </w:tcPr>
          <w:p w14:paraId="731A3764">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37EA2265">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建设用地（其他土地）</w:t>
            </w:r>
          </w:p>
        </w:tc>
        <w:tc>
          <w:tcPr>
            <w:tcW w:w="706" w:type="dxa"/>
            <w:tcBorders>
              <w:top w:val="nil"/>
              <w:left w:val="nil"/>
              <w:bottom w:val="single" w:color="000000" w:sz="8" w:space="0"/>
              <w:right w:val="single" w:color="000000" w:sz="8" w:space="0"/>
            </w:tcBorders>
            <w:noWrap w:val="0"/>
            <w:vAlign w:val="center"/>
          </w:tcPr>
          <w:p w14:paraId="002FB2D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29A8CFF5">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49200</w:t>
            </w:r>
          </w:p>
        </w:tc>
      </w:tr>
      <w:tr w14:paraId="65512106">
        <w:tblPrEx>
          <w:tblCellMar>
            <w:top w:w="0" w:type="dxa"/>
            <w:left w:w="108" w:type="dxa"/>
            <w:bottom w:w="0" w:type="dxa"/>
            <w:right w:w="108" w:type="dxa"/>
          </w:tblCellMar>
        </w:tblPrEx>
        <w:trPr>
          <w:trHeight w:val="504" w:hRule="atLeast"/>
        </w:trPr>
        <w:tc>
          <w:tcPr>
            <w:tcW w:w="691" w:type="dxa"/>
            <w:vMerge w:val="continue"/>
            <w:tcBorders>
              <w:top w:val="nil"/>
              <w:left w:val="single" w:color="000000" w:sz="8" w:space="0"/>
              <w:bottom w:val="single" w:color="000000" w:sz="8" w:space="0"/>
              <w:right w:val="single" w:color="000000" w:sz="8" w:space="0"/>
            </w:tcBorders>
            <w:noWrap w:val="0"/>
            <w:vAlign w:val="center"/>
          </w:tcPr>
          <w:p w14:paraId="69CF9DC3">
            <w:pPr>
              <w:widowControl/>
              <w:jc w:val="center"/>
              <w:rPr>
                <w:rFonts w:ascii="仿宋_GB2312" w:hAnsi="仿宋_GB2312" w:eastAsia="仿宋_GB2312" w:cs="仿宋_GB2312"/>
                <w:color w:val="auto"/>
                <w:kern w:val="0"/>
                <w:sz w:val="24"/>
                <w:szCs w:val="24"/>
              </w:rPr>
            </w:pPr>
          </w:p>
        </w:tc>
        <w:tc>
          <w:tcPr>
            <w:tcW w:w="4515" w:type="dxa"/>
            <w:vMerge w:val="continue"/>
            <w:tcBorders>
              <w:left w:val="nil"/>
              <w:bottom w:val="single" w:color="000000" w:sz="8" w:space="0"/>
              <w:right w:val="single" w:color="auto" w:sz="8" w:space="0"/>
            </w:tcBorders>
            <w:noWrap w:val="0"/>
            <w:vAlign w:val="center"/>
          </w:tcPr>
          <w:p w14:paraId="2559D97C">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000000" w:sz="8" w:space="0"/>
              <w:right w:val="single" w:color="000000" w:sz="8" w:space="0"/>
            </w:tcBorders>
            <w:noWrap w:val="0"/>
            <w:vAlign w:val="center"/>
          </w:tcPr>
          <w:p w14:paraId="09C89E0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未利用地</w:t>
            </w:r>
          </w:p>
        </w:tc>
        <w:tc>
          <w:tcPr>
            <w:tcW w:w="706" w:type="dxa"/>
            <w:tcBorders>
              <w:top w:val="nil"/>
              <w:left w:val="nil"/>
              <w:bottom w:val="single" w:color="000000" w:sz="8" w:space="0"/>
              <w:right w:val="single" w:color="000000" w:sz="8" w:space="0"/>
            </w:tcBorders>
            <w:noWrap w:val="0"/>
            <w:vAlign w:val="center"/>
          </w:tcPr>
          <w:p w14:paraId="7B7D7B8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000000" w:sz="8" w:space="0"/>
              <w:right w:val="single" w:color="000000" w:sz="8" w:space="0"/>
            </w:tcBorders>
            <w:noWrap w:val="0"/>
            <w:vAlign w:val="center"/>
          </w:tcPr>
          <w:p w14:paraId="29C27AF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18040</w:t>
            </w:r>
          </w:p>
        </w:tc>
      </w:tr>
      <w:tr w14:paraId="367CCD44">
        <w:tblPrEx>
          <w:tblCellMar>
            <w:top w:w="0" w:type="dxa"/>
            <w:left w:w="108" w:type="dxa"/>
            <w:bottom w:w="0" w:type="dxa"/>
            <w:right w:w="108" w:type="dxa"/>
          </w:tblCellMar>
        </w:tblPrEx>
        <w:trPr>
          <w:trHeight w:val="624" w:hRule="atLeast"/>
        </w:trPr>
        <w:tc>
          <w:tcPr>
            <w:tcW w:w="691" w:type="dxa"/>
            <w:vMerge w:val="restart"/>
            <w:tcBorders>
              <w:top w:val="single" w:color="auto" w:sz="4" w:space="0"/>
              <w:left w:val="single" w:color="auto" w:sz="4" w:space="0"/>
              <w:bottom w:val="single" w:color="auto" w:sz="4" w:space="0"/>
              <w:right w:val="single" w:color="auto" w:sz="4" w:space="0"/>
            </w:tcBorders>
            <w:noWrap w:val="0"/>
            <w:vAlign w:val="center"/>
          </w:tcPr>
          <w:p w14:paraId="2C6D2B2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三类</w:t>
            </w:r>
          </w:p>
        </w:tc>
        <w:tc>
          <w:tcPr>
            <w:tcW w:w="4515" w:type="dxa"/>
            <w:vMerge w:val="restart"/>
            <w:tcBorders>
              <w:top w:val="single" w:color="auto" w:sz="4" w:space="0"/>
              <w:left w:val="single" w:color="auto" w:sz="4" w:space="0"/>
              <w:right w:val="single" w:color="auto" w:sz="8" w:space="0"/>
            </w:tcBorders>
            <w:noWrap w:val="0"/>
            <w:vAlign w:val="center"/>
          </w:tcPr>
          <w:p w14:paraId="51569FD0">
            <w:pPr>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白泥井镇(海勒素村、道劳窑子村、唐公营子村、侯家营子村、隆盛城村、七份子村、柴登村、白泥井村)、恩格贝镇(乌兰村、北海村、柳子圪旦村、新圪旦村、蒲圪卜村)、风水梁镇(公乌素村、三眼井村、大纳林村)、吉格斯太镇(大红奎村、蛇肯点素村、柳沟村、沟心召村、梁家圪堵村、张义成窑子村、龚吉仁村)、树林召镇(沟心召村、什拉台村、沙坝子村、张铁营子村、关碾房村、草原村)、王爱召镇(西社村、王爱召村、南红桥村、德胜泰村、大淖村、东兴村、小淖村、新和村、裕太奎村、黄牛营子村、新民堡村、生成永村、杨家圪堵村、新城村、杨家营子村、榆林子村、三座茅庵村、得胜营子村、宋五营子村、三份子村)、展旦召苏木(天义昌村、建设村、长胜村、福茂城村、展旦召嘎查、沙湾子嘎查、黄木独村、井泉村、道劳哈勒正村、柳林村、海子湾村)、昭君镇(门肯嘎查、柴磴嘎查、巴音色古楞嘎查、和胜村、四村村、沙壕村、二罗圪堵村、刘大圪堵村、二狗湾村、羊场村、沙圪堵村、候家圪堵村)、中和西镇(南伙房村、乌兰计村、红海子村、翻身村、宝日呼舒村)</w:t>
            </w:r>
          </w:p>
        </w:tc>
        <w:tc>
          <w:tcPr>
            <w:tcW w:w="2226" w:type="dxa"/>
            <w:tcBorders>
              <w:top w:val="single" w:color="auto" w:sz="4" w:space="0"/>
              <w:left w:val="single" w:color="auto" w:sz="8" w:space="0"/>
              <w:bottom w:val="single" w:color="auto" w:sz="4" w:space="0"/>
              <w:right w:val="single" w:color="auto" w:sz="4" w:space="0"/>
            </w:tcBorders>
            <w:noWrap w:val="0"/>
            <w:vAlign w:val="center"/>
          </w:tcPr>
          <w:p w14:paraId="2B3F2C8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水浇地</w:t>
            </w:r>
          </w:p>
        </w:tc>
        <w:tc>
          <w:tcPr>
            <w:tcW w:w="706" w:type="dxa"/>
            <w:tcBorders>
              <w:top w:val="single" w:color="auto" w:sz="4" w:space="0"/>
              <w:left w:val="nil"/>
              <w:bottom w:val="single" w:color="auto" w:sz="4" w:space="0"/>
              <w:right w:val="single" w:color="auto" w:sz="4" w:space="0"/>
            </w:tcBorders>
            <w:noWrap w:val="0"/>
            <w:vAlign w:val="center"/>
          </w:tcPr>
          <w:p w14:paraId="1A732E6A">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single" w:color="auto" w:sz="4" w:space="0"/>
              <w:left w:val="nil"/>
              <w:bottom w:val="single" w:color="auto" w:sz="4" w:space="0"/>
              <w:right w:val="single" w:color="auto" w:sz="4" w:space="0"/>
            </w:tcBorders>
            <w:noWrap w:val="0"/>
            <w:vAlign w:val="center"/>
          </w:tcPr>
          <w:p w14:paraId="05D45FBD">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36160</w:t>
            </w:r>
          </w:p>
        </w:tc>
      </w:tr>
      <w:tr w14:paraId="7127E750">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0C86DA1E">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01A6F11C">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4F87B59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旱  地</w:t>
            </w:r>
          </w:p>
        </w:tc>
        <w:tc>
          <w:tcPr>
            <w:tcW w:w="706" w:type="dxa"/>
            <w:tcBorders>
              <w:top w:val="nil"/>
              <w:left w:val="nil"/>
              <w:bottom w:val="single" w:color="auto" w:sz="4" w:space="0"/>
              <w:right w:val="single" w:color="auto" w:sz="4" w:space="0"/>
            </w:tcBorders>
            <w:noWrap w:val="0"/>
            <w:vAlign w:val="center"/>
          </w:tcPr>
          <w:p w14:paraId="4553C40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115B5E3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32000</w:t>
            </w:r>
          </w:p>
        </w:tc>
      </w:tr>
      <w:tr w14:paraId="1C671C55">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49A2CD57">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23308673">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0FDC2CA3">
            <w:pPr>
              <w:widowControl/>
              <w:ind w:firstLine="240" w:firstLineChars="10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  地</w:t>
            </w:r>
          </w:p>
        </w:tc>
        <w:tc>
          <w:tcPr>
            <w:tcW w:w="706" w:type="dxa"/>
            <w:tcBorders>
              <w:top w:val="nil"/>
              <w:left w:val="nil"/>
              <w:bottom w:val="single" w:color="auto" w:sz="4" w:space="0"/>
              <w:right w:val="single" w:color="auto" w:sz="4" w:space="0"/>
            </w:tcBorders>
            <w:noWrap w:val="0"/>
            <w:vAlign w:val="center"/>
          </w:tcPr>
          <w:p w14:paraId="2F0525F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31B602A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17920</w:t>
            </w:r>
          </w:p>
        </w:tc>
      </w:tr>
      <w:tr w14:paraId="10C20A4B">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1E578D3B">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717CC8F5">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14E65211">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人工牧草地</w:t>
            </w:r>
          </w:p>
        </w:tc>
        <w:tc>
          <w:tcPr>
            <w:tcW w:w="706" w:type="dxa"/>
            <w:tcBorders>
              <w:top w:val="nil"/>
              <w:left w:val="nil"/>
              <w:bottom w:val="single" w:color="auto" w:sz="4" w:space="0"/>
              <w:right w:val="single" w:color="auto" w:sz="4" w:space="0"/>
            </w:tcBorders>
            <w:noWrap w:val="0"/>
            <w:vAlign w:val="center"/>
          </w:tcPr>
          <w:p w14:paraId="5A63008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7F6BEE4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17920</w:t>
            </w:r>
          </w:p>
        </w:tc>
      </w:tr>
      <w:tr w14:paraId="3AC0B6FD">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53D2B7EC">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35BEF8DC">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69215860">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天然牧草地</w:t>
            </w:r>
          </w:p>
        </w:tc>
        <w:tc>
          <w:tcPr>
            <w:tcW w:w="706" w:type="dxa"/>
            <w:tcBorders>
              <w:top w:val="nil"/>
              <w:left w:val="nil"/>
              <w:bottom w:val="single" w:color="auto" w:sz="4" w:space="0"/>
              <w:right w:val="single" w:color="auto" w:sz="4" w:space="0"/>
            </w:tcBorders>
            <w:noWrap w:val="0"/>
            <w:vAlign w:val="center"/>
          </w:tcPr>
          <w:p w14:paraId="3FA8877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58B065A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16000</w:t>
            </w:r>
          </w:p>
        </w:tc>
      </w:tr>
      <w:tr w14:paraId="0A620960">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7C8D7EF3">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6E7EDD27">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3BEA3A0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其他农用地</w:t>
            </w:r>
          </w:p>
        </w:tc>
        <w:tc>
          <w:tcPr>
            <w:tcW w:w="706" w:type="dxa"/>
            <w:tcBorders>
              <w:top w:val="nil"/>
              <w:left w:val="nil"/>
              <w:bottom w:val="single" w:color="auto" w:sz="4" w:space="0"/>
              <w:right w:val="single" w:color="auto" w:sz="4" w:space="0"/>
            </w:tcBorders>
            <w:noWrap w:val="0"/>
            <w:vAlign w:val="center"/>
          </w:tcPr>
          <w:p w14:paraId="6552402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372BC0E1">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16000</w:t>
            </w:r>
          </w:p>
        </w:tc>
      </w:tr>
      <w:tr w14:paraId="010B847C">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7826F490">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73837607">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5446A777">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建设用地（宅基地）</w:t>
            </w:r>
          </w:p>
        </w:tc>
        <w:tc>
          <w:tcPr>
            <w:tcW w:w="706" w:type="dxa"/>
            <w:tcBorders>
              <w:top w:val="nil"/>
              <w:left w:val="nil"/>
              <w:bottom w:val="single" w:color="auto" w:sz="4" w:space="0"/>
              <w:right w:val="single" w:color="auto" w:sz="4" w:space="0"/>
            </w:tcBorders>
            <w:noWrap w:val="0"/>
            <w:vAlign w:val="center"/>
          </w:tcPr>
          <w:p w14:paraId="4F7B785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3F2342B4">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57600</w:t>
            </w:r>
          </w:p>
        </w:tc>
      </w:tr>
      <w:tr w14:paraId="5EAF1E2E">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720B57C2">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00AC5D96">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53FD5C1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建设用地（其他土地）</w:t>
            </w:r>
          </w:p>
        </w:tc>
        <w:tc>
          <w:tcPr>
            <w:tcW w:w="706" w:type="dxa"/>
            <w:tcBorders>
              <w:top w:val="nil"/>
              <w:left w:val="nil"/>
              <w:bottom w:val="single" w:color="auto" w:sz="4" w:space="0"/>
              <w:right w:val="single" w:color="auto" w:sz="4" w:space="0"/>
            </w:tcBorders>
            <w:noWrap w:val="0"/>
            <w:vAlign w:val="center"/>
          </w:tcPr>
          <w:p w14:paraId="44EA58D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686B3FF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38400</w:t>
            </w:r>
          </w:p>
        </w:tc>
      </w:tr>
      <w:tr w14:paraId="40AB4F69">
        <w:tblPrEx>
          <w:tblCellMar>
            <w:top w:w="0" w:type="dxa"/>
            <w:left w:w="108" w:type="dxa"/>
            <w:bottom w:w="0" w:type="dxa"/>
            <w:right w:w="108" w:type="dxa"/>
          </w:tblCellMar>
        </w:tblPrEx>
        <w:trPr>
          <w:trHeight w:val="624" w:hRule="atLeast"/>
        </w:trPr>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14:paraId="3EF16148">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bottom w:val="single" w:color="auto" w:sz="4" w:space="0"/>
              <w:right w:val="single" w:color="auto" w:sz="8" w:space="0"/>
            </w:tcBorders>
            <w:noWrap w:val="0"/>
            <w:vAlign w:val="center"/>
          </w:tcPr>
          <w:p w14:paraId="1E9F9285">
            <w:pPr>
              <w:jc w:val="left"/>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1FA035B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未利用地</w:t>
            </w:r>
          </w:p>
        </w:tc>
        <w:tc>
          <w:tcPr>
            <w:tcW w:w="706" w:type="dxa"/>
            <w:tcBorders>
              <w:top w:val="nil"/>
              <w:left w:val="nil"/>
              <w:bottom w:val="single" w:color="auto" w:sz="4" w:space="0"/>
              <w:right w:val="single" w:color="auto" w:sz="4" w:space="0"/>
            </w:tcBorders>
            <w:noWrap w:val="0"/>
            <w:vAlign w:val="center"/>
          </w:tcPr>
          <w:p w14:paraId="09474F1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253E626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16000</w:t>
            </w:r>
          </w:p>
        </w:tc>
      </w:tr>
      <w:tr w14:paraId="0ED74823">
        <w:tblPrEx>
          <w:tblCellMar>
            <w:top w:w="0" w:type="dxa"/>
            <w:left w:w="108" w:type="dxa"/>
            <w:bottom w:w="0" w:type="dxa"/>
            <w:right w:w="108" w:type="dxa"/>
          </w:tblCellMar>
        </w:tblPrEx>
        <w:trPr>
          <w:trHeight w:val="624" w:hRule="atLeast"/>
        </w:trPr>
        <w:tc>
          <w:tcPr>
            <w:tcW w:w="691" w:type="dxa"/>
            <w:vMerge w:val="restart"/>
            <w:tcBorders>
              <w:top w:val="nil"/>
              <w:left w:val="single" w:color="auto" w:sz="4" w:space="0"/>
              <w:bottom w:val="single" w:color="auto" w:sz="4" w:space="0"/>
              <w:right w:val="single" w:color="auto" w:sz="4" w:space="0"/>
            </w:tcBorders>
            <w:noWrap w:val="0"/>
            <w:vAlign w:val="center"/>
          </w:tcPr>
          <w:p w14:paraId="0441C225">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原</w:t>
            </w:r>
            <w:r>
              <w:rPr>
                <w:rFonts w:hint="eastAsia" w:ascii="仿宋_GB2312" w:hAnsi="仿宋_GB2312" w:eastAsia="仿宋_GB2312" w:cs="仿宋_GB2312"/>
                <w:color w:val="auto"/>
                <w:kern w:val="0"/>
                <w:sz w:val="24"/>
                <w:szCs w:val="24"/>
              </w:rPr>
              <w:t>四类</w:t>
            </w:r>
            <w:r>
              <w:rPr>
                <w:rFonts w:hint="eastAsia" w:ascii="仿宋_GB2312" w:hAnsi="仿宋_GB2312" w:eastAsia="仿宋_GB2312" w:cs="仿宋_GB2312"/>
                <w:color w:val="auto"/>
                <w:kern w:val="0"/>
                <w:sz w:val="24"/>
                <w:szCs w:val="24"/>
                <w:lang w:val="en-US" w:eastAsia="zh-CN"/>
              </w:rPr>
              <w:t>按三类区片标准执行</w:t>
            </w:r>
          </w:p>
        </w:tc>
        <w:tc>
          <w:tcPr>
            <w:tcW w:w="4515" w:type="dxa"/>
            <w:vMerge w:val="restart"/>
            <w:tcBorders>
              <w:top w:val="single" w:color="auto" w:sz="4" w:space="0"/>
              <w:left w:val="single" w:color="auto" w:sz="4" w:space="0"/>
              <w:right w:val="single" w:color="auto" w:sz="8" w:space="0"/>
            </w:tcBorders>
            <w:noWrap w:val="0"/>
            <w:vAlign w:val="center"/>
          </w:tcPr>
          <w:p w14:paraId="704D7A5F">
            <w:pPr>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恩格贝镇(茶窑沟村、元宝湾村、牛场梁村、武大仓村、哈拉亥图村、补碌梁村、查干沟村、耳字沟村、呼斯图村、黄母哈日村)、风水梁镇(刘长沟村、敖包梁村、母哈日沟村、盐店村、马场壕村、王家壕村、乌兰壕村、河图梁村、石匠窑村、新民渠村)、树林召镇(哈什拉村、河洛图村、耳字壕村、城塔村)、展旦召苏木(枳机塔村、塔并召村、青达门村、查干沟村、和合成村、石活子村、赛乌素村、哈达图村)、昭君镇(石巴圪图村、白家塔村、赛乌素村、高头窑村、吴四圪堵村、查干沟村)、中和西镇(万太兴村、官井村、南布日嘎斯太村、蓿亥图牧业村)</w:t>
            </w:r>
          </w:p>
        </w:tc>
        <w:tc>
          <w:tcPr>
            <w:tcW w:w="2226" w:type="dxa"/>
            <w:tcBorders>
              <w:top w:val="single" w:color="auto" w:sz="4" w:space="0"/>
              <w:left w:val="single" w:color="auto" w:sz="8" w:space="0"/>
              <w:bottom w:val="single" w:color="auto" w:sz="4" w:space="0"/>
              <w:right w:val="single" w:color="auto" w:sz="4" w:space="0"/>
            </w:tcBorders>
            <w:noWrap w:val="0"/>
            <w:vAlign w:val="center"/>
          </w:tcPr>
          <w:p w14:paraId="565ED17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水浇地</w:t>
            </w:r>
          </w:p>
        </w:tc>
        <w:tc>
          <w:tcPr>
            <w:tcW w:w="706" w:type="dxa"/>
            <w:tcBorders>
              <w:top w:val="single" w:color="auto" w:sz="4" w:space="0"/>
              <w:left w:val="nil"/>
              <w:bottom w:val="single" w:color="auto" w:sz="4" w:space="0"/>
              <w:right w:val="single" w:color="auto" w:sz="4" w:space="0"/>
            </w:tcBorders>
            <w:noWrap w:val="0"/>
            <w:vAlign w:val="center"/>
          </w:tcPr>
          <w:p w14:paraId="1062CE8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single" w:color="auto" w:sz="4" w:space="0"/>
              <w:left w:val="nil"/>
              <w:bottom w:val="single" w:color="auto" w:sz="4" w:space="0"/>
              <w:right w:val="single" w:color="auto" w:sz="4" w:space="0"/>
            </w:tcBorders>
            <w:noWrap w:val="0"/>
            <w:vAlign w:val="center"/>
          </w:tcPr>
          <w:p w14:paraId="66DB3CAA">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36160</w:t>
            </w:r>
          </w:p>
        </w:tc>
      </w:tr>
      <w:tr w14:paraId="12AE29FF">
        <w:tblPrEx>
          <w:tblCellMar>
            <w:top w:w="0" w:type="dxa"/>
            <w:left w:w="108" w:type="dxa"/>
            <w:bottom w:w="0" w:type="dxa"/>
            <w:right w:w="108" w:type="dxa"/>
          </w:tblCellMar>
        </w:tblPrEx>
        <w:trPr>
          <w:trHeight w:val="62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0E621933">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6C771449">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3D5BBE2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旱  地</w:t>
            </w:r>
          </w:p>
        </w:tc>
        <w:tc>
          <w:tcPr>
            <w:tcW w:w="706" w:type="dxa"/>
            <w:tcBorders>
              <w:top w:val="nil"/>
              <w:left w:val="nil"/>
              <w:bottom w:val="single" w:color="auto" w:sz="4" w:space="0"/>
              <w:right w:val="single" w:color="auto" w:sz="4" w:space="0"/>
            </w:tcBorders>
            <w:noWrap w:val="0"/>
            <w:vAlign w:val="center"/>
          </w:tcPr>
          <w:p w14:paraId="2CA722C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7258BFD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32</w:t>
            </w:r>
            <w:r>
              <w:rPr>
                <w:rFonts w:hint="eastAsia" w:ascii="仿宋_GB2312" w:hAnsi="仿宋_GB2312" w:eastAsia="仿宋_GB2312" w:cs="仿宋_GB2312"/>
                <w:color w:val="auto"/>
                <w:kern w:val="0"/>
                <w:sz w:val="24"/>
                <w:szCs w:val="24"/>
              </w:rPr>
              <w:t>000</w:t>
            </w:r>
          </w:p>
        </w:tc>
      </w:tr>
      <w:tr w14:paraId="0015394F">
        <w:tblPrEx>
          <w:tblCellMar>
            <w:top w:w="0" w:type="dxa"/>
            <w:left w:w="108" w:type="dxa"/>
            <w:bottom w:w="0" w:type="dxa"/>
            <w:right w:w="108" w:type="dxa"/>
          </w:tblCellMar>
        </w:tblPrEx>
        <w:trPr>
          <w:trHeight w:val="62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646A010E">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72B364DE">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01282934">
            <w:pPr>
              <w:widowControl/>
              <w:ind w:firstLine="240" w:firstLineChars="10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林  地</w:t>
            </w:r>
          </w:p>
        </w:tc>
        <w:tc>
          <w:tcPr>
            <w:tcW w:w="706" w:type="dxa"/>
            <w:tcBorders>
              <w:top w:val="nil"/>
              <w:left w:val="nil"/>
              <w:bottom w:val="single" w:color="auto" w:sz="4" w:space="0"/>
              <w:right w:val="single" w:color="auto" w:sz="4" w:space="0"/>
            </w:tcBorders>
            <w:noWrap w:val="0"/>
            <w:vAlign w:val="center"/>
          </w:tcPr>
          <w:p w14:paraId="24EA42B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29CB7417">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17920</w:t>
            </w:r>
          </w:p>
        </w:tc>
      </w:tr>
      <w:tr w14:paraId="759A1301">
        <w:tblPrEx>
          <w:tblCellMar>
            <w:top w:w="0" w:type="dxa"/>
            <w:left w:w="108" w:type="dxa"/>
            <w:bottom w:w="0" w:type="dxa"/>
            <w:right w:w="108" w:type="dxa"/>
          </w:tblCellMar>
        </w:tblPrEx>
        <w:trPr>
          <w:trHeight w:val="62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61B0BBB3">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75B4A289">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6B9413B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人工牧草地</w:t>
            </w:r>
          </w:p>
        </w:tc>
        <w:tc>
          <w:tcPr>
            <w:tcW w:w="706" w:type="dxa"/>
            <w:tcBorders>
              <w:top w:val="nil"/>
              <w:left w:val="nil"/>
              <w:bottom w:val="single" w:color="auto" w:sz="4" w:space="0"/>
              <w:right w:val="single" w:color="auto" w:sz="4" w:space="0"/>
            </w:tcBorders>
            <w:noWrap w:val="0"/>
            <w:vAlign w:val="center"/>
          </w:tcPr>
          <w:p w14:paraId="3E73DA2A">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419C8C0E">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17920</w:t>
            </w:r>
          </w:p>
        </w:tc>
      </w:tr>
      <w:tr w14:paraId="4046942A">
        <w:tblPrEx>
          <w:tblCellMar>
            <w:top w:w="0" w:type="dxa"/>
            <w:left w:w="108" w:type="dxa"/>
            <w:bottom w:w="0" w:type="dxa"/>
            <w:right w:w="108" w:type="dxa"/>
          </w:tblCellMar>
        </w:tblPrEx>
        <w:trPr>
          <w:trHeight w:val="406"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026FA607">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7EA5A69F">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3827849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天然牧草地</w:t>
            </w:r>
          </w:p>
        </w:tc>
        <w:tc>
          <w:tcPr>
            <w:tcW w:w="706" w:type="dxa"/>
            <w:tcBorders>
              <w:top w:val="nil"/>
              <w:left w:val="nil"/>
              <w:bottom w:val="single" w:color="auto" w:sz="4" w:space="0"/>
              <w:right w:val="single" w:color="auto" w:sz="4" w:space="0"/>
            </w:tcBorders>
            <w:noWrap w:val="0"/>
            <w:vAlign w:val="center"/>
          </w:tcPr>
          <w:p w14:paraId="101ABEE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7B946B3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000</w:t>
            </w:r>
          </w:p>
        </w:tc>
      </w:tr>
      <w:tr w14:paraId="0565034A">
        <w:tblPrEx>
          <w:tblCellMar>
            <w:top w:w="0" w:type="dxa"/>
            <w:left w:w="108" w:type="dxa"/>
            <w:bottom w:w="0" w:type="dxa"/>
            <w:right w:w="108" w:type="dxa"/>
          </w:tblCellMar>
        </w:tblPrEx>
        <w:trPr>
          <w:trHeight w:val="45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349903A4">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53FD43F3">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6FEA527D">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其他农用地</w:t>
            </w:r>
          </w:p>
        </w:tc>
        <w:tc>
          <w:tcPr>
            <w:tcW w:w="706" w:type="dxa"/>
            <w:tcBorders>
              <w:top w:val="nil"/>
              <w:left w:val="nil"/>
              <w:bottom w:val="single" w:color="auto" w:sz="4" w:space="0"/>
              <w:right w:val="single" w:color="auto" w:sz="4" w:space="0"/>
            </w:tcBorders>
            <w:noWrap w:val="0"/>
            <w:vAlign w:val="center"/>
          </w:tcPr>
          <w:p w14:paraId="2501C78E">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49681464">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000</w:t>
            </w:r>
          </w:p>
        </w:tc>
      </w:tr>
      <w:tr w14:paraId="3C37C389">
        <w:tblPrEx>
          <w:tblCellMar>
            <w:top w:w="0" w:type="dxa"/>
            <w:left w:w="108" w:type="dxa"/>
            <w:bottom w:w="0" w:type="dxa"/>
            <w:right w:w="108" w:type="dxa"/>
          </w:tblCellMar>
        </w:tblPrEx>
        <w:trPr>
          <w:trHeight w:val="45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47EA1294">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688808B8">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6C852004">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建设用地（宅基地）</w:t>
            </w:r>
          </w:p>
        </w:tc>
        <w:tc>
          <w:tcPr>
            <w:tcW w:w="706" w:type="dxa"/>
            <w:tcBorders>
              <w:top w:val="nil"/>
              <w:left w:val="nil"/>
              <w:bottom w:val="single" w:color="auto" w:sz="4" w:space="0"/>
              <w:right w:val="single" w:color="auto" w:sz="4" w:space="0"/>
            </w:tcBorders>
            <w:noWrap w:val="0"/>
            <w:vAlign w:val="center"/>
          </w:tcPr>
          <w:p w14:paraId="52D617C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2014FF64">
            <w:pPr>
              <w:widowControl/>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57600</w:t>
            </w:r>
          </w:p>
        </w:tc>
      </w:tr>
      <w:tr w14:paraId="3269940C">
        <w:tblPrEx>
          <w:tblCellMar>
            <w:top w:w="0" w:type="dxa"/>
            <w:left w:w="108" w:type="dxa"/>
            <w:bottom w:w="0" w:type="dxa"/>
            <w:right w:w="108" w:type="dxa"/>
          </w:tblCellMar>
        </w:tblPrEx>
        <w:trPr>
          <w:trHeight w:val="62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7B01F6B1">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right w:val="single" w:color="auto" w:sz="8" w:space="0"/>
            </w:tcBorders>
            <w:noWrap w:val="0"/>
            <w:vAlign w:val="center"/>
          </w:tcPr>
          <w:p w14:paraId="5158C446">
            <w:pPr>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78AB52B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建设用地（其他土地）</w:t>
            </w:r>
          </w:p>
        </w:tc>
        <w:tc>
          <w:tcPr>
            <w:tcW w:w="706" w:type="dxa"/>
            <w:tcBorders>
              <w:top w:val="nil"/>
              <w:left w:val="nil"/>
              <w:bottom w:val="single" w:color="auto" w:sz="4" w:space="0"/>
              <w:right w:val="single" w:color="auto" w:sz="4" w:space="0"/>
            </w:tcBorders>
            <w:noWrap w:val="0"/>
            <w:vAlign w:val="center"/>
          </w:tcPr>
          <w:p w14:paraId="1E0C7A36">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7A3470A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en-US" w:eastAsia="zh-CN"/>
              </w:rPr>
              <w:t>84</w:t>
            </w:r>
            <w:r>
              <w:rPr>
                <w:rFonts w:hint="eastAsia" w:ascii="仿宋_GB2312" w:hAnsi="仿宋_GB2312" w:eastAsia="仿宋_GB2312" w:cs="仿宋_GB2312"/>
                <w:color w:val="auto"/>
                <w:kern w:val="0"/>
                <w:sz w:val="24"/>
                <w:szCs w:val="24"/>
              </w:rPr>
              <w:t>00</w:t>
            </w:r>
          </w:p>
        </w:tc>
      </w:tr>
      <w:tr w14:paraId="231BF1DC">
        <w:tblPrEx>
          <w:tblCellMar>
            <w:top w:w="0" w:type="dxa"/>
            <w:left w:w="108" w:type="dxa"/>
            <w:bottom w:w="0" w:type="dxa"/>
            <w:right w:w="108" w:type="dxa"/>
          </w:tblCellMar>
        </w:tblPrEx>
        <w:trPr>
          <w:trHeight w:val="624" w:hRule="atLeast"/>
        </w:trPr>
        <w:tc>
          <w:tcPr>
            <w:tcW w:w="691" w:type="dxa"/>
            <w:vMerge w:val="continue"/>
            <w:tcBorders>
              <w:top w:val="nil"/>
              <w:left w:val="single" w:color="auto" w:sz="4" w:space="0"/>
              <w:bottom w:val="single" w:color="auto" w:sz="4" w:space="0"/>
              <w:right w:val="single" w:color="auto" w:sz="4" w:space="0"/>
            </w:tcBorders>
            <w:noWrap w:val="0"/>
            <w:vAlign w:val="center"/>
          </w:tcPr>
          <w:p w14:paraId="4BD7D834">
            <w:pPr>
              <w:widowControl/>
              <w:jc w:val="center"/>
              <w:rPr>
                <w:rFonts w:ascii="仿宋_GB2312" w:hAnsi="仿宋_GB2312" w:eastAsia="仿宋_GB2312" w:cs="仿宋_GB2312"/>
                <w:color w:val="auto"/>
                <w:kern w:val="0"/>
                <w:sz w:val="24"/>
                <w:szCs w:val="24"/>
              </w:rPr>
            </w:pPr>
          </w:p>
        </w:tc>
        <w:tc>
          <w:tcPr>
            <w:tcW w:w="4515" w:type="dxa"/>
            <w:vMerge w:val="continue"/>
            <w:tcBorders>
              <w:left w:val="single" w:color="auto" w:sz="4" w:space="0"/>
              <w:bottom w:val="single" w:color="auto" w:sz="4" w:space="0"/>
              <w:right w:val="single" w:color="auto" w:sz="8" w:space="0"/>
            </w:tcBorders>
            <w:noWrap w:val="0"/>
            <w:vAlign w:val="center"/>
          </w:tcPr>
          <w:p w14:paraId="6D9F99E7">
            <w:pPr>
              <w:widowControl/>
              <w:jc w:val="center"/>
              <w:rPr>
                <w:rFonts w:ascii="仿宋_GB2312" w:hAnsi="仿宋_GB2312" w:eastAsia="仿宋_GB2312" w:cs="仿宋_GB2312"/>
                <w:color w:val="auto"/>
                <w:kern w:val="0"/>
                <w:sz w:val="24"/>
                <w:szCs w:val="24"/>
              </w:rPr>
            </w:pPr>
          </w:p>
        </w:tc>
        <w:tc>
          <w:tcPr>
            <w:tcW w:w="2226" w:type="dxa"/>
            <w:tcBorders>
              <w:top w:val="nil"/>
              <w:left w:val="single" w:color="auto" w:sz="8" w:space="0"/>
              <w:bottom w:val="single" w:color="auto" w:sz="4" w:space="0"/>
              <w:right w:val="single" w:color="auto" w:sz="4" w:space="0"/>
            </w:tcBorders>
            <w:noWrap w:val="0"/>
            <w:vAlign w:val="center"/>
          </w:tcPr>
          <w:p w14:paraId="0F64A59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未利用地</w:t>
            </w:r>
          </w:p>
        </w:tc>
        <w:tc>
          <w:tcPr>
            <w:tcW w:w="706" w:type="dxa"/>
            <w:tcBorders>
              <w:top w:val="nil"/>
              <w:left w:val="nil"/>
              <w:bottom w:val="single" w:color="auto" w:sz="4" w:space="0"/>
              <w:right w:val="single" w:color="auto" w:sz="4" w:space="0"/>
            </w:tcBorders>
            <w:noWrap w:val="0"/>
            <w:vAlign w:val="center"/>
          </w:tcPr>
          <w:p w14:paraId="6BADBBE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亩</w:t>
            </w:r>
          </w:p>
        </w:tc>
        <w:tc>
          <w:tcPr>
            <w:tcW w:w="1038" w:type="dxa"/>
            <w:tcBorders>
              <w:top w:val="nil"/>
              <w:left w:val="nil"/>
              <w:bottom w:val="single" w:color="auto" w:sz="4" w:space="0"/>
              <w:right w:val="single" w:color="auto" w:sz="4" w:space="0"/>
            </w:tcBorders>
            <w:noWrap w:val="0"/>
            <w:vAlign w:val="center"/>
          </w:tcPr>
          <w:p w14:paraId="79A2AC53">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000</w:t>
            </w:r>
          </w:p>
        </w:tc>
      </w:tr>
    </w:tbl>
    <w:p w14:paraId="68D3374E">
      <w:pPr>
        <w:jc w:val="left"/>
        <w:rPr>
          <w:rFonts w:ascii="黑体" w:hAnsi="黑体" w:eastAsia="黑体"/>
          <w:color w:val="auto"/>
          <w:sz w:val="32"/>
          <w:szCs w:val="32"/>
        </w:rPr>
      </w:pPr>
      <w:r>
        <w:rPr>
          <w:rFonts w:hint="eastAsia" w:ascii="黑体" w:hAnsi="黑体" w:eastAsia="黑体"/>
          <w:color w:val="auto"/>
          <w:sz w:val="32"/>
          <w:szCs w:val="32"/>
        </w:rPr>
        <w:t>附件2</w:t>
      </w:r>
    </w:p>
    <w:p w14:paraId="4F6A9101">
      <w:pPr>
        <w:pStyle w:val="2"/>
        <w:spacing w:before="0" w:beforeAutospacing="0" w:after="0" w:line="5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房屋补偿标准</w:t>
      </w:r>
    </w:p>
    <w:p w14:paraId="2C5E413F">
      <w:pPr>
        <w:pStyle w:val="3"/>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536"/>
        <w:gridCol w:w="4519"/>
        <w:gridCol w:w="1439"/>
      </w:tblGrid>
      <w:tr w14:paraId="728A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noWrap w:val="0"/>
            <w:vAlign w:val="center"/>
          </w:tcPr>
          <w:p w14:paraId="10AF34F1">
            <w:pPr>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房屋结构</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0976119">
            <w:pPr>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房屋檐高</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06E04792">
            <w:pPr>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标准条件</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886B544">
            <w:pPr>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补偿标准</w:t>
            </w:r>
          </w:p>
          <w:p w14:paraId="1F7F30F0">
            <w:pPr>
              <w:jc w:val="center"/>
              <w:rPr>
                <w:rFonts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（元/平米）</w:t>
            </w:r>
          </w:p>
        </w:tc>
      </w:tr>
      <w:tr w14:paraId="1DDF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4AF69A9D">
            <w:pPr>
              <w:pStyle w:val="2"/>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砖混主平房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5E6E2C9">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3.2米以上</w:t>
            </w:r>
          </w:p>
        </w:tc>
        <w:tc>
          <w:tcPr>
            <w:tcW w:w="4519" w:type="dxa"/>
            <w:vMerge w:val="restart"/>
            <w:tcBorders>
              <w:top w:val="single" w:color="auto" w:sz="4" w:space="0"/>
              <w:left w:val="single" w:color="auto" w:sz="4" w:space="0"/>
              <w:bottom w:val="single" w:color="auto" w:sz="4" w:space="0"/>
              <w:right w:val="single" w:color="auto" w:sz="4" w:space="0"/>
            </w:tcBorders>
            <w:noWrap w:val="0"/>
            <w:vAlign w:val="center"/>
          </w:tcPr>
          <w:p w14:paraId="75481FBC">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承重的主要结构为钢筋砼和机砖、预制板或现浇屋顶、外墙37cm、塑钢门窗齐全、普通照明、室内墙面刮白、地面80cm玻化砖以下。（外墙24cm补偿标准下调10%）</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008770F">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1320</w:t>
            </w:r>
          </w:p>
        </w:tc>
      </w:tr>
      <w:tr w14:paraId="7CFF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15A40E53">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B74A507">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3.0-3.2米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35963984">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72F71B9">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1260</w:t>
            </w:r>
          </w:p>
        </w:tc>
      </w:tr>
      <w:tr w14:paraId="493E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7684E177">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AFFB614">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2.8-3.0米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66AE372A">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2196F7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1200</w:t>
            </w:r>
          </w:p>
        </w:tc>
      </w:tr>
      <w:tr w14:paraId="72EB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69AC1EC4">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24E892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4097C31B">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B619B1A">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1100</w:t>
            </w:r>
          </w:p>
        </w:tc>
      </w:tr>
      <w:tr w14:paraId="01AE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60E63765">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1250EFC">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4A072575">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2AB2662">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w:t>
            </w:r>
          </w:p>
        </w:tc>
      </w:tr>
      <w:tr w14:paraId="7EBC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4BAC43A8">
            <w:pPr>
              <w:pStyle w:val="2"/>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砖木起脊主房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B64FA1F">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3.2米以上</w:t>
            </w:r>
          </w:p>
        </w:tc>
        <w:tc>
          <w:tcPr>
            <w:tcW w:w="4519" w:type="dxa"/>
            <w:vMerge w:val="restart"/>
            <w:tcBorders>
              <w:top w:val="single" w:color="auto" w:sz="4" w:space="0"/>
              <w:left w:val="single" w:color="auto" w:sz="4" w:space="0"/>
              <w:bottom w:val="single" w:color="auto" w:sz="4" w:space="0"/>
              <w:right w:val="single" w:color="auto" w:sz="4" w:space="0"/>
            </w:tcBorders>
            <w:noWrap w:val="0"/>
            <w:vAlign w:val="center"/>
          </w:tcPr>
          <w:p w14:paraId="1BF62A8C">
            <w:pPr>
              <w:pStyle w:val="2"/>
              <w:spacing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承重的主要结构为钢筋砼和机砖、椽檩草泥屋顶、外墙37cm、塑钢门窗齐全、普通照明、室内墙面刮白、地面80cm玻化砖以下。（外墙24cm补偿标准下调10%）</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BDFD87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1220</w:t>
            </w:r>
          </w:p>
        </w:tc>
      </w:tr>
      <w:tr w14:paraId="179C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68FE31AB">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60F5435">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3.0-3.2米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4000B541">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254F0E9">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1160</w:t>
            </w:r>
          </w:p>
        </w:tc>
      </w:tr>
      <w:tr w14:paraId="0CBC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3F51F3B2">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31A3190">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2.8-3.0米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79432C57">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FB3E1C8">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1100</w:t>
            </w:r>
          </w:p>
        </w:tc>
      </w:tr>
      <w:tr w14:paraId="557A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318F79AB">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01DCF47">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1208CB95">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11855FA">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w:t>
            </w:r>
          </w:p>
        </w:tc>
      </w:tr>
      <w:tr w14:paraId="606B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0753A090">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2265A6">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339D9DDC">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B3D7C0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900</w:t>
            </w:r>
          </w:p>
        </w:tc>
      </w:tr>
      <w:tr w14:paraId="2AF9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16D89745">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砖墙彩钢顶</w:t>
            </w:r>
          </w:p>
          <w:p w14:paraId="397DB2C6">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780C1E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noWrap w:val="0"/>
            <w:vAlign w:val="center"/>
          </w:tcPr>
          <w:p w14:paraId="0DE8A1D2">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承重的主要结构为机制砖、复合彩钢顶、外墙37cm、塑钢门窗齐全、普通照明，室内墙面刮白、地面80cm玻化砖以下。（外墙24cm补偿标准下调10%）</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69144F71">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w:t>
            </w:r>
          </w:p>
        </w:tc>
      </w:tr>
      <w:tr w14:paraId="79EA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2FDA5E27">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EF20B56">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58C030B3">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554848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900</w:t>
            </w:r>
          </w:p>
        </w:tc>
      </w:tr>
      <w:tr w14:paraId="053A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0BC9CF94">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5FBC0B0">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6E4AB358">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6B9BD1F2">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800</w:t>
            </w:r>
          </w:p>
        </w:tc>
      </w:tr>
      <w:tr w14:paraId="5128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505FD1BF">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砖木主平房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28000F5">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noWrap w:val="0"/>
            <w:vAlign w:val="center"/>
          </w:tcPr>
          <w:p w14:paraId="31328908">
            <w:pPr>
              <w:pStyle w:val="2"/>
              <w:spacing w:before="0" w:beforeAutospacing="0"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承重的主要结构机制砖、椽檩草泥屋顶、外墙37cm、塑钢门窗齐全、普通照明、室内墙面刮白、地面80cm玻化砖以下。（外墙24cm补偿标准下调10%）</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F25DED6">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1050</w:t>
            </w:r>
          </w:p>
        </w:tc>
      </w:tr>
      <w:tr w14:paraId="7EA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0010D0C7">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EE6C2C8">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4EDE3974">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24BB1C0">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950</w:t>
            </w:r>
          </w:p>
        </w:tc>
      </w:tr>
      <w:tr w14:paraId="6E85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7C39E570">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F606C53">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7CF1B1B3">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1AB0C1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850</w:t>
            </w:r>
          </w:p>
        </w:tc>
      </w:tr>
      <w:tr w14:paraId="32C6D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0FBDA20C">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半砖木主平房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3E56D5B">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noWrap w:val="0"/>
            <w:vAlign w:val="center"/>
          </w:tcPr>
          <w:p w14:paraId="02DCADA9">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内墙为土坯、外墙为砖包门面、椽檩屋顶、外墙水泥勾缝、内墙草泥拉底、塑钢门窗齐全、普通照明、室内墙面刮白、地面80cm玻化砖以下。</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30851EF">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900</w:t>
            </w:r>
          </w:p>
        </w:tc>
      </w:tr>
      <w:tr w14:paraId="42249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3DB0E43A">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308ADE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458C89E3">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63173276">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850</w:t>
            </w:r>
          </w:p>
        </w:tc>
      </w:tr>
      <w:tr w14:paraId="220B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6051AB41">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22717E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627E90BD">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0562583B">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800</w:t>
            </w:r>
          </w:p>
        </w:tc>
      </w:tr>
      <w:tr w14:paraId="3AC5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05A93C8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土木主平房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17C5DA7">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noWrap w:val="0"/>
            <w:vAlign w:val="center"/>
          </w:tcPr>
          <w:p w14:paraId="27F23CB8">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土坯或土打外墙、草泥抹面、椽檩平顶、一坡出水、室内外门窗齐全、内墙泥沙抹面刷大白、达到住人条件。</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480D52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700</w:t>
            </w:r>
          </w:p>
        </w:tc>
      </w:tr>
      <w:tr w14:paraId="68A1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5D5C26A7">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F14BDA7">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50191515">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3863579">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650</w:t>
            </w:r>
          </w:p>
        </w:tc>
      </w:tr>
      <w:tr w14:paraId="2A72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3A2D0A79">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432E8C2">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noWrap w:val="0"/>
            <w:vAlign w:val="center"/>
          </w:tcPr>
          <w:p w14:paraId="0D6086DF">
            <w:pPr>
              <w:widowControl/>
              <w:jc w:val="left"/>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0F106CF4">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600</w:t>
            </w:r>
          </w:p>
        </w:tc>
      </w:tr>
      <w:tr w14:paraId="26B4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noWrap w:val="0"/>
            <w:vAlign w:val="center"/>
          </w:tcPr>
          <w:p w14:paraId="06DD2A5F">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砖混平凉房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7EC6A84">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2.2米以上</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387F90FE">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承重的主要结构为钢筋砼和机砖、预制板或现浇屋顶、外墙24cm、塑钢门窗齐全、普通照明、室内墙面刮白、地面60cm玻化砖以下。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2F9CF71">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900</w:t>
            </w:r>
          </w:p>
        </w:tc>
      </w:tr>
      <w:tr w14:paraId="37F3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noWrap w:val="0"/>
            <w:vAlign w:val="center"/>
          </w:tcPr>
          <w:p w14:paraId="261933A4">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砖木起脊凉房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65B2333">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2.2米以上</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2058E9B7">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主承重的主要结构为钢筋砼和机砖、椽檩草泥屋顶、外墙24cm、塑钢门窗齐全、普通照明、室内墙面刮白、地面60cm玻化砖以下。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8936DA5">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780</w:t>
            </w:r>
          </w:p>
        </w:tc>
      </w:tr>
      <w:tr w14:paraId="3E51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noWrap w:val="0"/>
            <w:vAlign w:val="center"/>
          </w:tcPr>
          <w:p w14:paraId="4950AC5B">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砖木平凉房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373CA8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2.2米以上</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38F9E6C1">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主承重的主要结构机制砖、椽檩草泥屋顶、外墙24cm、塑钢门窗齐全、普通照明、室内墙面刮白、地面60cm玻化砖以下。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B9478B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740</w:t>
            </w:r>
          </w:p>
        </w:tc>
      </w:tr>
      <w:tr w14:paraId="0E4E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noWrap w:val="0"/>
            <w:vAlign w:val="center"/>
          </w:tcPr>
          <w:p w14:paraId="0D87F735">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半砖木平凉房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15C610C">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2.2米以上</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6AEF9075">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内墙为土坯、外墙为砖包门面、椽檩屋顶、外墙水泥勾缝、内墙草泥拉底、塑钢门窗齐全、普通照明、室内墙面刮白、地面60cm玻化砖以下。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0B40F1C1">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600</w:t>
            </w:r>
          </w:p>
        </w:tc>
      </w:tr>
      <w:tr w14:paraId="6E3E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noWrap w:val="0"/>
            <w:vAlign w:val="center"/>
          </w:tcPr>
          <w:p w14:paraId="1116BE6D">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土木平凉房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5E6A2D8">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2.2米以上</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35CE84CC">
            <w:pPr>
              <w:pStyle w:val="2"/>
              <w:spacing w:before="0" w:beforeAutospacing="0" w:after="0" w:line="4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内墙泥沙抹面拉底、屋顶完整。</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AA1C3C8">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600</w:t>
            </w:r>
          </w:p>
        </w:tc>
      </w:tr>
      <w:tr w14:paraId="0C663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restart"/>
            <w:tcBorders>
              <w:top w:val="single" w:color="auto" w:sz="4" w:space="0"/>
              <w:left w:val="single" w:color="auto" w:sz="4" w:space="0"/>
              <w:bottom w:val="single" w:color="auto" w:sz="4" w:space="0"/>
              <w:right w:val="single" w:color="auto" w:sz="4" w:space="0"/>
            </w:tcBorders>
            <w:noWrap w:val="0"/>
            <w:vAlign w:val="center"/>
          </w:tcPr>
          <w:p w14:paraId="780096DB">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彩钢房</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2C3C0E">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钢结构</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7D812F1A">
            <w:pPr>
              <w:pStyle w:val="2"/>
              <w:spacing w:before="0" w:beforeAutospacing="0" w:after="0" w:line="400" w:lineRule="exact"/>
              <w:jc w:val="center"/>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1DBE7A0">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280</w:t>
            </w:r>
          </w:p>
        </w:tc>
      </w:tr>
      <w:tr w14:paraId="0563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vMerge w:val="continue"/>
            <w:tcBorders>
              <w:top w:val="single" w:color="auto" w:sz="4" w:space="0"/>
              <w:left w:val="single" w:color="auto" w:sz="4" w:space="0"/>
              <w:bottom w:val="single" w:color="auto" w:sz="4" w:space="0"/>
              <w:right w:val="single" w:color="auto" w:sz="4" w:space="0"/>
            </w:tcBorders>
            <w:noWrap w:val="0"/>
            <w:vAlign w:val="center"/>
          </w:tcPr>
          <w:p w14:paraId="1F531D47">
            <w:pPr>
              <w:widowControl/>
              <w:jc w:val="left"/>
              <w:rPr>
                <w:rFonts w:hint="eastAsia" w:ascii="仿宋_GB2312" w:hAnsi="仿宋_GB2312" w:eastAsia="仿宋_GB2312" w:cs="仿宋_GB2312"/>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6997FE0">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简易</w:t>
            </w:r>
          </w:p>
        </w:tc>
        <w:tc>
          <w:tcPr>
            <w:tcW w:w="4519" w:type="dxa"/>
            <w:tcBorders>
              <w:top w:val="single" w:color="auto" w:sz="4" w:space="0"/>
              <w:left w:val="single" w:color="auto" w:sz="4" w:space="0"/>
              <w:bottom w:val="single" w:color="auto" w:sz="4" w:space="0"/>
              <w:right w:val="single" w:color="auto" w:sz="4" w:space="0"/>
            </w:tcBorders>
            <w:noWrap w:val="0"/>
            <w:vAlign w:val="center"/>
          </w:tcPr>
          <w:p w14:paraId="03AB3762">
            <w:pPr>
              <w:pStyle w:val="2"/>
              <w:spacing w:before="0" w:beforeAutospacing="0" w:after="0" w:line="400" w:lineRule="exact"/>
              <w:jc w:val="center"/>
              <w:rPr>
                <w:rFonts w:hint="eastAsia" w:ascii="仿宋_GB2312" w:hAnsi="仿宋_GB2312" w:eastAsia="仿宋_GB2312" w:cs="仿宋_GB2312"/>
                <w:color w:val="auto"/>
                <w:sz w:val="24"/>
                <w:szCs w:val="24"/>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14:paraId="05E3F4CC">
            <w:pPr>
              <w:pStyle w:val="2"/>
              <w:spacing w:before="0" w:beforeAutospacing="0" w:after="0" w:line="40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180</w:t>
            </w:r>
          </w:p>
        </w:tc>
      </w:tr>
      <w:tr w14:paraId="24FB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9060" w:type="dxa"/>
            <w:gridSpan w:val="4"/>
            <w:tcBorders>
              <w:top w:val="single" w:color="auto" w:sz="4" w:space="0"/>
              <w:left w:val="single" w:color="auto" w:sz="4" w:space="0"/>
              <w:bottom w:val="single" w:color="auto" w:sz="4" w:space="0"/>
              <w:right w:val="single" w:color="auto" w:sz="4" w:space="0"/>
            </w:tcBorders>
            <w:noWrap w:val="0"/>
            <w:vAlign w:val="center"/>
          </w:tcPr>
          <w:p w14:paraId="437B9A71">
            <w:pPr>
              <w:pStyle w:val="2"/>
              <w:spacing w:before="0" w:beforeAutospacing="0"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备注：1.室内二次装修由第三方机构进行评估定价补偿；</w:t>
            </w:r>
          </w:p>
          <w:p w14:paraId="0E867EE0">
            <w:pPr>
              <w:pStyle w:val="2"/>
              <w:spacing w:before="0" w:beforeAutospacing="0"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2.达不到住人条件房屋由第三方机构按实际进行评估；  </w:t>
            </w:r>
          </w:p>
          <w:p w14:paraId="30F7D453">
            <w:pPr>
              <w:pStyle w:val="2"/>
              <w:spacing w:before="0" w:beforeAutospacing="0" w:after="0" w:line="400" w:lineRule="exact"/>
              <w:ind w:firstLine="720" w:firstLineChars="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3.房屋内放入的菌棒等一切种养殖经济作物一律不予补偿。</w:t>
            </w:r>
          </w:p>
        </w:tc>
      </w:tr>
    </w:tbl>
    <w:p w14:paraId="64ED3F6F">
      <w:pPr>
        <w:pStyle w:val="2"/>
        <w:spacing w:before="0" w:beforeAutospacing="0" w:after="156" w:afterLines="50" w:line="400" w:lineRule="exact"/>
        <w:ind w:firstLine="640" w:firstLineChars="200"/>
        <w:rPr>
          <w:rFonts w:ascii="仿宋_GB2312" w:hAnsi="仿宋_GB2312" w:eastAsia="仿宋_GB2312" w:cs="仿宋_GB2312"/>
          <w:color w:val="auto"/>
          <w:sz w:val="32"/>
          <w:szCs w:val="32"/>
        </w:rPr>
      </w:pPr>
    </w:p>
    <w:p w14:paraId="76249667">
      <w:pPr>
        <w:pStyle w:val="2"/>
        <w:spacing w:before="0" w:beforeAutospacing="0" w:after="156" w:afterLines="50" w:line="400" w:lineRule="exact"/>
        <w:ind w:firstLine="640" w:firstLineChars="200"/>
        <w:rPr>
          <w:rFonts w:ascii="仿宋_GB2312" w:hAnsi="仿宋_GB2312" w:eastAsia="仿宋_GB2312" w:cs="仿宋_GB2312"/>
          <w:color w:val="auto"/>
          <w:sz w:val="32"/>
          <w:szCs w:val="32"/>
        </w:rPr>
      </w:pPr>
    </w:p>
    <w:p w14:paraId="71F79058">
      <w:pPr>
        <w:pStyle w:val="2"/>
        <w:spacing w:before="0" w:beforeAutospacing="0" w:after="156" w:afterLines="50" w:line="400" w:lineRule="exact"/>
        <w:ind w:firstLine="640" w:firstLineChars="200"/>
        <w:rPr>
          <w:rFonts w:ascii="仿宋_GB2312" w:hAnsi="仿宋_GB2312" w:eastAsia="仿宋_GB2312" w:cs="仿宋_GB2312"/>
          <w:color w:val="auto"/>
          <w:sz w:val="32"/>
          <w:szCs w:val="32"/>
        </w:rPr>
      </w:pPr>
    </w:p>
    <w:p w14:paraId="505FF474">
      <w:pPr>
        <w:pStyle w:val="3"/>
        <w:rPr>
          <w:rFonts w:ascii="仿宋_GB2312" w:hAnsi="仿宋_GB2312" w:eastAsia="仿宋_GB2312" w:cs="仿宋_GB2312"/>
          <w:color w:val="auto"/>
          <w:sz w:val="32"/>
          <w:szCs w:val="32"/>
        </w:rPr>
      </w:pPr>
    </w:p>
    <w:p w14:paraId="412F5B66">
      <w:pPr>
        <w:pStyle w:val="3"/>
        <w:rPr>
          <w:rFonts w:ascii="仿宋_GB2312" w:hAnsi="仿宋_GB2312" w:eastAsia="仿宋_GB2312" w:cs="仿宋_GB2312"/>
          <w:color w:val="auto"/>
          <w:sz w:val="32"/>
          <w:szCs w:val="32"/>
        </w:rPr>
      </w:pPr>
    </w:p>
    <w:p w14:paraId="797EE2C6">
      <w:pPr>
        <w:pStyle w:val="3"/>
        <w:rPr>
          <w:rFonts w:ascii="仿宋_GB2312" w:hAnsi="仿宋_GB2312" w:eastAsia="仿宋_GB2312" w:cs="仿宋_GB2312"/>
          <w:color w:val="auto"/>
          <w:sz w:val="32"/>
          <w:szCs w:val="32"/>
        </w:rPr>
      </w:pPr>
    </w:p>
    <w:p w14:paraId="5A60458D">
      <w:pPr>
        <w:jc w:val="left"/>
        <w:rPr>
          <w:rFonts w:ascii="黑体" w:hAnsi="黑体" w:eastAsia="黑体"/>
          <w:color w:val="auto"/>
          <w:sz w:val="32"/>
          <w:szCs w:val="32"/>
        </w:rPr>
      </w:pPr>
      <w:r>
        <w:rPr>
          <w:rFonts w:hint="eastAsia" w:ascii="黑体" w:hAnsi="黑体" w:eastAsia="黑体"/>
          <w:color w:val="auto"/>
          <w:sz w:val="32"/>
          <w:szCs w:val="32"/>
        </w:rPr>
        <w:t>附件3</w:t>
      </w:r>
    </w:p>
    <w:p w14:paraId="63B9F926">
      <w:pPr>
        <w:pStyle w:val="2"/>
        <w:spacing w:before="0" w:beforeAutospacing="0" w:after="156" w:afterLines="50" w:line="40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附属设施补偿标准表</w:t>
      </w:r>
    </w:p>
    <w:tbl>
      <w:tblPr>
        <w:tblStyle w:val="9"/>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47"/>
        <w:gridCol w:w="1528"/>
        <w:gridCol w:w="1584"/>
        <w:gridCol w:w="1519"/>
        <w:gridCol w:w="1584"/>
      </w:tblGrid>
      <w:tr w14:paraId="3737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0" w:type="dxa"/>
            <w:noWrap w:val="0"/>
            <w:vAlign w:val="center"/>
          </w:tcPr>
          <w:p w14:paraId="7E7BC055">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项目名称</w:t>
            </w:r>
          </w:p>
        </w:tc>
        <w:tc>
          <w:tcPr>
            <w:tcW w:w="1547" w:type="dxa"/>
            <w:noWrap w:val="0"/>
            <w:vAlign w:val="center"/>
          </w:tcPr>
          <w:p w14:paraId="613C1C0D">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补偿标准</w:t>
            </w:r>
          </w:p>
        </w:tc>
        <w:tc>
          <w:tcPr>
            <w:tcW w:w="1528" w:type="dxa"/>
            <w:noWrap w:val="0"/>
            <w:vAlign w:val="center"/>
          </w:tcPr>
          <w:p w14:paraId="74B74CB5">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项目名称</w:t>
            </w:r>
          </w:p>
        </w:tc>
        <w:tc>
          <w:tcPr>
            <w:tcW w:w="1584" w:type="dxa"/>
            <w:noWrap w:val="0"/>
            <w:vAlign w:val="center"/>
          </w:tcPr>
          <w:p w14:paraId="5C664915">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补偿标准</w:t>
            </w:r>
          </w:p>
        </w:tc>
        <w:tc>
          <w:tcPr>
            <w:tcW w:w="1519" w:type="dxa"/>
            <w:noWrap w:val="0"/>
            <w:vAlign w:val="center"/>
          </w:tcPr>
          <w:p w14:paraId="57A57FA6">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项目名称</w:t>
            </w:r>
          </w:p>
        </w:tc>
        <w:tc>
          <w:tcPr>
            <w:tcW w:w="1584" w:type="dxa"/>
            <w:noWrap w:val="0"/>
            <w:vAlign w:val="center"/>
          </w:tcPr>
          <w:p w14:paraId="1A056752">
            <w:pPr>
              <w:jc w:val="center"/>
              <w:rPr>
                <w:rFonts w:ascii="楷体_GB2312" w:hAnsi="楷体_GB2312" w:eastAsia="楷体_GB2312" w:cs="楷体_GB2312"/>
                <w:b/>
                <w:color w:val="auto"/>
                <w:kern w:val="0"/>
                <w:sz w:val="24"/>
                <w:szCs w:val="24"/>
              </w:rPr>
            </w:pPr>
            <w:r>
              <w:rPr>
                <w:rFonts w:hint="eastAsia" w:ascii="楷体_GB2312" w:hAnsi="楷体_GB2312" w:eastAsia="楷体_GB2312" w:cs="楷体_GB2312"/>
                <w:b/>
                <w:color w:val="auto"/>
                <w:kern w:val="0"/>
                <w:sz w:val="24"/>
                <w:szCs w:val="24"/>
              </w:rPr>
              <w:t>补偿标准</w:t>
            </w:r>
          </w:p>
        </w:tc>
      </w:tr>
      <w:tr w14:paraId="7E0F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62D0FAA7">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露天灶</w:t>
            </w:r>
          </w:p>
        </w:tc>
        <w:tc>
          <w:tcPr>
            <w:tcW w:w="1547" w:type="dxa"/>
            <w:noWrap w:val="0"/>
            <w:vAlign w:val="center"/>
          </w:tcPr>
          <w:p w14:paraId="19276E5E">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500元/个</w:t>
            </w:r>
          </w:p>
        </w:tc>
        <w:tc>
          <w:tcPr>
            <w:tcW w:w="1528" w:type="dxa"/>
            <w:noWrap w:val="0"/>
            <w:vAlign w:val="center"/>
          </w:tcPr>
          <w:p w14:paraId="1B70735F">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土青贮池</w:t>
            </w:r>
          </w:p>
        </w:tc>
        <w:tc>
          <w:tcPr>
            <w:tcW w:w="1584" w:type="dxa"/>
            <w:noWrap w:val="0"/>
            <w:vAlign w:val="center"/>
          </w:tcPr>
          <w:p w14:paraId="445EF32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10元/m³</w:t>
            </w:r>
          </w:p>
        </w:tc>
        <w:tc>
          <w:tcPr>
            <w:tcW w:w="1519" w:type="dxa"/>
            <w:noWrap w:val="0"/>
            <w:vAlign w:val="center"/>
          </w:tcPr>
          <w:p w14:paraId="4068C6AC">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机井（＜50米）</w:t>
            </w:r>
          </w:p>
        </w:tc>
        <w:tc>
          <w:tcPr>
            <w:tcW w:w="1584" w:type="dxa"/>
            <w:noWrap w:val="0"/>
            <w:vAlign w:val="center"/>
          </w:tcPr>
          <w:p w14:paraId="21D7D819">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260元/米</w:t>
            </w:r>
          </w:p>
        </w:tc>
      </w:tr>
      <w:tr w14:paraId="3038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68EAB4C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铁大门</w:t>
            </w:r>
          </w:p>
        </w:tc>
        <w:tc>
          <w:tcPr>
            <w:tcW w:w="1547" w:type="dxa"/>
            <w:noWrap w:val="0"/>
            <w:vAlign w:val="center"/>
          </w:tcPr>
          <w:p w14:paraId="13A55EE4">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1000元/个</w:t>
            </w:r>
          </w:p>
        </w:tc>
        <w:tc>
          <w:tcPr>
            <w:tcW w:w="1528" w:type="dxa"/>
            <w:noWrap w:val="0"/>
            <w:vAlign w:val="center"/>
          </w:tcPr>
          <w:p w14:paraId="4EF7883C">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砖混青贮池</w:t>
            </w:r>
          </w:p>
        </w:tc>
        <w:tc>
          <w:tcPr>
            <w:tcW w:w="1584" w:type="dxa"/>
            <w:noWrap w:val="0"/>
            <w:vAlign w:val="center"/>
          </w:tcPr>
          <w:p w14:paraId="5C6A387C">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1000元/个</w:t>
            </w:r>
          </w:p>
        </w:tc>
        <w:tc>
          <w:tcPr>
            <w:tcW w:w="1519" w:type="dxa"/>
            <w:noWrap w:val="0"/>
            <w:vAlign w:val="center"/>
          </w:tcPr>
          <w:p w14:paraId="6E64F829">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机井（≥50米）</w:t>
            </w:r>
          </w:p>
        </w:tc>
        <w:tc>
          <w:tcPr>
            <w:tcW w:w="1584" w:type="dxa"/>
            <w:noWrap w:val="0"/>
            <w:vAlign w:val="center"/>
          </w:tcPr>
          <w:p w14:paraId="2B10C725">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350元/米</w:t>
            </w:r>
          </w:p>
        </w:tc>
      </w:tr>
      <w:tr w14:paraId="267B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67DBE14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清水墙厕所</w:t>
            </w:r>
          </w:p>
        </w:tc>
        <w:tc>
          <w:tcPr>
            <w:tcW w:w="1547" w:type="dxa"/>
            <w:noWrap w:val="0"/>
            <w:vAlign w:val="center"/>
          </w:tcPr>
          <w:p w14:paraId="1EEBDE73">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320元/㎡</w:t>
            </w:r>
          </w:p>
        </w:tc>
        <w:tc>
          <w:tcPr>
            <w:tcW w:w="1528" w:type="dxa"/>
            <w:noWrap w:val="0"/>
            <w:vAlign w:val="center"/>
          </w:tcPr>
          <w:p w14:paraId="28EED9E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240砖围墙</w:t>
            </w:r>
          </w:p>
        </w:tc>
        <w:tc>
          <w:tcPr>
            <w:tcW w:w="1584" w:type="dxa"/>
            <w:noWrap w:val="0"/>
            <w:vAlign w:val="center"/>
          </w:tcPr>
          <w:p w14:paraId="6CDF51EE">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260元/㎡</w:t>
            </w:r>
          </w:p>
        </w:tc>
        <w:tc>
          <w:tcPr>
            <w:tcW w:w="1519" w:type="dxa"/>
            <w:noWrap w:val="0"/>
            <w:vAlign w:val="center"/>
          </w:tcPr>
          <w:p w14:paraId="255CA87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大口井（直径＞1.2米）</w:t>
            </w:r>
          </w:p>
        </w:tc>
        <w:tc>
          <w:tcPr>
            <w:tcW w:w="1584" w:type="dxa"/>
            <w:noWrap w:val="0"/>
            <w:vAlign w:val="center"/>
          </w:tcPr>
          <w:p w14:paraId="35D41F47">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6000元/眼</w:t>
            </w:r>
          </w:p>
        </w:tc>
      </w:tr>
      <w:tr w14:paraId="00BD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30B867AD">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水泥抹面厕所</w:t>
            </w:r>
          </w:p>
        </w:tc>
        <w:tc>
          <w:tcPr>
            <w:tcW w:w="1547" w:type="dxa"/>
            <w:noWrap w:val="0"/>
            <w:vAlign w:val="center"/>
          </w:tcPr>
          <w:p w14:paraId="5950BBC1">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350元/㎡</w:t>
            </w:r>
          </w:p>
        </w:tc>
        <w:tc>
          <w:tcPr>
            <w:tcW w:w="1528" w:type="dxa"/>
            <w:noWrap w:val="0"/>
            <w:vAlign w:val="center"/>
          </w:tcPr>
          <w:p w14:paraId="5973BF27">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石头围墙</w:t>
            </w:r>
          </w:p>
        </w:tc>
        <w:tc>
          <w:tcPr>
            <w:tcW w:w="1584" w:type="dxa"/>
            <w:noWrap w:val="0"/>
            <w:vAlign w:val="center"/>
          </w:tcPr>
          <w:p w14:paraId="350B844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80元/㎡</w:t>
            </w:r>
          </w:p>
        </w:tc>
        <w:tc>
          <w:tcPr>
            <w:tcW w:w="1519" w:type="dxa"/>
            <w:noWrap w:val="0"/>
            <w:vAlign w:val="center"/>
          </w:tcPr>
          <w:p w14:paraId="36F74FA5">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渗水井</w:t>
            </w:r>
          </w:p>
        </w:tc>
        <w:tc>
          <w:tcPr>
            <w:tcW w:w="1584" w:type="dxa"/>
            <w:noWrap w:val="0"/>
            <w:vAlign w:val="center"/>
          </w:tcPr>
          <w:p w14:paraId="51149C4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1000元/个</w:t>
            </w:r>
          </w:p>
        </w:tc>
      </w:tr>
      <w:tr w14:paraId="676C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1783B923">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混凝土地面厕所</w:t>
            </w:r>
          </w:p>
        </w:tc>
        <w:tc>
          <w:tcPr>
            <w:tcW w:w="1547" w:type="dxa"/>
            <w:noWrap w:val="0"/>
            <w:vAlign w:val="center"/>
          </w:tcPr>
          <w:p w14:paraId="259106F3">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380元/㎡</w:t>
            </w:r>
          </w:p>
        </w:tc>
        <w:tc>
          <w:tcPr>
            <w:tcW w:w="1528" w:type="dxa"/>
            <w:noWrap w:val="0"/>
            <w:vAlign w:val="center"/>
          </w:tcPr>
          <w:p w14:paraId="607B8FE9">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土围墙</w:t>
            </w:r>
          </w:p>
        </w:tc>
        <w:tc>
          <w:tcPr>
            <w:tcW w:w="1584" w:type="dxa"/>
            <w:noWrap w:val="0"/>
            <w:vAlign w:val="center"/>
          </w:tcPr>
          <w:p w14:paraId="3209313F">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10元/㎡</w:t>
            </w:r>
          </w:p>
        </w:tc>
        <w:tc>
          <w:tcPr>
            <w:tcW w:w="1519" w:type="dxa"/>
            <w:noWrap w:val="0"/>
            <w:vAlign w:val="center"/>
          </w:tcPr>
          <w:p w14:paraId="49402673">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压水井</w:t>
            </w:r>
          </w:p>
        </w:tc>
        <w:tc>
          <w:tcPr>
            <w:tcW w:w="1584" w:type="dxa"/>
            <w:noWrap w:val="0"/>
            <w:vAlign w:val="center"/>
          </w:tcPr>
          <w:p w14:paraId="2EB59B9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2600元/眼</w:t>
            </w:r>
          </w:p>
        </w:tc>
      </w:tr>
      <w:tr w14:paraId="47CD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00" w:type="dxa"/>
            <w:noWrap w:val="0"/>
            <w:vAlign w:val="center"/>
          </w:tcPr>
          <w:p w14:paraId="641FCB36">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预制厕所</w:t>
            </w:r>
          </w:p>
        </w:tc>
        <w:tc>
          <w:tcPr>
            <w:tcW w:w="1547" w:type="dxa"/>
            <w:noWrap w:val="0"/>
            <w:vAlign w:val="center"/>
          </w:tcPr>
          <w:p w14:paraId="6F2A194D">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3200元/个</w:t>
            </w:r>
          </w:p>
        </w:tc>
        <w:tc>
          <w:tcPr>
            <w:tcW w:w="1528" w:type="dxa"/>
            <w:noWrap w:val="0"/>
            <w:vAlign w:val="center"/>
          </w:tcPr>
          <w:p w14:paraId="07E812D6">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柳围栏</w:t>
            </w:r>
          </w:p>
        </w:tc>
        <w:tc>
          <w:tcPr>
            <w:tcW w:w="1584" w:type="dxa"/>
            <w:noWrap w:val="0"/>
            <w:vAlign w:val="center"/>
          </w:tcPr>
          <w:p w14:paraId="44098474">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1元/米</w:t>
            </w:r>
          </w:p>
        </w:tc>
        <w:tc>
          <w:tcPr>
            <w:tcW w:w="1519" w:type="dxa"/>
            <w:noWrap w:val="0"/>
            <w:vAlign w:val="center"/>
          </w:tcPr>
          <w:p w14:paraId="7ED0DAED">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砖、石头、水泥、玻璃钢预制化粪池</w:t>
            </w:r>
          </w:p>
        </w:tc>
        <w:tc>
          <w:tcPr>
            <w:tcW w:w="1584" w:type="dxa"/>
            <w:noWrap w:val="0"/>
            <w:vAlign w:val="center"/>
          </w:tcPr>
          <w:p w14:paraId="32AF4C0E">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1000元/个</w:t>
            </w:r>
          </w:p>
        </w:tc>
      </w:tr>
      <w:tr w14:paraId="33BA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49D96BB4">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土厕所</w:t>
            </w:r>
          </w:p>
        </w:tc>
        <w:tc>
          <w:tcPr>
            <w:tcW w:w="1547" w:type="dxa"/>
            <w:noWrap w:val="0"/>
            <w:vAlign w:val="center"/>
          </w:tcPr>
          <w:p w14:paraId="54825A1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500元/个</w:t>
            </w:r>
          </w:p>
        </w:tc>
        <w:tc>
          <w:tcPr>
            <w:tcW w:w="1528" w:type="dxa"/>
            <w:noWrap w:val="0"/>
            <w:vAlign w:val="center"/>
          </w:tcPr>
          <w:p w14:paraId="1E6BC021">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铁丝围栏（高≥1米）</w:t>
            </w:r>
          </w:p>
        </w:tc>
        <w:tc>
          <w:tcPr>
            <w:tcW w:w="1584" w:type="dxa"/>
            <w:noWrap w:val="0"/>
            <w:vAlign w:val="center"/>
          </w:tcPr>
          <w:p w14:paraId="0EEFCAF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6元/米</w:t>
            </w:r>
          </w:p>
        </w:tc>
        <w:tc>
          <w:tcPr>
            <w:tcW w:w="1519" w:type="dxa"/>
            <w:noWrap w:val="0"/>
            <w:vAlign w:val="center"/>
          </w:tcPr>
          <w:p w14:paraId="77CDD755">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土草房</w:t>
            </w:r>
          </w:p>
        </w:tc>
        <w:tc>
          <w:tcPr>
            <w:tcW w:w="1584" w:type="dxa"/>
            <w:noWrap w:val="0"/>
            <w:vAlign w:val="center"/>
          </w:tcPr>
          <w:p w14:paraId="7C03C0C7">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500元/个</w:t>
            </w:r>
          </w:p>
        </w:tc>
      </w:tr>
      <w:tr w14:paraId="4D8C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24176956">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外墙面瓷砖</w:t>
            </w:r>
          </w:p>
        </w:tc>
        <w:tc>
          <w:tcPr>
            <w:tcW w:w="1547" w:type="dxa"/>
            <w:noWrap w:val="0"/>
            <w:vAlign w:val="center"/>
          </w:tcPr>
          <w:p w14:paraId="314B5601">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50元/㎡</w:t>
            </w:r>
          </w:p>
        </w:tc>
        <w:tc>
          <w:tcPr>
            <w:tcW w:w="1528" w:type="dxa"/>
            <w:noWrap w:val="0"/>
            <w:vAlign w:val="center"/>
          </w:tcPr>
          <w:p w14:paraId="40617059">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水泥杆刺丝网围栏</w:t>
            </w:r>
          </w:p>
        </w:tc>
        <w:tc>
          <w:tcPr>
            <w:tcW w:w="1584" w:type="dxa"/>
            <w:noWrap w:val="0"/>
            <w:vAlign w:val="center"/>
          </w:tcPr>
          <w:p w14:paraId="438C4CCF">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18元/米</w:t>
            </w:r>
          </w:p>
        </w:tc>
        <w:tc>
          <w:tcPr>
            <w:tcW w:w="1519" w:type="dxa"/>
            <w:noWrap w:val="0"/>
            <w:vAlign w:val="center"/>
          </w:tcPr>
          <w:p w14:paraId="421146CB">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冷库</w:t>
            </w:r>
          </w:p>
        </w:tc>
        <w:tc>
          <w:tcPr>
            <w:tcW w:w="1584" w:type="dxa"/>
            <w:noWrap w:val="0"/>
            <w:vAlign w:val="center"/>
          </w:tcPr>
          <w:p w14:paraId="435BA44B">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900元/m³</w:t>
            </w:r>
          </w:p>
        </w:tc>
      </w:tr>
      <w:tr w14:paraId="1C80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2D6A4C39">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砖拱菜窖（预制或现浇顶）</w:t>
            </w:r>
          </w:p>
        </w:tc>
        <w:tc>
          <w:tcPr>
            <w:tcW w:w="1547" w:type="dxa"/>
            <w:noWrap w:val="0"/>
            <w:vAlign w:val="center"/>
          </w:tcPr>
          <w:p w14:paraId="41224977">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300元/m³</w:t>
            </w:r>
          </w:p>
        </w:tc>
        <w:tc>
          <w:tcPr>
            <w:tcW w:w="1528" w:type="dxa"/>
            <w:noWrap w:val="0"/>
            <w:vAlign w:val="center"/>
          </w:tcPr>
          <w:p w14:paraId="3E53B367">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砖硬化院</w:t>
            </w:r>
          </w:p>
        </w:tc>
        <w:tc>
          <w:tcPr>
            <w:tcW w:w="1584" w:type="dxa"/>
            <w:noWrap w:val="0"/>
            <w:vAlign w:val="center"/>
          </w:tcPr>
          <w:p w14:paraId="1D72E939">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35元/㎡</w:t>
            </w:r>
          </w:p>
        </w:tc>
        <w:tc>
          <w:tcPr>
            <w:tcW w:w="1519" w:type="dxa"/>
            <w:noWrap w:val="0"/>
            <w:vAlign w:val="center"/>
          </w:tcPr>
          <w:p w14:paraId="4513906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铁狗笼（高1.6米以上）</w:t>
            </w:r>
          </w:p>
        </w:tc>
        <w:tc>
          <w:tcPr>
            <w:tcW w:w="1584" w:type="dxa"/>
            <w:noWrap w:val="0"/>
            <w:vAlign w:val="center"/>
          </w:tcPr>
          <w:p w14:paraId="4CC51F84">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150元/㎡</w:t>
            </w:r>
          </w:p>
        </w:tc>
      </w:tr>
      <w:tr w14:paraId="1BFF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3881D451">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土菜窖</w:t>
            </w:r>
          </w:p>
        </w:tc>
        <w:tc>
          <w:tcPr>
            <w:tcW w:w="1547" w:type="dxa"/>
            <w:noWrap w:val="0"/>
            <w:vAlign w:val="center"/>
          </w:tcPr>
          <w:p w14:paraId="24ED45A5">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1200元/个</w:t>
            </w:r>
          </w:p>
        </w:tc>
        <w:tc>
          <w:tcPr>
            <w:tcW w:w="1528" w:type="dxa"/>
            <w:noWrap w:val="0"/>
            <w:vAlign w:val="center"/>
          </w:tcPr>
          <w:p w14:paraId="74832016">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水泥板院</w:t>
            </w:r>
          </w:p>
        </w:tc>
        <w:tc>
          <w:tcPr>
            <w:tcW w:w="1584" w:type="dxa"/>
            <w:noWrap w:val="0"/>
            <w:vAlign w:val="center"/>
          </w:tcPr>
          <w:p w14:paraId="5EBFAB8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65元/㎡</w:t>
            </w:r>
          </w:p>
        </w:tc>
        <w:tc>
          <w:tcPr>
            <w:tcW w:w="1519" w:type="dxa"/>
            <w:noWrap w:val="0"/>
            <w:vAlign w:val="center"/>
          </w:tcPr>
          <w:p w14:paraId="76E3EC5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铁鸡笼（钢架铁丝网）</w:t>
            </w:r>
          </w:p>
        </w:tc>
        <w:tc>
          <w:tcPr>
            <w:tcW w:w="1584" w:type="dxa"/>
            <w:noWrap w:val="0"/>
            <w:vAlign w:val="center"/>
          </w:tcPr>
          <w:p w14:paraId="7674D8C0">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10元/㎡</w:t>
            </w:r>
          </w:p>
        </w:tc>
      </w:tr>
      <w:tr w14:paraId="0F89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dxa"/>
            <w:noWrap w:val="0"/>
            <w:vAlign w:val="center"/>
          </w:tcPr>
          <w:p w14:paraId="5EFBFD2A">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沥青路面道路</w:t>
            </w:r>
          </w:p>
        </w:tc>
        <w:tc>
          <w:tcPr>
            <w:tcW w:w="1547" w:type="dxa"/>
            <w:noWrap w:val="0"/>
            <w:vAlign w:val="center"/>
          </w:tcPr>
          <w:p w14:paraId="57D1631F">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150元/㎡</w:t>
            </w:r>
          </w:p>
        </w:tc>
        <w:tc>
          <w:tcPr>
            <w:tcW w:w="1528" w:type="dxa"/>
            <w:noWrap w:val="0"/>
            <w:vAlign w:val="center"/>
          </w:tcPr>
          <w:p w14:paraId="077888E8">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水泥路面道路</w:t>
            </w:r>
          </w:p>
        </w:tc>
        <w:tc>
          <w:tcPr>
            <w:tcW w:w="1584" w:type="dxa"/>
            <w:noWrap w:val="0"/>
            <w:vAlign w:val="center"/>
          </w:tcPr>
          <w:p w14:paraId="5E746985">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120元/㎡</w:t>
            </w:r>
          </w:p>
        </w:tc>
        <w:tc>
          <w:tcPr>
            <w:tcW w:w="1519" w:type="dxa"/>
            <w:noWrap w:val="0"/>
            <w:vAlign w:val="center"/>
          </w:tcPr>
          <w:p w14:paraId="2F21987E">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砂石路面道路</w:t>
            </w:r>
          </w:p>
        </w:tc>
        <w:tc>
          <w:tcPr>
            <w:tcW w:w="1584" w:type="dxa"/>
            <w:noWrap w:val="0"/>
            <w:vAlign w:val="center"/>
          </w:tcPr>
          <w:p w14:paraId="44E17692">
            <w:pPr>
              <w:pStyle w:val="2"/>
              <w:spacing w:before="0" w:beforeAutospacing="0" w:after="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50元/㎡</w:t>
            </w:r>
          </w:p>
        </w:tc>
      </w:tr>
    </w:tbl>
    <w:p w14:paraId="6008A0AF">
      <w:pPr>
        <w:pStyle w:val="2"/>
        <w:spacing w:before="0" w:beforeAutospacing="0" w:after="156" w:afterLines="50" w:line="400" w:lineRule="exact"/>
        <w:rPr>
          <w:rFonts w:ascii="仿宋_GB2312" w:hAnsi="仿宋_GB2312" w:eastAsia="仿宋_GB2312" w:cs="仿宋_GB2312"/>
          <w:color w:val="auto"/>
          <w:sz w:val="32"/>
          <w:szCs w:val="32"/>
        </w:rPr>
      </w:pPr>
    </w:p>
    <w:p w14:paraId="0630E7A7">
      <w:pPr>
        <w:pStyle w:val="2"/>
        <w:spacing w:before="0" w:beforeAutospacing="0" w:after="156" w:afterLines="50" w:line="400" w:lineRule="exact"/>
        <w:rPr>
          <w:rFonts w:ascii="仿宋_GB2312" w:hAnsi="仿宋_GB2312" w:eastAsia="仿宋_GB2312" w:cs="仿宋_GB2312"/>
          <w:color w:val="auto"/>
          <w:sz w:val="32"/>
          <w:szCs w:val="32"/>
        </w:rPr>
      </w:pPr>
    </w:p>
    <w:p w14:paraId="5FD236BC">
      <w:pPr>
        <w:pStyle w:val="2"/>
        <w:spacing w:before="0" w:beforeAutospacing="0" w:after="156" w:afterLines="50" w:line="400" w:lineRule="exact"/>
        <w:rPr>
          <w:rFonts w:ascii="仿宋_GB2312" w:hAnsi="仿宋_GB2312" w:eastAsia="仿宋_GB2312" w:cs="仿宋_GB2312"/>
          <w:color w:val="auto"/>
          <w:sz w:val="32"/>
          <w:szCs w:val="32"/>
        </w:rPr>
      </w:pPr>
    </w:p>
    <w:p w14:paraId="02E4D38F">
      <w:pPr>
        <w:pStyle w:val="2"/>
        <w:spacing w:before="0" w:beforeAutospacing="0" w:after="156" w:afterLines="50" w:line="400" w:lineRule="exact"/>
        <w:rPr>
          <w:rFonts w:ascii="仿宋_GB2312" w:hAnsi="仿宋_GB2312" w:eastAsia="仿宋_GB2312" w:cs="仿宋_GB2312"/>
          <w:color w:val="auto"/>
          <w:sz w:val="32"/>
          <w:szCs w:val="32"/>
        </w:rPr>
      </w:pPr>
    </w:p>
    <w:p w14:paraId="1B659DE5">
      <w:pPr>
        <w:pStyle w:val="2"/>
        <w:spacing w:before="0" w:beforeAutospacing="0" w:after="156" w:afterLines="50" w:line="400" w:lineRule="exact"/>
        <w:rPr>
          <w:rFonts w:ascii="仿宋_GB2312" w:hAnsi="仿宋_GB2312" w:eastAsia="仿宋_GB2312" w:cs="仿宋_GB2312"/>
          <w:b/>
          <w:bCs/>
          <w:color w:val="auto"/>
          <w:sz w:val="32"/>
          <w:szCs w:val="32"/>
        </w:rPr>
      </w:pPr>
    </w:p>
    <w:p w14:paraId="464D2F49">
      <w:pPr>
        <w:jc w:val="left"/>
        <w:rPr>
          <w:rFonts w:ascii="黑体" w:hAnsi="黑体" w:eastAsia="黑体"/>
          <w:color w:val="auto"/>
          <w:sz w:val="32"/>
          <w:szCs w:val="32"/>
        </w:rPr>
      </w:pPr>
      <w:r>
        <w:rPr>
          <w:rFonts w:hint="eastAsia" w:ascii="黑体" w:hAnsi="黑体" w:eastAsia="黑体"/>
          <w:color w:val="auto"/>
          <w:sz w:val="32"/>
          <w:szCs w:val="32"/>
        </w:rPr>
        <w:t>附件4</w:t>
      </w:r>
    </w:p>
    <w:p w14:paraId="03A4812B">
      <w:pPr>
        <w:pStyle w:val="2"/>
        <w:spacing w:before="0" w:beforeAutospacing="0" w:after="156" w:afterLines="50" w:line="4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养殖棚圈补偿标准表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3133"/>
        <w:gridCol w:w="1650"/>
        <w:gridCol w:w="2498"/>
      </w:tblGrid>
      <w:tr w14:paraId="58A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41" w:type="dxa"/>
            <w:noWrap w:val="0"/>
            <w:vAlign w:val="center"/>
          </w:tcPr>
          <w:p w14:paraId="69348506">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项目名称</w:t>
            </w:r>
          </w:p>
        </w:tc>
        <w:tc>
          <w:tcPr>
            <w:tcW w:w="3133" w:type="dxa"/>
            <w:noWrap w:val="0"/>
            <w:vAlign w:val="center"/>
          </w:tcPr>
          <w:p w14:paraId="77A991A1">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标准条件</w:t>
            </w:r>
          </w:p>
        </w:tc>
        <w:tc>
          <w:tcPr>
            <w:tcW w:w="1650" w:type="dxa"/>
            <w:noWrap w:val="0"/>
            <w:vAlign w:val="center"/>
          </w:tcPr>
          <w:p w14:paraId="71D9A43B">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w:t>
            </w:r>
          </w:p>
        </w:tc>
        <w:tc>
          <w:tcPr>
            <w:tcW w:w="2498" w:type="dxa"/>
            <w:noWrap w:val="0"/>
            <w:vAlign w:val="center"/>
          </w:tcPr>
          <w:p w14:paraId="0363AFCE">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备注</w:t>
            </w:r>
          </w:p>
        </w:tc>
      </w:tr>
      <w:tr w14:paraId="09B4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noWrap w:val="0"/>
            <w:vAlign w:val="center"/>
          </w:tcPr>
          <w:p w14:paraId="3FB16CFD">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猪舍</w:t>
            </w:r>
          </w:p>
        </w:tc>
        <w:tc>
          <w:tcPr>
            <w:tcW w:w="3133" w:type="dxa"/>
            <w:noWrap w:val="0"/>
            <w:vAlign w:val="center"/>
          </w:tcPr>
          <w:p w14:paraId="11D4B280">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砖砌墙、(配套设施齐全，有中间隔墙、小门及围墙）</w:t>
            </w:r>
          </w:p>
        </w:tc>
        <w:tc>
          <w:tcPr>
            <w:tcW w:w="1650" w:type="dxa"/>
            <w:noWrap w:val="0"/>
            <w:vAlign w:val="center"/>
          </w:tcPr>
          <w:p w14:paraId="6BE2D82E">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280元/㎡</w:t>
            </w:r>
          </w:p>
        </w:tc>
        <w:tc>
          <w:tcPr>
            <w:tcW w:w="2498" w:type="dxa"/>
            <w:noWrap w:val="0"/>
            <w:vAlign w:val="center"/>
          </w:tcPr>
          <w:p w14:paraId="39CB9DBB">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按猪舍椽、檩、柳芭抹草泥屋顶面积计算</w:t>
            </w:r>
          </w:p>
        </w:tc>
      </w:tr>
      <w:tr w14:paraId="1970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2F0467A8">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537B5149">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石头砌墙、(配套设施齐全，有中间隔墙、小门及围墙）</w:t>
            </w:r>
          </w:p>
        </w:tc>
        <w:tc>
          <w:tcPr>
            <w:tcW w:w="1650" w:type="dxa"/>
            <w:noWrap w:val="0"/>
            <w:vAlign w:val="center"/>
          </w:tcPr>
          <w:p w14:paraId="49153106">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200元/㎡</w:t>
            </w:r>
          </w:p>
        </w:tc>
        <w:tc>
          <w:tcPr>
            <w:tcW w:w="2498" w:type="dxa"/>
            <w:noWrap w:val="0"/>
            <w:vAlign w:val="center"/>
          </w:tcPr>
          <w:p w14:paraId="4694AF2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按猪舍椽、檩、柳芭抹草泥屋顶面积计算</w:t>
            </w:r>
          </w:p>
        </w:tc>
      </w:tr>
      <w:tr w14:paraId="5854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2F57623B">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1E06A859">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简易猪舍（高1.2米左右）</w:t>
            </w:r>
          </w:p>
        </w:tc>
        <w:tc>
          <w:tcPr>
            <w:tcW w:w="1650" w:type="dxa"/>
            <w:noWrap w:val="0"/>
            <w:vAlign w:val="center"/>
          </w:tcPr>
          <w:p w14:paraId="15ED7099">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150元/㎡</w:t>
            </w:r>
          </w:p>
        </w:tc>
        <w:tc>
          <w:tcPr>
            <w:tcW w:w="2498" w:type="dxa"/>
            <w:noWrap w:val="0"/>
            <w:vAlign w:val="center"/>
          </w:tcPr>
          <w:p w14:paraId="423A529D">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有顶按屋顶面积计算，无顶按围墙面积计算。</w:t>
            </w:r>
          </w:p>
        </w:tc>
      </w:tr>
      <w:tr w14:paraId="2B07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center"/>
          </w:tcPr>
          <w:p w14:paraId="54DB10D5">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牛圈</w:t>
            </w:r>
          </w:p>
        </w:tc>
        <w:tc>
          <w:tcPr>
            <w:tcW w:w="3133" w:type="dxa"/>
            <w:noWrap w:val="0"/>
            <w:vAlign w:val="center"/>
          </w:tcPr>
          <w:p w14:paraId="1462AA8C">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砖砌墙（檐高1.8米以上）</w:t>
            </w:r>
          </w:p>
        </w:tc>
        <w:tc>
          <w:tcPr>
            <w:tcW w:w="1650" w:type="dxa"/>
            <w:noWrap w:val="0"/>
            <w:vAlign w:val="center"/>
          </w:tcPr>
          <w:p w14:paraId="1CC2CA9B">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280元/㎡</w:t>
            </w:r>
          </w:p>
        </w:tc>
        <w:tc>
          <w:tcPr>
            <w:tcW w:w="2498" w:type="dxa"/>
            <w:noWrap w:val="0"/>
            <w:vAlign w:val="center"/>
          </w:tcPr>
          <w:p w14:paraId="203CB824">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按牛圈椽、檩、柳芭抹草泥屋顶面积计算</w:t>
            </w:r>
          </w:p>
        </w:tc>
      </w:tr>
      <w:tr w14:paraId="58F6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noWrap w:val="0"/>
            <w:vAlign w:val="center"/>
          </w:tcPr>
          <w:p w14:paraId="6536D740">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羊圈</w:t>
            </w:r>
          </w:p>
        </w:tc>
        <w:tc>
          <w:tcPr>
            <w:tcW w:w="3133" w:type="dxa"/>
            <w:noWrap w:val="0"/>
            <w:vAlign w:val="center"/>
          </w:tcPr>
          <w:p w14:paraId="104E118C">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砖砌墙（檐高1.8米以下）</w:t>
            </w:r>
          </w:p>
        </w:tc>
        <w:tc>
          <w:tcPr>
            <w:tcW w:w="1650" w:type="dxa"/>
            <w:noWrap w:val="0"/>
            <w:vAlign w:val="center"/>
          </w:tcPr>
          <w:p w14:paraId="6FFC9F66">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200元/㎡</w:t>
            </w:r>
          </w:p>
        </w:tc>
        <w:tc>
          <w:tcPr>
            <w:tcW w:w="2498" w:type="dxa"/>
            <w:noWrap w:val="0"/>
            <w:vAlign w:val="center"/>
          </w:tcPr>
          <w:p w14:paraId="1A3F7152">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按羊圈椽、檩、柳芭抹草泥屋顶面积计算</w:t>
            </w:r>
          </w:p>
        </w:tc>
      </w:tr>
      <w:tr w14:paraId="44EF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353C1C8F">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2406FB5D">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简易羊圈（高1.6米左右）</w:t>
            </w:r>
          </w:p>
        </w:tc>
        <w:tc>
          <w:tcPr>
            <w:tcW w:w="1650" w:type="dxa"/>
            <w:noWrap w:val="0"/>
            <w:vAlign w:val="center"/>
          </w:tcPr>
          <w:p w14:paraId="58D203AA">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150元/㎡</w:t>
            </w:r>
          </w:p>
        </w:tc>
        <w:tc>
          <w:tcPr>
            <w:tcW w:w="2498" w:type="dxa"/>
            <w:noWrap w:val="0"/>
            <w:vAlign w:val="center"/>
          </w:tcPr>
          <w:p w14:paraId="5A0D33BC">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有顶按屋顶面积计算，无顶按围墙面积计算。</w:t>
            </w:r>
          </w:p>
        </w:tc>
      </w:tr>
      <w:tr w14:paraId="0EF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restart"/>
            <w:noWrap w:val="0"/>
            <w:vAlign w:val="center"/>
          </w:tcPr>
          <w:p w14:paraId="268CE2BC">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鸽笼</w:t>
            </w:r>
          </w:p>
        </w:tc>
        <w:tc>
          <w:tcPr>
            <w:tcW w:w="3133" w:type="dxa"/>
            <w:noWrap w:val="0"/>
            <w:vAlign w:val="center"/>
          </w:tcPr>
          <w:p w14:paraId="45A6C289">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铁网带钢架</w:t>
            </w:r>
          </w:p>
        </w:tc>
        <w:tc>
          <w:tcPr>
            <w:tcW w:w="1650" w:type="dxa"/>
            <w:noWrap w:val="0"/>
            <w:vAlign w:val="center"/>
          </w:tcPr>
          <w:p w14:paraId="733F9019">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100元/㎡</w:t>
            </w:r>
          </w:p>
        </w:tc>
        <w:tc>
          <w:tcPr>
            <w:tcW w:w="2498" w:type="dxa"/>
            <w:noWrap w:val="0"/>
            <w:vAlign w:val="center"/>
          </w:tcPr>
          <w:p w14:paraId="6DB370E2">
            <w:pPr>
              <w:pStyle w:val="2"/>
              <w:spacing w:before="0" w:beforeAutospacing="0" w:after="0" w:line="400" w:lineRule="exact"/>
              <w:jc w:val="center"/>
              <w:rPr>
                <w:rFonts w:ascii="仿宋_GB2312" w:hAnsi="仿宋_GB2312" w:eastAsia="仿宋_GB2312" w:cs="仿宋_GB2312"/>
                <w:color w:val="auto"/>
                <w:sz w:val="24"/>
                <w:szCs w:val="24"/>
              </w:rPr>
            </w:pPr>
          </w:p>
        </w:tc>
      </w:tr>
      <w:tr w14:paraId="029F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02A8DFA2">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0F64D7CB">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铁网带钢架单彩顶</w:t>
            </w:r>
          </w:p>
        </w:tc>
        <w:tc>
          <w:tcPr>
            <w:tcW w:w="1650" w:type="dxa"/>
            <w:noWrap w:val="0"/>
            <w:vAlign w:val="center"/>
          </w:tcPr>
          <w:p w14:paraId="18678147">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150元/㎡</w:t>
            </w:r>
          </w:p>
        </w:tc>
        <w:tc>
          <w:tcPr>
            <w:tcW w:w="2498" w:type="dxa"/>
            <w:noWrap w:val="0"/>
            <w:vAlign w:val="center"/>
          </w:tcPr>
          <w:p w14:paraId="5BE9D1C3">
            <w:pPr>
              <w:pStyle w:val="2"/>
              <w:spacing w:before="0" w:beforeAutospacing="0" w:after="0" w:line="400" w:lineRule="exact"/>
              <w:jc w:val="center"/>
              <w:rPr>
                <w:rFonts w:ascii="仿宋_GB2312" w:hAnsi="仿宋_GB2312" w:eastAsia="仿宋_GB2312" w:cs="仿宋_GB2312"/>
                <w:color w:val="auto"/>
                <w:sz w:val="24"/>
                <w:szCs w:val="24"/>
              </w:rPr>
            </w:pPr>
          </w:p>
        </w:tc>
      </w:tr>
      <w:tr w14:paraId="565D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730EF3DD">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3C9C3558">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单彩钢一面及顶</w:t>
            </w:r>
          </w:p>
        </w:tc>
        <w:tc>
          <w:tcPr>
            <w:tcW w:w="1650" w:type="dxa"/>
            <w:noWrap w:val="0"/>
            <w:vAlign w:val="center"/>
          </w:tcPr>
          <w:p w14:paraId="1631511F">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250元/㎡平</w:t>
            </w:r>
          </w:p>
        </w:tc>
        <w:tc>
          <w:tcPr>
            <w:tcW w:w="2498" w:type="dxa"/>
            <w:noWrap w:val="0"/>
            <w:vAlign w:val="center"/>
          </w:tcPr>
          <w:p w14:paraId="7A53B095">
            <w:pPr>
              <w:pStyle w:val="2"/>
              <w:spacing w:before="0" w:beforeAutospacing="0" w:after="0" w:line="400" w:lineRule="exact"/>
              <w:jc w:val="center"/>
              <w:rPr>
                <w:rFonts w:ascii="仿宋_GB2312" w:hAnsi="仿宋_GB2312" w:eastAsia="仿宋_GB2312" w:cs="仿宋_GB2312"/>
                <w:color w:val="auto"/>
                <w:sz w:val="24"/>
                <w:szCs w:val="24"/>
              </w:rPr>
            </w:pPr>
          </w:p>
        </w:tc>
      </w:tr>
      <w:tr w14:paraId="4DFE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0ABA2BA0">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7A92DC0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单彩钢三面及顶</w:t>
            </w:r>
          </w:p>
        </w:tc>
        <w:tc>
          <w:tcPr>
            <w:tcW w:w="1650" w:type="dxa"/>
            <w:noWrap w:val="0"/>
            <w:vAlign w:val="center"/>
          </w:tcPr>
          <w:p w14:paraId="74A7154D">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300元/㎡</w:t>
            </w:r>
          </w:p>
        </w:tc>
        <w:tc>
          <w:tcPr>
            <w:tcW w:w="2498" w:type="dxa"/>
            <w:noWrap w:val="0"/>
            <w:vAlign w:val="center"/>
          </w:tcPr>
          <w:p w14:paraId="71DFD456">
            <w:pPr>
              <w:pStyle w:val="2"/>
              <w:spacing w:before="0" w:beforeAutospacing="0" w:after="0" w:line="400" w:lineRule="exact"/>
              <w:jc w:val="center"/>
              <w:rPr>
                <w:rFonts w:ascii="仿宋_GB2312" w:hAnsi="仿宋_GB2312" w:eastAsia="仿宋_GB2312" w:cs="仿宋_GB2312"/>
                <w:color w:val="auto"/>
                <w:sz w:val="24"/>
                <w:szCs w:val="24"/>
              </w:rPr>
            </w:pPr>
          </w:p>
        </w:tc>
      </w:tr>
      <w:tr w14:paraId="565D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0E780569">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7912C2A4">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复合彩钢一面及顶</w:t>
            </w:r>
          </w:p>
        </w:tc>
        <w:tc>
          <w:tcPr>
            <w:tcW w:w="1650" w:type="dxa"/>
            <w:noWrap w:val="0"/>
            <w:vAlign w:val="center"/>
          </w:tcPr>
          <w:p w14:paraId="59BC33CA">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350元/㎡</w:t>
            </w:r>
          </w:p>
        </w:tc>
        <w:tc>
          <w:tcPr>
            <w:tcW w:w="2498" w:type="dxa"/>
            <w:noWrap w:val="0"/>
            <w:vAlign w:val="center"/>
          </w:tcPr>
          <w:p w14:paraId="6166546A">
            <w:pPr>
              <w:pStyle w:val="2"/>
              <w:spacing w:before="0" w:beforeAutospacing="0" w:after="0" w:line="400" w:lineRule="exact"/>
              <w:jc w:val="center"/>
              <w:rPr>
                <w:rFonts w:ascii="仿宋_GB2312" w:hAnsi="仿宋_GB2312" w:eastAsia="仿宋_GB2312" w:cs="仿宋_GB2312"/>
                <w:color w:val="auto"/>
                <w:sz w:val="24"/>
                <w:szCs w:val="24"/>
              </w:rPr>
            </w:pPr>
          </w:p>
        </w:tc>
      </w:tr>
      <w:tr w14:paraId="6761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vMerge w:val="continue"/>
            <w:noWrap w:val="0"/>
            <w:vAlign w:val="center"/>
          </w:tcPr>
          <w:p w14:paraId="2AD89DB7">
            <w:pPr>
              <w:pStyle w:val="2"/>
              <w:spacing w:before="0" w:beforeAutospacing="0" w:after="0" w:line="400" w:lineRule="exact"/>
              <w:jc w:val="center"/>
              <w:rPr>
                <w:rFonts w:ascii="仿宋_GB2312" w:hAnsi="仿宋_GB2312" w:eastAsia="仿宋_GB2312" w:cs="仿宋_GB2312"/>
                <w:color w:val="auto"/>
                <w:sz w:val="24"/>
                <w:szCs w:val="24"/>
              </w:rPr>
            </w:pPr>
          </w:p>
        </w:tc>
        <w:tc>
          <w:tcPr>
            <w:tcW w:w="3133" w:type="dxa"/>
            <w:noWrap w:val="0"/>
            <w:vAlign w:val="center"/>
          </w:tcPr>
          <w:p w14:paraId="7734C921">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复合彩钢三面及顶</w:t>
            </w:r>
          </w:p>
        </w:tc>
        <w:tc>
          <w:tcPr>
            <w:tcW w:w="1650" w:type="dxa"/>
            <w:noWrap w:val="0"/>
            <w:vAlign w:val="center"/>
          </w:tcPr>
          <w:p w14:paraId="6FC29996">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400元/㎡</w:t>
            </w:r>
          </w:p>
        </w:tc>
        <w:tc>
          <w:tcPr>
            <w:tcW w:w="2498" w:type="dxa"/>
            <w:noWrap w:val="0"/>
            <w:vAlign w:val="center"/>
          </w:tcPr>
          <w:p w14:paraId="5E64B4D6">
            <w:pPr>
              <w:pStyle w:val="2"/>
              <w:spacing w:before="0" w:beforeAutospacing="0" w:after="0" w:line="400" w:lineRule="exact"/>
              <w:jc w:val="center"/>
              <w:rPr>
                <w:rFonts w:ascii="仿宋_GB2312" w:hAnsi="仿宋_GB2312" w:eastAsia="仿宋_GB2312" w:cs="仿宋_GB2312"/>
                <w:color w:val="auto"/>
                <w:sz w:val="24"/>
                <w:szCs w:val="24"/>
              </w:rPr>
            </w:pPr>
          </w:p>
        </w:tc>
      </w:tr>
    </w:tbl>
    <w:p w14:paraId="6ABF7A7B">
      <w:pPr>
        <w:pStyle w:val="2"/>
        <w:spacing w:before="0" w:beforeAutospacing="0" w:after="156" w:afterLines="50" w:line="400" w:lineRule="exact"/>
        <w:rPr>
          <w:rFonts w:ascii="仿宋_GB2312" w:hAnsi="仿宋_GB2312" w:eastAsia="仿宋_GB2312" w:cs="仿宋_GB2312"/>
          <w:b/>
          <w:bCs/>
          <w:color w:val="auto"/>
          <w:sz w:val="32"/>
          <w:szCs w:val="32"/>
        </w:rPr>
      </w:pPr>
    </w:p>
    <w:p w14:paraId="6375965C">
      <w:pPr>
        <w:jc w:val="left"/>
        <w:rPr>
          <w:rFonts w:ascii="仿宋_GB2312" w:hAnsi="仿宋_GB2312" w:eastAsia="仿宋_GB2312" w:cs="仿宋_GB2312"/>
          <w:color w:val="auto"/>
          <w:sz w:val="32"/>
          <w:szCs w:val="32"/>
        </w:rPr>
      </w:pPr>
    </w:p>
    <w:p w14:paraId="46990785">
      <w:pPr>
        <w:jc w:val="left"/>
        <w:rPr>
          <w:rFonts w:ascii="仿宋_GB2312" w:hAnsi="仿宋_GB2312" w:eastAsia="仿宋_GB2312" w:cs="仿宋_GB2312"/>
          <w:color w:val="auto"/>
          <w:sz w:val="32"/>
          <w:szCs w:val="32"/>
        </w:rPr>
      </w:pPr>
    </w:p>
    <w:p w14:paraId="3C72EF4B">
      <w:pPr>
        <w:jc w:val="left"/>
        <w:rPr>
          <w:rFonts w:ascii="仿宋_GB2312" w:hAnsi="仿宋_GB2312" w:eastAsia="仿宋_GB2312" w:cs="仿宋_GB2312"/>
          <w:color w:val="auto"/>
          <w:sz w:val="32"/>
          <w:szCs w:val="32"/>
        </w:rPr>
      </w:pPr>
    </w:p>
    <w:p w14:paraId="119DFABE">
      <w:pPr>
        <w:pStyle w:val="2"/>
        <w:rPr>
          <w:rFonts w:ascii="仿宋_GB2312" w:hAnsi="仿宋_GB2312" w:eastAsia="仿宋_GB2312" w:cs="仿宋_GB2312"/>
          <w:color w:val="auto"/>
          <w:sz w:val="32"/>
          <w:szCs w:val="32"/>
        </w:rPr>
      </w:pPr>
    </w:p>
    <w:p w14:paraId="2C2C49C7">
      <w:pPr>
        <w:pStyle w:val="2"/>
        <w:rPr>
          <w:rFonts w:ascii="仿宋_GB2312" w:hAnsi="仿宋_GB2312" w:eastAsia="仿宋_GB2312" w:cs="仿宋_GB2312"/>
          <w:color w:val="auto"/>
          <w:sz w:val="32"/>
          <w:szCs w:val="32"/>
        </w:rPr>
      </w:pPr>
    </w:p>
    <w:p w14:paraId="75436CB1">
      <w:pPr>
        <w:jc w:val="left"/>
        <w:rPr>
          <w:rFonts w:ascii="黑体" w:hAnsi="黑体" w:eastAsia="黑体"/>
          <w:color w:val="auto"/>
          <w:sz w:val="32"/>
          <w:szCs w:val="32"/>
        </w:rPr>
      </w:pPr>
      <w:r>
        <w:rPr>
          <w:rFonts w:hint="eastAsia" w:ascii="黑体" w:hAnsi="黑体" w:eastAsia="黑体"/>
          <w:color w:val="auto"/>
          <w:sz w:val="32"/>
          <w:szCs w:val="32"/>
        </w:rPr>
        <w:t>附件5</w:t>
      </w:r>
    </w:p>
    <w:p w14:paraId="46A30926">
      <w:pPr>
        <w:pStyle w:val="2"/>
        <w:spacing w:before="0" w:beforeAutospacing="0" w:after="156" w:afterLines="50" w:line="400" w:lineRule="exact"/>
        <w:ind w:firstLine="964" w:firstLineChars="300"/>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养殖水面土方工程补偿标准表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87"/>
        <w:gridCol w:w="4025"/>
        <w:gridCol w:w="1988"/>
      </w:tblGrid>
      <w:tr w14:paraId="609B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310" w:type="dxa"/>
            <w:gridSpan w:val="2"/>
            <w:noWrap w:val="0"/>
            <w:vAlign w:val="center"/>
          </w:tcPr>
          <w:p w14:paraId="0D84D79A">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项目名称</w:t>
            </w:r>
          </w:p>
        </w:tc>
        <w:tc>
          <w:tcPr>
            <w:tcW w:w="4025" w:type="dxa"/>
            <w:noWrap w:val="0"/>
            <w:vAlign w:val="center"/>
          </w:tcPr>
          <w:p w14:paraId="5BB8D5EA">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标准条件</w:t>
            </w:r>
          </w:p>
        </w:tc>
        <w:tc>
          <w:tcPr>
            <w:tcW w:w="1988" w:type="dxa"/>
            <w:noWrap w:val="0"/>
            <w:vAlign w:val="center"/>
          </w:tcPr>
          <w:p w14:paraId="4F7D8481">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w:t>
            </w:r>
          </w:p>
        </w:tc>
      </w:tr>
      <w:tr w14:paraId="49B5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restart"/>
            <w:noWrap w:val="0"/>
            <w:vAlign w:val="center"/>
          </w:tcPr>
          <w:p w14:paraId="31E673F8">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鱼塘</w:t>
            </w:r>
          </w:p>
        </w:tc>
        <w:tc>
          <w:tcPr>
            <w:tcW w:w="1387" w:type="dxa"/>
            <w:noWrap w:val="0"/>
            <w:vAlign w:val="center"/>
          </w:tcPr>
          <w:p w14:paraId="562B281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养殖水面</w:t>
            </w:r>
          </w:p>
        </w:tc>
        <w:tc>
          <w:tcPr>
            <w:tcW w:w="4025" w:type="dxa"/>
            <w:vMerge w:val="restart"/>
            <w:noWrap w:val="0"/>
            <w:vAlign w:val="center"/>
          </w:tcPr>
          <w:p w14:paraId="33A40F08">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具有相关部门的养殖手续</w:t>
            </w:r>
          </w:p>
        </w:tc>
        <w:tc>
          <w:tcPr>
            <w:tcW w:w="1988" w:type="dxa"/>
            <w:noWrap w:val="0"/>
            <w:vAlign w:val="center"/>
          </w:tcPr>
          <w:p w14:paraId="36B36CE1">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5800元/亩</w:t>
            </w:r>
          </w:p>
        </w:tc>
      </w:tr>
      <w:tr w14:paraId="5F5F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continue"/>
            <w:noWrap w:val="0"/>
            <w:vAlign w:val="center"/>
          </w:tcPr>
          <w:p w14:paraId="4F573606">
            <w:pPr>
              <w:pStyle w:val="2"/>
              <w:spacing w:before="0" w:beforeAutospacing="0" w:after="0" w:line="400" w:lineRule="exact"/>
              <w:jc w:val="center"/>
              <w:rPr>
                <w:rFonts w:ascii="仿宋_GB2312" w:hAnsi="仿宋_GB2312" w:eastAsia="仿宋_GB2312" w:cs="仿宋_GB2312"/>
                <w:color w:val="auto"/>
                <w:sz w:val="24"/>
                <w:szCs w:val="24"/>
              </w:rPr>
            </w:pPr>
          </w:p>
        </w:tc>
        <w:tc>
          <w:tcPr>
            <w:tcW w:w="1387" w:type="dxa"/>
            <w:noWrap w:val="0"/>
            <w:vAlign w:val="center"/>
          </w:tcPr>
          <w:p w14:paraId="35C1107B">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土方</w:t>
            </w:r>
          </w:p>
        </w:tc>
        <w:tc>
          <w:tcPr>
            <w:tcW w:w="4025" w:type="dxa"/>
            <w:vMerge w:val="continue"/>
            <w:noWrap w:val="0"/>
            <w:vAlign w:val="center"/>
          </w:tcPr>
          <w:p w14:paraId="272ED1EC">
            <w:pPr>
              <w:pStyle w:val="2"/>
              <w:spacing w:before="0" w:beforeAutospacing="0" w:after="0" w:line="400" w:lineRule="exact"/>
              <w:jc w:val="center"/>
              <w:rPr>
                <w:rFonts w:ascii="仿宋_GB2312" w:hAnsi="仿宋_GB2312" w:eastAsia="仿宋_GB2312" w:cs="仿宋_GB2312"/>
                <w:color w:val="auto"/>
                <w:sz w:val="24"/>
                <w:szCs w:val="24"/>
              </w:rPr>
            </w:pPr>
          </w:p>
        </w:tc>
        <w:tc>
          <w:tcPr>
            <w:tcW w:w="1988" w:type="dxa"/>
            <w:noWrap w:val="0"/>
            <w:vAlign w:val="center"/>
          </w:tcPr>
          <w:p w14:paraId="17E6A46D">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8元/m³</w:t>
            </w:r>
          </w:p>
        </w:tc>
      </w:tr>
      <w:tr w14:paraId="5DD9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restart"/>
            <w:noWrap w:val="0"/>
            <w:vAlign w:val="center"/>
          </w:tcPr>
          <w:p w14:paraId="0938963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水塘</w:t>
            </w:r>
          </w:p>
        </w:tc>
        <w:tc>
          <w:tcPr>
            <w:tcW w:w="1387" w:type="dxa"/>
            <w:noWrap w:val="0"/>
            <w:vAlign w:val="center"/>
          </w:tcPr>
          <w:p w14:paraId="7AE33E1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水面</w:t>
            </w:r>
          </w:p>
        </w:tc>
        <w:tc>
          <w:tcPr>
            <w:tcW w:w="4025" w:type="dxa"/>
            <w:vMerge w:val="restart"/>
            <w:noWrap w:val="0"/>
            <w:vAlign w:val="center"/>
          </w:tcPr>
          <w:p w14:paraId="6C1B73D2">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988" w:type="dxa"/>
            <w:noWrap w:val="0"/>
            <w:vAlign w:val="center"/>
          </w:tcPr>
          <w:p w14:paraId="70603BC2">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2900元/亩</w:t>
            </w:r>
          </w:p>
        </w:tc>
      </w:tr>
      <w:tr w14:paraId="14EC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continue"/>
            <w:noWrap w:val="0"/>
            <w:vAlign w:val="center"/>
          </w:tcPr>
          <w:p w14:paraId="0932966C">
            <w:pPr>
              <w:pStyle w:val="2"/>
              <w:spacing w:before="0" w:beforeAutospacing="0" w:after="0" w:line="400" w:lineRule="exact"/>
              <w:jc w:val="center"/>
              <w:rPr>
                <w:rFonts w:ascii="仿宋_GB2312" w:hAnsi="仿宋_GB2312" w:eastAsia="仿宋_GB2312" w:cs="仿宋_GB2312"/>
                <w:color w:val="auto"/>
                <w:sz w:val="24"/>
                <w:szCs w:val="24"/>
              </w:rPr>
            </w:pPr>
          </w:p>
        </w:tc>
        <w:tc>
          <w:tcPr>
            <w:tcW w:w="1387" w:type="dxa"/>
            <w:noWrap w:val="0"/>
            <w:vAlign w:val="center"/>
          </w:tcPr>
          <w:p w14:paraId="59C09E6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土方</w:t>
            </w:r>
          </w:p>
        </w:tc>
        <w:tc>
          <w:tcPr>
            <w:tcW w:w="4025" w:type="dxa"/>
            <w:vMerge w:val="continue"/>
            <w:noWrap w:val="0"/>
            <w:vAlign w:val="center"/>
          </w:tcPr>
          <w:p w14:paraId="2A9C6BCA">
            <w:pPr>
              <w:pStyle w:val="2"/>
              <w:spacing w:before="0" w:beforeAutospacing="0" w:after="0" w:line="400" w:lineRule="exact"/>
              <w:jc w:val="center"/>
              <w:rPr>
                <w:rFonts w:ascii="仿宋_GB2312" w:hAnsi="仿宋_GB2312" w:eastAsia="仿宋_GB2312" w:cs="仿宋_GB2312"/>
                <w:color w:val="auto"/>
                <w:sz w:val="24"/>
                <w:szCs w:val="24"/>
              </w:rPr>
            </w:pPr>
          </w:p>
        </w:tc>
        <w:tc>
          <w:tcPr>
            <w:tcW w:w="1988" w:type="dxa"/>
            <w:noWrap w:val="0"/>
            <w:vAlign w:val="center"/>
          </w:tcPr>
          <w:p w14:paraId="086471A3">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元/m³</w:t>
            </w:r>
          </w:p>
        </w:tc>
      </w:tr>
      <w:tr w14:paraId="64DB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restart"/>
            <w:noWrap w:val="0"/>
            <w:vAlign w:val="center"/>
          </w:tcPr>
          <w:p w14:paraId="132AD29E">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拦河坝</w:t>
            </w:r>
          </w:p>
        </w:tc>
        <w:tc>
          <w:tcPr>
            <w:tcW w:w="1387" w:type="dxa"/>
            <w:noWrap w:val="0"/>
            <w:vAlign w:val="center"/>
          </w:tcPr>
          <w:p w14:paraId="6963CFA3">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水面</w:t>
            </w:r>
          </w:p>
        </w:tc>
        <w:tc>
          <w:tcPr>
            <w:tcW w:w="4025" w:type="dxa"/>
            <w:vMerge w:val="restart"/>
            <w:noWrap w:val="0"/>
            <w:vAlign w:val="center"/>
          </w:tcPr>
          <w:p w14:paraId="43CCEC74">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自然河道上建设</w:t>
            </w:r>
          </w:p>
        </w:tc>
        <w:tc>
          <w:tcPr>
            <w:tcW w:w="1988" w:type="dxa"/>
            <w:noWrap w:val="0"/>
            <w:vAlign w:val="center"/>
          </w:tcPr>
          <w:p w14:paraId="167C0A40">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水面不予补偿</w:t>
            </w:r>
          </w:p>
        </w:tc>
      </w:tr>
      <w:tr w14:paraId="2BBC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continue"/>
            <w:noWrap w:val="0"/>
            <w:vAlign w:val="center"/>
          </w:tcPr>
          <w:p w14:paraId="50A559DA">
            <w:pPr>
              <w:pStyle w:val="2"/>
              <w:spacing w:before="0" w:beforeAutospacing="0" w:after="0" w:line="400" w:lineRule="exact"/>
              <w:jc w:val="center"/>
              <w:rPr>
                <w:rFonts w:ascii="仿宋_GB2312" w:hAnsi="仿宋_GB2312" w:eastAsia="仿宋_GB2312" w:cs="仿宋_GB2312"/>
                <w:color w:val="auto"/>
                <w:sz w:val="24"/>
                <w:szCs w:val="24"/>
              </w:rPr>
            </w:pPr>
          </w:p>
        </w:tc>
        <w:tc>
          <w:tcPr>
            <w:tcW w:w="1387" w:type="dxa"/>
            <w:noWrap w:val="0"/>
            <w:vAlign w:val="center"/>
          </w:tcPr>
          <w:p w14:paraId="08D392C5">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土方</w:t>
            </w:r>
          </w:p>
        </w:tc>
        <w:tc>
          <w:tcPr>
            <w:tcW w:w="4025" w:type="dxa"/>
            <w:vMerge w:val="continue"/>
            <w:noWrap w:val="0"/>
            <w:vAlign w:val="center"/>
          </w:tcPr>
          <w:p w14:paraId="148559B3">
            <w:pPr>
              <w:pStyle w:val="2"/>
              <w:spacing w:before="0" w:beforeAutospacing="0" w:after="0" w:line="400" w:lineRule="exact"/>
              <w:jc w:val="center"/>
              <w:rPr>
                <w:rFonts w:ascii="仿宋_GB2312" w:hAnsi="仿宋_GB2312" w:eastAsia="仿宋_GB2312" w:cs="仿宋_GB2312"/>
                <w:color w:val="auto"/>
                <w:sz w:val="24"/>
                <w:szCs w:val="24"/>
              </w:rPr>
            </w:pPr>
          </w:p>
        </w:tc>
        <w:tc>
          <w:tcPr>
            <w:tcW w:w="1988" w:type="dxa"/>
            <w:noWrap w:val="0"/>
            <w:vAlign w:val="center"/>
          </w:tcPr>
          <w:p w14:paraId="0364B839">
            <w:pPr>
              <w:pStyle w:val="2"/>
              <w:spacing w:before="0" w:beforeAutospacing="0" w:after="0"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元/m³</w:t>
            </w:r>
          </w:p>
        </w:tc>
      </w:tr>
    </w:tbl>
    <w:p w14:paraId="74B361C3">
      <w:pPr>
        <w:pStyle w:val="2"/>
        <w:spacing w:before="0" w:beforeAutospacing="0" w:after="156" w:afterLines="50" w:line="400" w:lineRule="exact"/>
        <w:jc w:val="both"/>
        <w:rPr>
          <w:rFonts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说明：</w:t>
      </w:r>
      <w:r>
        <w:rPr>
          <w:rFonts w:hint="eastAsia" w:ascii="仿宋_GB2312" w:hAnsi="仿宋_GB2312" w:eastAsia="仿宋_GB2312" w:cs="仿宋_GB2312"/>
          <w:color w:val="auto"/>
          <w:sz w:val="24"/>
          <w:szCs w:val="24"/>
        </w:rPr>
        <w:t>未列入上述项目的由第三方机构评估定价补偿。</w:t>
      </w:r>
    </w:p>
    <w:p w14:paraId="7B05FFF0">
      <w:pPr>
        <w:pStyle w:val="2"/>
        <w:spacing w:before="0" w:beforeAutospacing="0" w:after="156" w:afterLines="50" w:line="400" w:lineRule="exact"/>
        <w:rPr>
          <w:rFonts w:ascii="仿宋_GB2312" w:hAnsi="仿宋_GB2312" w:eastAsia="仿宋_GB2312" w:cs="仿宋_GB2312"/>
          <w:color w:val="auto"/>
          <w:sz w:val="32"/>
          <w:szCs w:val="32"/>
        </w:rPr>
      </w:pPr>
    </w:p>
    <w:p w14:paraId="4D74E28A">
      <w:pPr>
        <w:pStyle w:val="2"/>
        <w:spacing w:before="0" w:beforeAutospacing="0" w:after="156" w:afterLines="50" w:line="400" w:lineRule="exact"/>
        <w:rPr>
          <w:rFonts w:ascii="仿宋_GB2312" w:hAnsi="仿宋_GB2312" w:eastAsia="仿宋_GB2312" w:cs="仿宋_GB2312"/>
          <w:color w:val="auto"/>
          <w:sz w:val="32"/>
          <w:szCs w:val="32"/>
        </w:rPr>
      </w:pPr>
    </w:p>
    <w:p w14:paraId="0BDE4AAE">
      <w:pPr>
        <w:pStyle w:val="2"/>
        <w:spacing w:before="0" w:beforeAutospacing="0" w:after="156" w:afterLines="50" w:line="400" w:lineRule="exact"/>
        <w:rPr>
          <w:rFonts w:ascii="仿宋_GB2312" w:hAnsi="仿宋_GB2312" w:eastAsia="仿宋_GB2312" w:cs="仿宋_GB2312"/>
          <w:color w:val="auto"/>
          <w:sz w:val="32"/>
          <w:szCs w:val="32"/>
        </w:rPr>
      </w:pPr>
    </w:p>
    <w:p w14:paraId="47824370">
      <w:pPr>
        <w:pStyle w:val="2"/>
        <w:spacing w:before="0" w:beforeAutospacing="0" w:after="156" w:afterLines="50" w:line="400" w:lineRule="exact"/>
        <w:rPr>
          <w:rFonts w:ascii="仿宋_GB2312" w:hAnsi="仿宋_GB2312" w:eastAsia="仿宋_GB2312" w:cs="仿宋_GB2312"/>
          <w:color w:val="auto"/>
          <w:sz w:val="32"/>
          <w:szCs w:val="32"/>
        </w:rPr>
      </w:pPr>
    </w:p>
    <w:p w14:paraId="5AE5792E">
      <w:pPr>
        <w:pStyle w:val="2"/>
        <w:spacing w:before="0" w:beforeAutospacing="0" w:after="156" w:afterLines="50" w:line="400" w:lineRule="exact"/>
        <w:rPr>
          <w:rFonts w:ascii="仿宋_GB2312" w:hAnsi="仿宋_GB2312" w:eastAsia="仿宋_GB2312" w:cs="仿宋_GB2312"/>
          <w:color w:val="auto"/>
          <w:sz w:val="32"/>
          <w:szCs w:val="32"/>
        </w:rPr>
      </w:pPr>
    </w:p>
    <w:p w14:paraId="464F98BF">
      <w:pPr>
        <w:pStyle w:val="2"/>
        <w:spacing w:before="0" w:beforeAutospacing="0" w:after="156" w:afterLines="50" w:line="400" w:lineRule="exact"/>
        <w:rPr>
          <w:rFonts w:ascii="仿宋_GB2312" w:hAnsi="仿宋_GB2312" w:eastAsia="仿宋_GB2312" w:cs="仿宋_GB2312"/>
          <w:color w:val="auto"/>
          <w:sz w:val="32"/>
          <w:szCs w:val="32"/>
        </w:rPr>
      </w:pPr>
    </w:p>
    <w:p w14:paraId="03C32198">
      <w:pPr>
        <w:pStyle w:val="2"/>
        <w:spacing w:before="0" w:beforeAutospacing="0" w:after="156" w:afterLines="50" w:line="400" w:lineRule="exact"/>
        <w:rPr>
          <w:rFonts w:ascii="仿宋_GB2312" w:hAnsi="仿宋_GB2312" w:eastAsia="仿宋_GB2312" w:cs="仿宋_GB2312"/>
          <w:color w:val="auto"/>
          <w:sz w:val="32"/>
          <w:szCs w:val="32"/>
        </w:rPr>
      </w:pPr>
    </w:p>
    <w:p w14:paraId="2FF42BDA">
      <w:pPr>
        <w:pStyle w:val="2"/>
        <w:spacing w:before="0" w:beforeAutospacing="0" w:after="156" w:afterLines="50" w:line="400" w:lineRule="exact"/>
        <w:rPr>
          <w:rFonts w:ascii="仿宋_GB2312" w:hAnsi="仿宋_GB2312" w:eastAsia="仿宋_GB2312" w:cs="仿宋_GB2312"/>
          <w:color w:val="auto"/>
          <w:sz w:val="32"/>
          <w:szCs w:val="32"/>
        </w:rPr>
      </w:pPr>
    </w:p>
    <w:p w14:paraId="0CE3916F">
      <w:pPr>
        <w:pStyle w:val="2"/>
        <w:spacing w:before="0" w:beforeAutospacing="0" w:after="156" w:afterLines="50" w:line="400" w:lineRule="exact"/>
        <w:rPr>
          <w:rFonts w:ascii="仿宋_GB2312" w:hAnsi="仿宋_GB2312" w:eastAsia="仿宋_GB2312" w:cs="仿宋_GB2312"/>
          <w:color w:val="auto"/>
          <w:sz w:val="32"/>
          <w:szCs w:val="32"/>
        </w:rPr>
      </w:pPr>
    </w:p>
    <w:p w14:paraId="3D23F0B8">
      <w:pPr>
        <w:pStyle w:val="2"/>
        <w:spacing w:before="0" w:beforeAutospacing="0" w:after="156" w:afterLines="50" w:line="400" w:lineRule="exact"/>
        <w:rPr>
          <w:rFonts w:ascii="仿宋_GB2312" w:hAnsi="仿宋_GB2312" w:eastAsia="仿宋_GB2312" w:cs="仿宋_GB2312"/>
          <w:color w:val="auto"/>
          <w:sz w:val="32"/>
          <w:szCs w:val="32"/>
        </w:rPr>
      </w:pPr>
    </w:p>
    <w:p w14:paraId="03EA1A02">
      <w:pPr>
        <w:pStyle w:val="2"/>
        <w:spacing w:before="0" w:beforeAutospacing="0" w:after="156" w:afterLines="50" w:line="400" w:lineRule="exact"/>
        <w:rPr>
          <w:rFonts w:ascii="仿宋_GB2312" w:hAnsi="仿宋_GB2312" w:eastAsia="仿宋_GB2312" w:cs="仿宋_GB2312"/>
          <w:color w:val="auto"/>
          <w:sz w:val="32"/>
          <w:szCs w:val="32"/>
        </w:rPr>
      </w:pPr>
    </w:p>
    <w:p w14:paraId="76286950">
      <w:pPr>
        <w:pStyle w:val="2"/>
        <w:spacing w:before="0" w:beforeAutospacing="0" w:after="156" w:afterLines="50" w:line="400" w:lineRule="exact"/>
        <w:rPr>
          <w:rFonts w:ascii="仿宋_GB2312" w:hAnsi="仿宋_GB2312" w:eastAsia="仿宋_GB2312" w:cs="仿宋_GB2312"/>
          <w:color w:val="auto"/>
          <w:sz w:val="32"/>
          <w:szCs w:val="32"/>
        </w:rPr>
      </w:pPr>
    </w:p>
    <w:p w14:paraId="4376AFBE">
      <w:pPr>
        <w:pStyle w:val="2"/>
        <w:spacing w:before="0" w:beforeAutospacing="0" w:after="156" w:afterLines="50" w:line="400" w:lineRule="exact"/>
        <w:rPr>
          <w:rFonts w:ascii="仿宋_GB2312" w:hAnsi="仿宋_GB2312" w:eastAsia="仿宋_GB2312" w:cs="仿宋_GB2312"/>
          <w:color w:val="auto"/>
          <w:sz w:val="32"/>
          <w:szCs w:val="32"/>
        </w:rPr>
      </w:pPr>
    </w:p>
    <w:p w14:paraId="021276FD">
      <w:pPr>
        <w:pStyle w:val="2"/>
        <w:spacing w:before="0" w:beforeAutospacing="0" w:after="156" w:afterLines="50" w:line="400" w:lineRule="exact"/>
        <w:rPr>
          <w:rFonts w:ascii="仿宋_GB2312" w:hAnsi="仿宋_GB2312" w:eastAsia="仿宋_GB2312" w:cs="仿宋_GB2312"/>
          <w:color w:val="auto"/>
          <w:sz w:val="32"/>
          <w:szCs w:val="32"/>
        </w:rPr>
      </w:pPr>
    </w:p>
    <w:p w14:paraId="139EA53F">
      <w:pPr>
        <w:jc w:val="left"/>
        <w:rPr>
          <w:rFonts w:ascii="黑体" w:hAnsi="黑体" w:eastAsia="黑体"/>
          <w:color w:val="auto"/>
          <w:sz w:val="32"/>
          <w:szCs w:val="32"/>
        </w:rPr>
      </w:pPr>
      <w:r>
        <w:rPr>
          <w:rFonts w:hint="eastAsia" w:ascii="黑体" w:hAnsi="黑体" w:eastAsia="黑体"/>
          <w:color w:val="auto"/>
          <w:sz w:val="32"/>
          <w:szCs w:val="32"/>
        </w:rPr>
        <w:t>附件6</w:t>
      </w:r>
    </w:p>
    <w:p w14:paraId="4976D533">
      <w:pPr>
        <w:pStyle w:val="2"/>
        <w:spacing w:before="0" w:beforeAutospacing="0" w:after="156" w:afterLines="50" w:line="4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温室大棚补偿标准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463"/>
        <w:gridCol w:w="1228"/>
        <w:gridCol w:w="3189"/>
      </w:tblGrid>
      <w:tr w14:paraId="2555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80" w:type="dxa"/>
            <w:noWrap w:val="0"/>
            <w:vAlign w:val="center"/>
          </w:tcPr>
          <w:p w14:paraId="6DFE366C">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项目名称</w:t>
            </w:r>
          </w:p>
        </w:tc>
        <w:tc>
          <w:tcPr>
            <w:tcW w:w="3463" w:type="dxa"/>
            <w:noWrap w:val="0"/>
            <w:vAlign w:val="center"/>
          </w:tcPr>
          <w:p w14:paraId="592E8E3E">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标准条件</w:t>
            </w:r>
          </w:p>
        </w:tc>
        <w:tc>
          <w:tcPr>
            <w:tcW w:w="1228" w:type="dxa"/>
            <w:noWrap w:val="0"/>
            <w:vAlign w:val="center"/>
          </w:tcPr>
          <w:p w14:paraId="3A4B47D5">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w:t>
            </w:r>
          </w:p>
        </w:tc>
        <w:tc>
          <w:tcPr>
            <w:tcW w:w="3189" w:type="dxa"/>
            <w:noWrap w:val="0"/>
            <w:vAlign w:val="center"/>
          </w:tcPr>
          <w:p w14:paraId="173B42A4">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备注</w:t>
            </w:r>
          </w:p>
        </w:tc>
      </w:tr>
      <w:tr w14:paraId="5622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33260327">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温室</w:t>
            </w:r>
          </w:p>
        </w:tc>
        <w:tc>
          <w:tcPr>
            <w:tcW w:w="3463" w:type="dxa"/>
            <w:noWrap w:val="0"/>
            <w:vAlign w:val="center"/>
          </w:tcPr>
          <w:p w14:paraId="473D6656">
            <w:pPr>
              <w:pStyle w:val="2"/>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砖砌墙240，向阳，墙高在2米以上、土地平整、有正常用途，有铁架。</w:t>
            </w:r>
          </w:p>
        </w:tc>
        <w:tc>
          <w:tcPr>
            <w:tcW w:w="1228" w:type="dxa"/>
            <w:noWrap w:val="0"/>
            <w:vAlign w:val="center"/>
          </w:tcPr>
          <w:p w14:paraId="73FAB048">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80元/㎡</w:t>
            </w:r>
          </w:p>
        </w:tc>
        <w:tc>
          <w:tcPr>
            <w:tcW w:w="3189" w:type="dxa"/>
            <w:vMerge w:val="restart"/>
            <w:noWrap w:val="0"/>
            <w:vAlign w:val="center"/>
          </w:tcPr>
          <w:p w14:paraId="1AFAB640">
            <w:pPr>
              <w:pStyle w:val="2"/>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1.仅有砖墙的半成品温室大棚，按照砖墙的补偿标准进行补偿；2.大棚覆盖的塑料布、棉帘、遮阳网、电动卷帘由第三方机构评估定价补偿；</w:t>
            </w:r>
            <w:bookmarkStart w:id="15" w:name="OLE_LINK15"/>
            <w:r>
              <w:rPr>
                <w:rFonts w:hint="eastAsia" w:ascii="仿宋_GB2312" w:hAnsi="仿宋_GB2312" w:eastAsia="仿宋_GB2312" w:cs="仿宋_GB2312"/>
                <w:color w:val="auto"/>
                <w:sz w:val="24"/>
                <w:szCs w:val="24"/>
              </w:rPr>
              <w:t>3.对适宜温室内生长且不到收获期的植物，经第三方机构评估确定。4．正在出菇的菌棒，经第三方机构评估确定。5．</w:t>
            </w:r>
            <w:r>
              <w:rPr>
                <w:rFonts w:hint="eastAsia" w:ascii="仿宋_GB2312" w:hAnsi="仿宋_GB2312" w:eastAsia="仿宋_GB2312" w:cs="仿宋_GB2312"/>
                <w:color w:val="auto"/>
                <w:sz w:val="24"/>
                <w:szCs w:val="24"/>
                <w:lang w:val="en-US" w:eastAsia="zh-CN"/>
              </w:rPr>
              <w:t>温室内</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废弃菌棒、</w:t>
            </w:r>
            <w:bookmarkStart w:id="16" w:name="OLE_LINK17"/>
            <w:r>
              <w:rPr>
                <w:rFonts w:hint="eastAsia" w:ascii="仿宋_GB2312" w:hAnsi="仿宋_GB2312" w:eastAsia="仿宋_GB2312" w:cs="仿宋_GB2312"/>
                <w:color w:val="auto"/>
                <w:sz w:val="24"/>
                <w:szCs w:val="24"/>
                <w:lang w:val="en-US" w:eastAsia="zh-CN"/>
              </w:rPr>
              <w:t>到收获期</w:t>
            </w:r>
            <w:bookmarkEnd w:id="16"/>
            <w:r>
              <w:rPr>
                <w:rFonts w:hint="eastAsia" w:ascii="仿宋_GB2312" w:hAnsi="仿宋_GB2312" w:eastAsia="仿宋_GB2312" w:cs="仿宋_GB2312"/>
                <w:color w:val="auto"/>
                <w:sz w:val="24"/>
                <w:szCs w:val="24"/>
                <w:lang w:val="en-US" w:eastAsia="zh-CN"/>
              </w:rPr>
              <w:t>及不适宜大棚内生长</w:t>
            </w:r>
            <w:r>
              <w:rPr>
                <w:rFonts w:hint="eastAsia" w:ascii="仿宋_GB2312" w:hAnsi="仿宋_GB2312" w:eastAsia="仿宋_GB2312" w:cs="仿宋_GB2312"/>
                <w:color w:val="auto"/>
                <w:sz w:val="24"/>
                <w:szCs w:val="24"/>
              </w:rPr>
              <w:t>一切</w:t>
            </w:r>
            <w:r>
              <w:rPr>
                <w:rFonts w:hint="eastAsia" w:ascii="仿宋_GB2312" w:hAnsi="仿宋_GB2312" w:eastAsia="仿宋_GB2312" w:cs="仿宋_GB2312"/>
                <w:color w:val="auto"/>
                <w:sz w:val="24"/>
                <w:szCs w:val="24"/>
                <w:lang w:val="en-US" w:eastAsia="zh-CN"/>
              </w:rPr>
              <w:t>植</w:t>
            </w:r>
            <w:r>
              <w:rPr>
                <w:rFonts w:hint="eastAsia" w:ascii="仿宋_GB2312" w:hAnsi="仿宋_GB2312" w:eastAsia="仿宋_GB2312" w:cs="仿宋_GB2312"/>
                <w:color w:val="auto"/>
                <w:sz w:val="24"/>
                <w:szCs w:val="24"/>
              </w:rPr>
              <w:t>物一律不予补偿。</w:t>
            </w:r>
            <w:bookmarkEnd w:id="15"/>
          </w:p>
        </w:tc>
      </w:tr>
      <w:tr w14:paraId="081E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0" w:type="dxa"/>
            <w:vMerge w:val="continue"/>
            <w:noWrap w:val="0"/>
            <w:vAlign w:val="center"/>
          </w:tcPr>
          <w:p w14:paraId="330E06A9">
            <w:pPr>
              <w:pStyle w:val="2"/>
              <w:jc w:val="center"/>
              <w:rPr>
                <w:rFonts w:ascii="仿宋_GB2312" w:hAnsi="仿宋_GB2312" w:eastAsia="仿宋_GB2312" w:cs="仿宋_GB2312"/>
                <w:color w:val="auto"/>
                <w:sz w:val="24"/>
                <w:szCs w:val="24"/>
              </w:rPr>
            </w:pPr>
          </w:p>
        </w:tc>
        <w:tc>
          <w:tcPr>
            <w:tcW w:w="3463" w:type="dxa"/>
            <w:noWrap w:val="0"/>
            <w:vAlign w:val="center"/>
          </w:tcPr>
          <w:p w14:paraId="3036D108">
            <w:pPr>
              <w:pStyle w:val="2"/>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砖砌墙370，向阳，墙高在2米以上、土地平整、有正常用途，有铁架。</w:t>
            </w:r>
          </w:p>
        </w:tc>
        <w:tc>
          <w:tcPr>
            <w:tcW w:w="1228" w:type="dxa"/>
            <w:noWrap w:val="0"/>
            <w:vAlign w:val="center"/>
          </w:tcPr>
          <w:p w14:paraId="3EE4977A">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95元/㎡</w:t>
            </w:r>
          </w:p>
        </w:tc>
        <w:tc>
          <w:tcPr>
            <w:tcW w:w="3189" w:type="dxa"/>
            <w:vMerge w:val="continue"/>
            <w:noWrap w:val="0"/>
            <w:vAlign w:val="center"/>
          </w:tcPr>
          <w:p w14:paraId="070D79C0">
            <w:pPr>
              <w:pStyle w:val="2"/>
              <w:rPr>
                <w:rFonts w:ascii="仿宋_GB2312" w:hAnsi="仿宋_GB2312" w:eastAsia="仿宋_GB2312" w:cs="仿宋_GB2312"/>
                <w:color w:val="auto"/>
                <w:sz w:val="24"/>
                <w:szCs w:val="24"/>
              </w:rPr>
            </w:pPr>
          </w:p>
        </w:tc>
      </w:tr>
      <w:tr w14:paraId="37C1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47AD8C69">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钢架大棚</w:t>
            </w:r>
          </w:p>
        </w:tc>
        <w:tc>
          <w:tcPr>
            <w:tcW w:w="3463" w:type="dxa"/>
            <w:noWrap w:val="0"/>
            <w:vAlign w:val="center"/>
          </w:tcPr>
          <w:p w14:paraId="15E17266">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跨度8米</w:t>
            </w:r>
          </w:p>
        </w:tc>
        <w:tc>
          <w:tcPr>
            <w:tcW w:w="1228" w:type="dxa"/>
            <w:noWrap w:val="0"/>
            <w:vAlign w:val="center"/>
          </w:tcPr>
          <w:p w14:paraId="0641FF5D">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120/根</w:t>
            </w:r>
          </w:p>
        </w:tc>
        <w:tc>
          <w:tcPr>
            <w:tcW w:w="3189" w:type="dxa"/>
            <w:vMerge w:val="restart"/>
            <w:noWrap w:val="0"/>
            <w:vAlign w:val="center"/>
          </w:tcPr>
          <w:p w14:paraId="7C6B2B2A">
            <w:pPr>
              <w:pStyle w:val="2"/>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1.大棚覆盖的塑料布、棉帘、遮阳网等由第三方机构评估定价补偿；2.对适宜温室内生长且不到收获期的植物，经第三方机构评估确定。</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．正在出菇的菌棒，经第三方机构评估确定。</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．棚内</w:t>
            </w:r>
            <w:bookmarkStart w:id="17" w:name="OLE_LINK16"/>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废弃菌棒、到收获期及不适宜大棚内生长</w:t>
            </w:r>
            <w:r>
              <w:rPr>
                <w:rFonts w:hint="eastAsia" w:ascii="仿宋_GB2312" w:hAnsi="仿宋_GB2312" w:eastAsia="仿宋_GB2312" w:cs="仿宋_GB2312"/>
                <w:color w:val="auto"/>
                <w:sz w:val="24"/>
                <w:szCs w:val="24"/>
              </w:rPr>
              <w:t>一切</w:t>
            </w:r>
            <w:r>
              <w:rPr>
                <w:rFonts w:hint="eastAsia" w:ascii="仿宋_GB2312" w:hAnsi="仿宋_GB2312" w:eastAsia="仿宋_GB2312" w:cs="仿宋_GB2312"/>
                <w:color w:val="auto"/>
                <w:sz w:val="24"/>
                <w:szCs w:val="24"/>
                <w:lang w:val="en-US" w:eastAsia="zh-CN"/>
              </w:rPr>
              <w:t>植</w:t>
            </w:r>
            <w:r>
              <w:rPr>
                <w:rFonts w:hint="eastAsia" w:ascii="仿宋_GB2312" w:hAnsi="仿宋_GB2312" w:eastAsia="仿宋_GB2312" w:cs="仿宋_GB2312"/>
                <w:color w:val="auto"/>
                <w:sz w:val="24"/>
                <w:szCs w:val="24"/>
              </w:rPr>
              <w:t>物一律不予补偿。</w:t>
            </w:r>
            <w:bookmarkEnd w:id="17"/>
          </w:p>
        </w:tc>
      </w:tr>
      <w:tr w14:paraId="4318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80" w:type="dxa"/>
            <w:vMerge w:val="continue"/>
            <w:noWrap w:val="0"/>
            <w:vAlign w:val="center"/>
          </w:tcPr>
          <w:p w14:paraId="376795A8">
            <w:pPr>
              <w:pStyle w:val="2"/>
              <w:jc w:val="center"/>
              <w:rPr>
                <w:rFonts w:ascii="仿宋_GB2312" w:hAnsi="仿宋_GB2312" w:eastAsia="仿宋_GB2312" w:cs="仿宋_GB2312"/>
                <w:color w:val="auto"/>
                <w:sz w:val="24"/>
                <w:szCs w:val="24"/>
              </w:rPr>
            </w:pPr>
          </w:p>
        </w:tc>
        <w:tc>
          <w:tcPr>
            <w:tcW w:w="3463" w:type="dxa"/>
            <w:noWrap w:val="0"/>
            <w:vAlign w:val="center"/>
          </w:tcPr>
          <w:p w14:paraId="44C47A50">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跨度10米</w:t>
            </w:r>
          </w:p>
        </w:tc>
        <w:tc>
          <w:tcPr>
            <w:tcW w:w="1228" w:type="dxa"/>
            <w:noWrap w:val="0"/>
            <w:vAlign w:val="center"/>
          </w:tcPr>
          <w:p w14:paraId="622F487A">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140/根</w:t>
            </w:r>
          </w:p>
        </w:tc>
        <w:tc>
          <w:tcPr>
            <w:tcW w:w="3189" w:type="dxa"/>
            <w:vMerge w:val="continue"/>
            <w:noWrap w:val="0"/>
            <w:vAlign w:val="center"/>
          </w:tcPr>
          <w:p w14:paraId="34D28B49">
            <w:pPr>
              <w:pStyle w:val="2"/>
              <w:jc w:val="center"/>
              <w:rPr>
                <w:rFonts w:ascii="仿宋_GB2312" w:hAnsi="仿宋_GB2312" w:eastAsia="仿宋_GB2312" w:cs="仿宋_GB2312"/>
                <w:color w:val="auto"/>
                <w:szCs w:val="21"/>
              </w:rPr>
            </w:pPr>
          </w:p>
        </w:tc>
      </w:tr>
      <w:tr w14:paraId="0281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0" w:type="dxa"/>
            <w:vMerge w:val="continue"/>
            <w:noWrap w:val="0"/>
            <w:vAlign w:val="center"/>
          </w:tcPr>
          <w:p w14:paraId="05A88146">
            <w:pPr>
              <w:pStyle w:val="2"/>
              <w:jc w:val="center"/>
              <w:rPr>
                <w:rFonts w:ascii="仿宋_GB2312" w:hAnsi="仿宋_GB2312" w:eastAsia="仿宋_GB2312" w:cs="仿宋_GB2312"/>
                <w:color w:val="auto"/>
                <w:sz w:val="24"/>
                <w:szCs w:val="24"/>
              </w:rPr>
            </w:pPr>
          </w:p>
        </w:tc>
        <w:tc>
          <w:tcPr>
            <w:tcW w:w="3463" w:type="dxa"/>
            <w:noWrap w:val="0"/>
            <w:vAlign w:val="center"/>
          </w:tcPr>
          <w:p w14:paraId="1EFB255F">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跨度12米</w:t>
            </w:r>
          </w:p>
        </w:tc>
        <w:tc>
          <w:tcPr>
            <w:tcW w:w="1228" w:type="dxa"/>
            <w:noWrap w:val="0"/>
            <w:vAlign w:val="center"/>
          </w:tcPr>
          <w:p w14:paraId="679A35EA">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160/根</w:t>
            </w:r>
          </w:p>
        </w:tc>
        <w:tc>
          <w:tcPr>
            <w:tcW w:w="3189" w:type="dxa"/>
            <w:vMerge w:val="continue"/>
            <w:noWrap w:val="0"/>
            <w:vAlign w:val="center"/>
          </w:tcPr>
          <w:p w14:paraId="5823E665">
            <w:pPr>
              <w:pStyle w:val="2"/>
              <w:jc w:val="center"/>
              <w:rPr>
                <w:rFonts w:ascii="仿宋_GB2312" w:hAnsi="仿宋_GB2312" w:eastAsia="仿宋_GB2312" w:cs="仿宋_GB2312"/>
                <w:color w:val="auto"/>
                <w:szCs w:val="21"/>
              </w:rPr>
            </w:pPr>
          </w:p>
        </w:tc>
      </w:tr>
    </w:tbl>
    <w:p w14:paraId="63927425">
      <w:pPr>
        <w:pStyle w:val="2"/>
        <w:spacing w:before="0" w:beforeAutospacing="0" w:after="0" w:line="400" w:lineRule="exact"/>
        <w:ind w:firstLine="420" w:firstLineChars="200"/>
        <w:rPr>
          <w:rFonts w:ascii="仿宋_GB2312" w:hAnsi="仿宋_GB2312" w:eastAsia="仿宋_GB2312" w:cs="仿宋_GB2312"/>
          <w:color w:val="auto"/>
          <w:szCs w:val="21"/>
        </w:rPr>
      </w:pPr>
    </w:p>
    <w:p w14:paraId="08F281E2">
      <w:pPr>
        <w:pStyle w:val="2"/>
        <w:spacing w:before="0" w:beforeAutospacing="0" w:after="156" w:afterLines="50" w:line="400" w:lineRule="exact"/>
        <w:rPr>
          <w:rFonts w:ascii="仿宋_GB2312" w:hAnsi="仿宋_GB2312" w:eastAsia="仿宋_GB2312" w:cs="仿宋_GB2312"/>
          <w:color w:val="auto"/>
          <w:szCs w:val="21"/>
        </w:rPr>
      </w:pPr>
    </w:p>
    <w:p w14:paraId="6648DAD3">
      <w:pPr>
        <w:pStyle w:val="2"/>
        <w:spacing w:before="0" w:beforeAutospacing="0" w:after="156" w:afterLines="50" w:line="400" w:lineRule="exact"/>
        <w:rPr>
          <w:rFonts w:ascii="仿宋_GB2312" w:hAnsi="仿宋_GB2312" w:eastAsia="仿宋_GB2312" w:cs="仿宋_GB2312"/>
          <w:color w:val="auto"/>
          <w:szCs w:val="21"/>
        </w:rPr>
      </w:pPr>
    </w:p>
    <w:p w14:paraId="2F67C58C">
      <w:pPr>
        <w:pStyle w:val="2"/>
        <w:spacing w:before="0" w:beforeAutospacing="0" w:after="156" w:afterLines="50" w:line="400" w:lineRule="exact"/>
        <w:rPr>
          <w:rFonts w:ascii="仿宋_GB2312" w:hAnsi="仿宋_GB2312" w:eastAsia="仿宋_GB2312" w:cs="仿宋_GB2312"/>
          <w:color w:val="auto"/>
          <w:szCs w:val="21"/>
        </w:rPr>
      </w:pPr>
    </w:p>
    <w:p w14:paraId="51A8D522">
      <w:pPr>
        <w:pStyle w:val="2"/>
        <w:spacing w:before="0" w:beforeAutospacing="0" w:after="156" w:afterLines="50" w:line="400" w:lineRule="exact"/>
        <w:rPr>
          <w:rFonts w:ascii="仿宋_GB2312" w:hAnsi="仿宋_GB2312" w:eastAsia="仿宋_GB2312" w:cs="仿宋_GB2312"/>
          <w:color w:val="auto"/>
          <w:szCs w:val="21"/>
        </w:rPr>
      </w:pPr>
    </w:p>
    <w:p w14:paraId="7D724258">
      <w:pPr>
        <w:pStyle w:val="2"/>
        <w:spacing w:before="0" w:beforeAutospacing="0" w:after="156" w:afterLines="50" w:line="400" w:lineRule="exact"/>
        <w:rPr>
          <w:rFonts w:ascii="仿宋_GB2312" w:hAnsi="仿宋_GB2312" w:eastAsia="仿宋_GB2312" w:cs="仿宋_GB2312"/>
          <w:b/>
          <w:bCs/>
          <w:color w:val="auto"/>
          <w:szCs w:val="21"/>
        </w:rPr>
      </w:pPr>
    </w:p>
    <w:p w14:paraId="646B876D">
      <w:pPr>
        <w:pStyle w:val="2"/>
        <w:spacing w:before="0" w:beforeAutospacing="0" w:after="156" w:afterLines="50" w:line="400" w:lineRule="exact"/>
        <w:rPr>
          <w:rFonts w:ascii="仿宋_GB2312" w:hAnsi="仿宋_GB2312" w:eastAsia="仿宋_GB2312" w:cs="仿宋_GB2312"/>
          <w:b/>
          <w:bCs/>
          <w:color w:val="auto"/>
          <w:szCs w:val="21"/>
        </w:rPr>
      </w:pPr>
    </w:p>
    <w:p w14:paraId="2FCE6FD9">
      <w:pPr>
        <w:jc w:val="left"/>
        <w:rPr>
          <w:rFonts w:ascii="黑体" w:hAnsi="黑体" w:eastAsia="黑体"/>
          <w:color w:val="auto"/>
          <w:sz w:val="32"/>
          <w:szCs w:val="32"/>
        </w:rPr>
      </w:pPr>
      <w:r>
        <w:rPr>
          <w:rFonts w:hint="eastAsia" w:ascii="黑体" w:hAnsi="黑体" w:eastAsia="黑体"/>
          <w:color w:val="auto"/>
          <w:sz w:val="32"/>
          <w:szCs w:val="32"/>
        </w:rPr>
        <w:t>附件7</w:t>
      </w:r>
    </w:p>
    <w:p w14:paraId="4BE369CA">
      <w:pPr>
        <w:pStyle w:val="2"/>
        <w:spacing w:before="0" w:beforeAutospacing="0" w:after="156" w:afterLines="50" w:line="40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零星林木药材补偿标准</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3932"/>
        <w:gridCol w:w="1525"/>
        <w:gridCol w:w="2350"/>
      </w:tblGrid>
      <w:tr w14:paraId="50DC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93" w:type="dxa"/>
            <w:noWrap w:val="0"/>
            <w:vAlign w:val="center"/>
          </w:tcPr>
          <w:p w14:paraId="7EE031DB">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项目名称</w:t>
            </w:r>
          </w:p>
        </w:tc>
        <w:tc>
          <w:tcPr>
            <w:tcW w:w="3932" w:type="dxa"/>
            <w:noWrap w:val="0"/>
            <w:vAlign w:val="center"/>
          </w:tcPr>
          <w:p w14:paraId="65EE2072">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标准条件</w:t>
            </w:r>
          </w:p>
        </w:tc>
        <w:tc>
          <w:tcPr>
            <w:tcW w:w="1525" w:type="dxa"/>
            <w:noWrap w:val="0"/>
            <w:vAlign w:val="center"/>
          </w:tcPr>
          <w:p w14:paraId="665C310B">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w:t>
            </w:r>
          </w:p>
        </w:tc>
        <w:tc>
          <w:tcPr>
            <w:tcW w:w="2350" w:type="dxa"/>
            <w:noWrap w:val="0"/>
            <w:vAlign w:val="center"/>
          </w:tcPr>
          <w:p w14:paraId="39455606">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备注</w:t>
            </w:r>
          </w:p>
        </w:tc>
      </w:tr>
      <w:tr w14:paraId="2676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restart"/>
            <w:noWrap w:val="0"/>
            <w:vAlign w:val="center"/>
          </w:tcPr>
          <w:p w14:paraId="308D79F6">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灌木林</w:t>
            </w:r>
          </w:p>
        </w:tc>
        <w:tc>
          <w:tcPr>
            <w:tcW w:w="3932" w:type="dxa"/>
            <w:noWrap w:val="0"/>
            <w:vAlign w:val="center"/>
          </w:tcPr>
          <w:p w14:paraId="7D634F52">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沙棘</w:t>
            </w:r>
          </w:p>
        </w:tc>
        <w:tc>
          <w:tcPr>
            <w:tcW w:w="1525" w:type="dxa"/>
            <w:noWrap w:val="0"/>
            <w:vAlign w:val="center"/>
          </w:tcPr>
          <w:p w14:paraId="551AD57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20元/丛</w:t>
            </w:r>
          </w:p>
        </w:tc>
        <w:tc>
          <w:tcPr>
            <w:tcW w:w="2350" w:type="dxa"/>
            <w:vMerge w:val="restart"/>
            <w:noWrap w:val="0"/>
            <w:vAlign w:val="center"/>
          </w:tcPr>
          <w:p w14:paraId="14E53E1A">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r>
      <w:tr w14:paraId="6645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25F3F843">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454CD909">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沙柳</w:t>
            </w:r>
          </w:p>
        </w:tc>
        <w:tc>
          <w:tcPr>
            <w:tcW w:w="1525" w:type="dxa"/>
            <w:noWrap w:val="0"/>
            <w:vAlign w:val="center"/>
          </w:tcPr>
          <w:p w14:paraId="1B5A156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20元/丛</w:t>
            </w:r>
          </w:p>
        </w:tc>
        <w:tc>
          <w:tcPr>
            <w:tcW w:w="2350" w:type="dxa"/>
            <w:vMerge w:val="continue"/>
            <w:noWrap w:val="0"/>
            <w:vAlign w:val="center"/>
          </w:tcPr>
          <w:p w14:paraId="799A87BA">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r>
      <w:tr w14:paraId="6663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10B0E6AD">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5F4D1F92">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柠条</w:t>
            </w:r>
          </w:p>
        </w:tc>
        <w:tc>
          <w:tcPr>
            <w:tcW w:w="1525" w:type="dxa"/>
            <w:noWrap w:val="0"/>
            <w:vAlign w:val="center"/>
          </w:tcPr>
          <w:p w14:paraId="0F420F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20元/丛</w:t>
            </w:r>
          </w:p>
        </w:tc>
        <w:tc>
          <w:tcPr>
            <w:tcW w:w="2350" w:type="dxa"/>
            <w:vMerge w:val="continue"/>
            <w:noWrap w:val="0"/>
            <w:vAlign w:val="center"/>
          </w:tcPr>
          <w:p w14:paraId="13F9D1A7">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r>
      <w:tr w14:paraId="02F7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3ACEF1D">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389B85E2">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苜蓿</w:t>
            </w:r>
          </w:p>
        </w:tc>
        <w:tc>
          <w:tcPr>
            <w:tcW w:w="1525" w:type="dxa"/>
            <w:noWrap w:val="0"/>
            <w:vAlign w:val="center"/>
          </w:tcPr>
          <w:p w14:paraId="6AE44A4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1500元/亩</w:t>
            </w:r>
          </w:p>
        </w:tc>
        <w:tc>
          <w:tcPr>
            <w:tcW w:w="2350" w:type="dxa"/>
            <w:vMerge w:val="continue"/>
            <w:noWrap w:val="0"/>
            <w:vAlign w:val="center"/>
          </w:tcPr>
          <w:p w14:paraId="307E07D8">
            <w:pPr>
              <w:pStyle w:val="2"/>
              <w:keepNext w:val="0"/>
              <w:keepLines w:val="0"/>
              <w:pageBreakBefore w:val="0"/>
              <w:widowControl w:val="0"/>
              <w:kinsoku/>
              <w:wordWrap/>
              <w:overflowPunct/>
              <w:topLinePunct w:val="0"/>
              <w:autoSpaceDE/>
              <w:autoSpaceDN/>
              <w:bidi w:val="0"/>
              <w:adjustRightInd/>
              <w:snapToGrid/>
              <w:spacing w:after="0" w:line="260" w:lineRule="exact"/>
              <w:jc w:val="center"/>
              <w:textAlignment w:val="auto"/>
              <w:rPr>
                <w:rFonts w:ascii="仿宋_GB2312" w:hAnsi="仿宋_GB2312" w:eastAsia="仿宋_GB2312" w:cs="仿宋_GB2312"/>
                <w:color w:val="auto"/>
                <w:szCs w:val="21"/>
              </w:rPr>
            </w:pPr>
          </w:p>
        </w:tc>
      </w:tr>
      <w:tr w14:paraId="05C3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restart"/>
            <w:noWrap w:val="0"/>
            <w:vAlign w:val="center"/>
          </w:tcPr>
          <w:p w14:paraId="4E6EB6D2">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乔木</w:t>
            </w:r>
          </w:p>
          <w:p w14:paraId="13116617">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杂树</w:t>
            </w:r>
          </w:p>
        </w:tc>
        <w:tc>
          <w:tcPr>
            <w:tcW w:w="3932" w:type="dxa"/>
            <w:noWrap w:val="0"/>
            <w:vAlign w:val="center"/>
          </w:tcPr>
          <w:p w14:paraId="5C9B165D">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胸径2厘米（含2厘米）以下</w:t>
            </w:r>
          </w:p>
        </w:tc>
        <w:tc>
          <w:tcPr>
            <w:tcW w:w="1525" w:type="dxa"/>
            <w:noWrap w:val="0"/>
            <w:vAlign w:val="center"/>
          </w:tcPr>
          <w:p w14:paraId="1B57B5AD">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4元/株</w:t>
            </w:r>
          </w:p>
        </w:tc>
        <w:tc>
          <w:tcPr>
            <w:tcW w:w="2350" w:type="dxa"/>
            <w:vMerge w:val="restart"/>
            <w:noWrap w:val="0"/>
            <w:vAlign w:val="center"/>
          </w:tcPr>
          <w:p w14:paraId="588F4A98">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5825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74288974">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5A604A38">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胸径3—5厘米</w:t>
            </w:r>
          </w:p>
        </w:tc>
        <w:tc>
          <w:tcPr>
            <w:tcW w:w="1525" w:type="dxa"/>
            <w:noWrap w:val="0"/>
            <w:vAlign w:val="center"/>
          </w:tcPr>
          <w:p w14:paraId="293EB583">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6元/株</w:t>
            </w:r>
          </w:p>
        </w:tc>
        <w:tc>
          <w:tcPr>
            <w:tcW w:w="2350" w:type="dxa"/>
            <w:vMerge w:val="continue"/>
            <w:noWrap w:val="0"/>
            <w:vAlign w:val="center"/>
          </w:tcPr>
          <w:p w14:paraId="0AFB2528">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5C29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1D840303">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1A78379A">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胸径6—10厘米</w:t>
            </w:r>
          </w:p>
        </w:tc>
        <w:tc>
          <w:tcPr>
            <w:tcW w:w="1525" w:type="dxa"/>
            <w:noWrap w:val="0"/>
            <w:vAlign w:val="center"/>
          </w:tcPr>
          <w:p w14:paraId="48CE53F8">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16元/株</w:t>
            </w:r>
          </w:p>
        </w:tc>
        <w:tc>
          <w:tcPr>
            <w:tcW w:w="2350" w:type="dxa"/>
            <w:vMerge w:val="continue"/>
            <w:noWrap w:val="0"/>
            <w:vAlign w:val="center"/>
          </w:tcPr>
          <w:p w14:paraId="2D98F3CE">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4444C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421A69A4">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60B2871B">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胸径11—20厘米</w:t>
            </w:r>
          </w:p>
        </w:tc>
        <w:tc>
          <w:tcPr>
            <w:tcW w:w="1525" w:type="dxa"/>
            <w:noWrap w:val="0"/>
            <w:vAlign w:val="center"/>
          </w:tcPr>
          <w:p w14:paraId="1D6B2797">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70元/株</w:t>
            </w:r>
          </w:p>
        </w:tc>
        <w:tc>
          <w:tcPr>
            <w:tcW w:w="2350" w:type="dxa"/>
            <w:vMerge w:val="continue"/>
            <w:noWrap w:val="0"/>
            <w:vAlign w:val="center"/>
          </w:tcPr>
          <w:p w14:paraId="5DD3A705">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5B1C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32D6D94">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22202CDF">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胸径21—25厘米</w:t>
            </w:r>
          </w:p>
        </w:tc>
        <w:tc>
          <w:tcPr>
            <w:tcW w:w="1525" w:type="dxa"/>
            <w:noWrap w:val="0"/>
            <w:vAlign w:val="center"/>
          </w:tcPr>
          <w:p w14:paraId="5F466985">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90元/株</w:t>
            </w:r>
          </w:p>
        </w:tc>
        <w:tc>
          <w:tcPr>
            <w:tcW w:w="2350" w:type="dxa"/>
            <w:vMerge w:val="continue"/>
            <w:noWrap w:val="0"/>
            <w:vAlign w:val="center"/>
          </w:tcPr>
          <w:p w14:paraId="1DFF6E38">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31C0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CFD3A9A">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78B7CC97">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胸径26—30厘米</w:t>
            </w:r>
          </w:p>
        </w:tc>
        <w:tc>
          <w:tcPr>
            <w:tcW w:w="1525" w:type="dxa"/>
            <w:noWrap w:val="0"/>
            <w:vAlign w:val="center"/>
          </w:tcPr>
          <w:p w14:paraId="2ABA5066">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110元/株</w:t>
            </w:r>
          </w:p>
        </w:tc>
        <w:tc>
          <w:tcPr>
            <w:tcW w:w="2350" w:type="dxa"/>
            <w:vMerge w:val="continue"/>
            <w:noWrap w:val="0"/>
            <w:vAlign w:val="center"/>
          </w:tcPr>
          <w:p w14:paraId="732D1DE4">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559E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1679398">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33D278E4">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胸径31—35厘米</w:t>
            </w:r>
          </w:p>
        </w:tc>
        <w:tc>
          <w:tcPr>
            <w:tcW w:w="1525" w:type="dxa"/>
            <w:noWrap w:val="0"/>
            <w:vAlign w:val="center"/>
          </w:tcPr>
          <w:p w14:paraId="4E9B176B">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180元/株</w:t>
            </w:r>
          </w:p>
        </w:tc>
        <w:tc>
          <w:tcPr>
            <w:tcW w:w="2350" w:type="dxa"/>
            <w:vMerge w:val="continue"/>
            <w:noWrap w:val="0"/>
            <w:vAlign w:val="center"/>
          </w:tcPr>
          <w:p w14:paraId="3E78B46F">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666B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76DF6FFB">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c>
          <w:tcPr>
            <w:tcW w:w="3932" w:type="dxa"/>
            <w:noWrap w:val="0"/>
            <w:vAlign w:val="center"/>
          </w:tcPr>
          <w:p w14:paraId="5A91E66C">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胸径大于35厘米</w:t>
            </w:r>
          </w:p>
        </w:tc>
        <w:tc>
          <w:tcPr>
            <w:tcW w:w="1525" w:type="dxa"/>
            <w:noWrap w:val="0"/>
            <w:vAlign w:val="center"/>
          </w:tcPr>
          <w:p w14:paraId="7151BE70">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300元/株</w:t>
            </w:r>
          </w:p>
        </w:tc>
        <w:tc>
          <w:tcPr>
            <w:tcW w:w="2350" w:type="dxa"/>
            <w:noWrap w:val="0"/>
            <w:vAlign w:val="center"/>
          </w:tcPr>
          <w:p w14:paraId="03055BD9">
            <w:pPr>
              <w:pStyle w:val="2"/>
              <w:keepNext w:val="0"/>
              <w:keepLines w:val="0"/>
              <w:pageBreakBefore w:val="0"/>
              <w:widowControl w:val="0"/>
              <w:kinsoku/>
              <w:wordWrap/>
              <w:overflowPunct/>
              <w:topLinePunct w:val="0"/>
              <w:autoSpaceDE/>
              <w:autoSpaceDN/>
              <w:bidi w:val="0"/>
              <w:adjustRightInd/>
              <w:snapToGrid/>
              <w:spacing w:before="0" w:beforeAutospacing="0" w:after="0" w:line="260" w:lineRule="exact"/>
              <w:jc w:val="center"/>
              <w:textAlignment w:val="auto"/>
              <w:rPr>
                <w:rFonts w:ascii="仿宋_GB2312" w:hAnsi="仿宋_GB2312" w:eastAsia="仿宋_GB2312" w:cs="仿宋_GB2312"/>
                <w:color w:val="auto"/>
                <w:szCs w:val="21"/>
              </w:rPr>
            </w:pPr>
          </w:p>
        </w:tc>
      </w:tr>
      <w:tr w14:paraId="566D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restart"/>
            <w:noWrap w:val="0"/>
            <w:vAlign w:val="center"/>
          </w:tcPr>
          <w:p w14:paraId="0985FC92">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松  树</w:t>
            </w:r>
          </w:p>
          <w:p w14:paraId="37F3F04D">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（从出土处量）</w:t>
            </w:r>
          </w:p>
        </w:tc>
        <w:tc>
          <w:tcPr>
            <w:tcW w:w="3932" w:type="dxa"/>
            <w:noWrap w:val="0"/>
            <w:vAlign w:val="center"/>
          </w:tcPr>
          <w:p w14:paraId="1D21B0C7">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主杆高度30厘米（含30厘米）以下</w:t>
            </w:r>
          </w:p>
        </w:tc>
        <w:tc>
          <w:tcPr>
            <w:tcW w:w="1525" w:type="dxa"/>
            <w:noWrap w:val="0"/>
            <w:vAlign w:val="center"/>
          </w:tcPr>
          <w:p w14:paraId="733BA495">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2元/株</w:t>
            </w:r>
          </w:p>
        </w:tc>
        <w:tc>
          <w:tcPr>
            <w:tcW w:w="2350" w:type="dxa"/>
            <w:vMerge w:val="restart"/>
            <w:noWrap w:val="0"/>
            <w:vAlign w:val="center"/>
          </w:tcPr>
          <w:p w14:paraId="06FEFB7C">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1.亩株数量不得高于223株，高于223株的按育苗地给予补偿，补偿标准由第三方机构评估确定；2.油松、云杉、樟子松、侧柏等针叶树种按松树的标准予以补偿；3.枯死苗木一律一律不予补偿。</w:t>
            </w:r>
          </w:p>
        </w:tc>
      </w:tr>
      <w:tr w14:paraId="040F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48C47674">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00DAE075">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主杆高度30—50厘米（含50厘米）</w:t>
            </w:r>
          </w:p>
        </w:tc>
        <w:tc>
          <w:tcPr>
            <w:tcW w:w="1525" w:type="dxa"/>
            <w:noWrap w:val="0"/>
            <w:vAlign w:val="center"/>
          </w:tcPr>
          <w:p w14:paraId="633A8C67">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8元/株</w:t>
            </w:r>
          </w:p>
        </w:tc>
        <w:tc>
          <w:tcPr>
            <w:tcW w:w="2350" w:type="dxa"/>
            <w:vMerge w:val="continue"/>
            <w:noWrap w:val="0"/>
            <w:vAlign w:val="center"/>
          </w:tcPr>
          <w:p w14:paraId="1E3C69E3">
            <w:pPr>
              <w:pStyle w:val="2"/>
              <w:spacing w:before="0" w:beforeAutospacing="0" w:after="0"/>
              <w:jc w:val="center"/>
              <w:rPr>
                <w:rFonts w:ascii="仿宋_GB2312" w:hAnsi="仿宋_GB2312" w:eastAsia="仿宋_GB2312" w:cs="仿宋_GB2312"/>
                <w:color w:val="auto"/>
                <w:szCs w:val="21"/>
              </w:rPr>
            </w:pPr>
          </w:p>
        </w:tc>
      </w:tr>
      <w:tr w14:paraId="6AB3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4E77351E">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6143F021">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主杆高度50—80厘米（含80厘米）</w:t>
            </w:r>
          </w:p>
        </w:tc>
        <w:tc>
          <w:tcPr>
            <w:tcW w:w="1525" w:type="dxa"/>
            <w:noWrap w:val="0"/>
            <w:vAlign w:val="center"/>
          </w:tcPr>
          <w:p w14:paraId="3C7F9842">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15元/株</w:t>
            </w:r>
          </w:p>
        </w:tc>
        <w:tc>
          <w:tcPr>
            <w:tcW w:w="2350" w:type="dxa"/>
            <w:vMerge w:val="continue"/>
            <w:noWrap w:val="0"/>
            <w:vAlign w:val="center"/>
          </w:tcPr>
          <w:p w14:paraId="37519B6F">
            <w:pPr>
              <w:pStyle w:val="2"/>
              <w:spacing w:before="0" w:beforeAutospacing="0" w:after="0"/>
              <w:jc w:val="center"/>
              <w:rPr>
                <w:rFonts w:ascii="仿宋_GB2312" w:hAnsi="仿宋_GB2312" w:eastAsia="仿宋_GB2312" w:cs="仿宋_GB2312"/>
                <w:color w:val="auto"/>
                <w:szCs w:val="21"/>
              </w:rPr>
            </w:pPr>
          </w:p>
        </w:tc>
      </w:tr>
      <w:tr w14:paraId="40DA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3005FC4">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073F8CC7">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主杆高度80—120厘米（含120厘米）</w:t>
            </w:r>
          </w:p>
        </w:tc>
        <w:tc>
          <w:tcPr>
            <w:tcW w:w="1525" w:type="dxa"/>
            <w:noWrap w:val="0"/>
            <w:vAlign w:val="center"/>
          </w:tcPr>
          <w:p w14:paraId="0D767217">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25元/株</w:t>
            </w:r>
          </w:p>
        </w:tc>
        <w:tc>
          <w:tcPr>
            <w:tcW w:w="2350" w:type="dxa"/>
            <w:vMerge w:val="continue"/>
            <w:noWrap w:val="0"/>
            <w:vAlign w:val="center"/>
          </w:tcPr>
          <w:p w14:paraId="27AF8E88">
            <w:pPr>
              <w:pStyle w:val="2"/>
              <w:spacing w:before="0" w:beforeAutospacing="0" w:after="0"/>
              <w:jc w:val="center"/>
              <w:rPr>
                <w:rFonts w:ascii="仿宋_GB2312" w:hAnsi="仿宋_GB2312" w:eastAsia="仿宋_GB2312" w:cs="仿宋_GB2312"/>
                <w:color w:val="auto"/>
                <w:szCs w:val="21"/>
              </w:rPr>
            </w:pPr>
          </w:p>
        </w:tc>
      </w:tr>
      <w:tr w14:paraId="32DC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22E55A06">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3C826592">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主杆高度120—150厘米（含150厘米）</w:t>
            </w:r>
          </w:p>
        </w:tc>
        <w:tc>
          <w:tcPr>
            <w:tcW w:w="1525" w:type="dxa"/>
            <w:noWrap w:val="0"/>
            <w:vAlign w:val="center"/>
          </w:tcPr>
          <w:p w14:paraId="3A0233DF">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35元/株</w:t>
            </w:r>
          </w:p>
        </w:tc>
        <w:tc>
          <w:tcPr>
            <w:tcW w:w="2350" w:type="dxa"/>
            <w:vMerge w:val="continue"/>
            <w:noWrap w:val="0"/>
            <w:vAlign w:val="center"/>
          </w:tcPr>
          <w:p w14:paraId="5B17EE5D">
            <w:pPr>
              <w:pStyle w:val="2"/>
              <w:spacing w:before="0" w:beforeAutospacing="0" w:after="0"/>
              <w:jc w:val="center"/>
              <w:rPr>
                <w:rFonts w:ascii="仿宋_GB2312" w:hAnsi="仿宋_GB2312" w:eastAsia="仿宋_GB2312" w:cs="仿宋_GB2312"/>
                <w:color w:val="auto"/>
                <w:szCs w:val="21"/>
              </w:rPr>
            </w:pPr>
          </w:p>
        </w:tc>
      </w:tr>
      <w:tr w14:paraId="4035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412D236C">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34B64B22">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主杆高度150—180厘米（含180厘米）</w:t>
            </w:r>
          </w:p>
        </w:tc>
        <w:tc>
          <w:tcPr>
            <w:tcW w:w="1525" w:type="dxa"/>
            <w:noWrap w:val="0"/>
            <w:vAlign w:val="center"/>
          </w:tcPr>
          <w:p w14:paraId="66471C3B">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50元/株</w:t>
            </w:r>
          </w:p>
        </w:tc>
        <w:tc>
          <w:tcPr>
            <w:tcW w:w="2350" w:type="dxa"/>
            <w:vMerge w:val="continue"/>
            <w:noWrap w:val="0"/>
            <w:vAlign w:val="center"/>
          </w:tcPr>
          <w:p w14:paraId="2F38DD65">
            <w:pPr>
              <w:pStyle w:val="2"/>
              <w:spacing w:before="0" w:beforeAutospacing="0" w:after="0"/>
              <w:jc w:val="center"/>
              <w:rPr>
                <w:rFonts w:ascii="仿宋_GB2312" w:hAnsi="仿宋_GB2312" w:eastAsia="仿宋_GB2312" w:cs="仿宋_GB2312"/>
                <w:color w:val="auto"/>
                <w:szCs w:val="21"/>
              </w:rPr>
            </w:pPr>
          </w:p>
        </w:tc>
      </w:tr>
      <w:tr w14:paraId="1027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CA3A6D5">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3B10251B">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主杆高度180—220厘米（含220厘米）</w:t>
            </w:r>
          </w:p>
        </w:tc>
        <w:tc>
          <w:tcPr>
            <w:tcW w:w="1525" w:type="dxa"/>
            <w:noWrap w:val="0"/>
            <w:vAlign w:val="center"/>
          </w:tcPr>
          <w:p w14:paraId="371A2B5B">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70元/株</w:t>
            </w:r>
          </w:p>
        </w:tc>
        <w:tc>
          <w:tcPr>
            <w:tcW w:w="2350" w:type="dxa"/>
            <w:vMerge w:val="continue"/>
            <w:noWrap w:val="0"/>
            <w:vAlign w:val="center"/>
          </w:tcPr>
          <w:p w14:paraId="03DF7DA4">
            <w:pPr>
              <w:pStyle w:val="2"/>
              <w:spacing w:before="0" w:beforeAutospacing="0" w:after="0"/>
              <w:jc w:val="center"/>
              <w:rPr>
                <w:rFonts w:ascii="仿宋_GB2312" w:hAnsi="仿宋_GB2312" w:eastAsia="仿宋_GB2312" w:cs="仿宋_GB2312"/>
                <w:color w:val="auto"/>
                <w:szCs w:val="21"/>
              </w:rPr>
            </w:pPr>
          </w:p>
        </w:tc>
      </w:tr>
      <w:tr w14:paraId="3035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0B28B1D4">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7CB0B2B3">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主杆高度220厘米以上</w:t>
            </w:r>
          </w:p>
        </w:tc>
        <w:tc>
          <w:tcPr>
            <w:tcW w:w="1525" w:type="dxa"/>
            <w:noWrap w:val="0"/>
            <w:vAlign w:val="center"/>
          </w:tcPr>
          <w:p w14:paraId="06D98C4D">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90元/株</w:t>
            </w:r>
          </w:p>
        </w:tc>
        <w:tc>
          <w:tcPr>
            <w:tcW w:w="2350" w:type="dxa"/>
            <w:vMerge w:val="continue"/>
            <w:noWrap w:val="0"/>
            <w:vAlign w:val="center"/>
          </w:tcPr>
          <w:p w14:paraId="65EFC2A7">
            <w:pPr>
              <w:pStyle w:val="2"/>
              <w:spacing w:before="0" w:beforeAutospacing="0" w:after="0"/>
              <w:jc w:val="center"/>
              <w:rPr>
                <w:rFonts w:ascii="仿宋_GB2312" w:hAnsi="仿宋_GB2312" w:eastAsia="仿宋_GB2312" w:cs="仿宋_GB2312"/>
                <w:color w:val="auto"/>
                <w:szCs w:val="21"/>
              </w:rPr>
            </w:pPr>
          </w:p>
        </w:tc>
      </w:tr>
      <w:tr w14:paraId="27AE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3" w:type="dxa"/>
            <w:vMerge w:val="restart"/>
            <w:noWrap w:val="0"/>
            <w:vAlign w:val="center"/>
          </w:tcPr>
          <w:p w14:paraId="6D747E8C">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葡萄</w:t>
            </w:r>
          </w:p>
          <w:p w14:paraId="3CF59C1A">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（从藤条根部量）</w:t>
            </w:r>
          </w:p>
        </w:tc>
        <w:tc>
          <w:tcPr>
            <w:tcW w:w="3932" w:type="dxa"/>
            <w:noWrap w:val="0"/>
            <w:vAlign w:val="center"/>
          </w:tcPr>
          <w:p w14:paraId="2649CB3D">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根径3厘米（含3厘米）以下</w:t>
            </w:r>
          </w:p>
        </w:tc>
        <w:tc>
          <w:tcPr>
            <w:tcW w:w="1525" w:type="dxa"/>
            <w:noWrap w:val="0"/>
            <w:vAlign w:val="center"/>
          </w:tcPr>
          <w:p w14:paraId="195D226D">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8元/株</w:t>
            </w:r>
          </w:p>
        </w:tc>
        <w:tc>
          <w:tcPr>
            <w:tcW w:w="2350" w:type="dxa"/>
            <w:vMerge w:val="restart"/>
            <w:noWrap w:val="0"/>
            <w:vAlign w:val="center"/>
          </w:tcPr>
          <w:p w14:paraId="5F7D16CF">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1.亩株数量不得高于223株，高于223高于223株的按育苗地给予补偿，补偿标准由第三方机构评估确定；2.枯死苗木一律不予补偿</w:t>
            </w:r>
          </w:p>
        </w:tc>
      </w:tr>
      <w:tr w14:paraId="010EF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77278414">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5E7D6C9E">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根径3—5厘米（含5厘米）</w:t>
            </w:r>
          </w:p>
        </w:tc>
        <w:tc>
          <w:tcPr>
            <w:tcW w:w="1525" w:type="dxa"/>
            <w:noWrap w:val="0"/>
            <w:vAlign w:val="center"/>
          </w:tcPr>
          <w:p w14:paraId="175BD268">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20元/株</w:t>
            </w:r>
          </w:p>
        </w:tc>
        <w:tc>
          <w:tcPr>
            <w:tcW w:w="2350" w:type="dxa"/>
            <w:vMerge w:val="continue"/>
            <w:noWrap w:val="0"/>
            <w:vAlign w:val="center"/>
          </w:tcPr>
          <w:p w14:paraId="76EA07CD">
            <w:pPr>
              <w:pStyle w:val="2"/>
              <w:spacing w:before="0" w:beforeAutospacing="0" w:after="0"/>
              <w:jc w:val="center"/>
              <w:rPr>
                <w:rFonts w:ascii="仿宋_GB2312" w:hAnsi="仿宋_GB2312" w:eastAsia="仿宋_GB2312" w:cs="仿宋_GB2312"/>
                <w:color w:val="auto"/>
                <w:szCs w:val="21"/>
              </w:rPr>
            </w:pPr>
          </w:p>
        </w:tc>
      </w:tr>
      <w:tr w14:paraId="3BBC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ECC7618">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46FA883A">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根径5厘米以上</w:t>
            </w:r>
          </w:p>
        </w:tc>
        <w:tc>
          <w:tcPr>
            <w:tcW w:w="1525" w:type="dxa"/>
            <w:noWrap w:val="0"/>
            <w:vAlign w:val="center"/>
          </w:tcPr>
          <w:p w14:paraId="6DBC04E7">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120元/株</w:t>
            </w:r>
          </w:p>
        </w:tc>
        <w:tc>
          <w:tcPr>
            <w:tcW w:w="2350" w:type="dxa"/>
            <w:vMerge w:val="continue"/>
            <w:noWrap w:val="0"/>
            <w:vAlign w:val="center"/>
          </w:tcPr>
          <w:p w14:paraId="4BD6018E">
            <w:pPr>
              <w:pStyle w:val="2"/>
              <w:spacing w:before="0" w:beforeAutospacing="0" w:after="0"/>
              <w:jc w:val="center"/>
              <w:rPr>
                <w:rFonts w:ascii="仿宋_GB2312" w:hAnsi="仿宋_GB2312" w:eastAsia="仿宋_GB2312" w:cs="仿宋_GB2312"/>
                <w:color w:val="auto"/>
                <w:szCs w:val="21"/>
              </w:rPr>
            </w:pPr>
          </w:p>
        </w:tc>
      </w:tr>
      <w:tr w14:paraId="43C2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restart"/>
            <w:noWrap w:val="0"/>
            <w:vAlign w:val="center"/>
          </w:tcPr>
          <w:p w14:paraId="23001EFC">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果树</w:t>
            </w:r>
          </w:p>
          <w:p w14:paraId="1EE7DD25">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（苹果树、梨树</w:t>
            </w:r>
          </w:p>
          <w:p w14:paraId="54DB8B8E">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李子树、桃树、杏树、山桃、山杏等果树）</w:t>
            </w:r>
          </w:p>
          <w:p w14:paraId="099CE109">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457EA4AF">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根径2厘米以下；冠幅0.8米以下</w:t>
            </w:r>
          </w:p>
        </w:tc>
        <w:tc>
          <w:tcPr>
            <w:tcW w:w="1525" w:type="dxa"/>
            <w:noWrap w:val="0"/>
            <w:vAlign w:val="center"/>
          </w:tcPr>
          <w:p w14:paraId="6BF91D25">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10元/株</w:t>
            </w:r>
          </w:p>
        </w:tc>
        <w:tc>
          <w:tcPr>
            <w:tcW w:w="2350" w:type="dxa"/>
            <w:vMerge w:val="restart"/>
            <w:noWrap w:val="0"/>
            <w:vAlign w:val="center"/>
          </w:tcPr>
          <w:p w14:paraId="706AB0E3">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1.亩株数量不得高于110株，高于110的按育苗地给予补偿，补偿标准由第三方机构评估确定；2.枯死苗木一律不予补偿</w:t>
            </w:r>
          </w:p>
        </w:tc>
      </w:tr>
      <w:tr w14:paraId="03B8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12987B83">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4CD2A9B5">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根径3—4厘米；冠幅0.8—1米（含1米）</w:t>
            </w:r>
          </w:p>
        </w:tc>
        <w:tc>
          <w:tcPr>
            <w:tcW w:w="1525" w:type="dxa"/>
            <w:noWrap w:val="0"/>
            <w:vAlign w:val="center"/>
          </w:tcPr>
          <w:p w14:paraId="12005526">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20元/株</w:t>
            </w:r>
          </w:p>
        </w:tc>
        <w:tc>
          <w:tcPr>
            <w:tcW w:w="2350" w:type="dxa"/>
            <w:vMerge w:val="continue"/>
            <w:noWrap w:val="0"/>
            <w:vAlign w:val="center"/>
          </w:tcPr>
          <w:p w14:paraId="0323F24D">
            <w:pPr>
              <w:pStyle w:val="2"/>
              <w:spacing w:before="0" w:beforeAutospacing="0" w:after="0"/>
              <w:jc w:val="center"/>
              <w:rPr>
                <w:rFonts w:ascii="仿宋_GB2312" w:hAnsi="仿宋_GB2312" w:eastAsia="仿宋_GB2312" w:cs="仿宋_GB2312"/>
                <w:color w:val="auto"/>
                <w:szCs w:val="21"/>
              </w:rPr>
            </w:pPr>
          </w:p>
        </w:tc>
      </w:tr>
      <w:tr w14:paraId="30B9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6A4B6E4E">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652BB5D7">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根径5—6厘米；冠幅1—2米（含2米）</w:t>
            </w:r>
          </w:p>
        </w:tc>
        <w:tc>
          <w:tcPr>
            <w:tcW w:w="1525" w:type="dxa"/>
            <w:noWrap w:val="0"/>
            <w:vAlign w:val="center"/>
          </w:tcPr>
          <w:p w14:paraId="23B26111">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150元/株</w:t>
            </w:r>
          </w:p>
        </w:tc>
        <w:tc>
          <w:tcPr>
            <w:tcW w:w="2350" w:type="dxa"/>
            <w:vMerge w:val="continue"/>
            <w:noWrap w:val="0"/>
            <w:vAlign w:val="center"/>
          </w:tcPr>
          <w:p w14:paraId="5D01D42F">
            <w:pPr>
              <w:pStyle w:val="2"/>
              <w:spacing w:before="0" w:beforeAutospacing="0" w:after="0"/>
              <w:jc w:val="center"/>
              <w:rPr>
                <w:rFonts w:ascii="仿宋_GB2312" w:hAnsi="仿宋_GB2312" w:eastAsia="仿宋_GB2312" w:cs="仿宋_GB2312"/>
                <w:color w:val="auto"/>
                <w:szCs w:val="21"/>
              </w:rPr>
            </w:pPr>
          </w:p>
        </w:tc>
      </w:tr>
      <w:tr w14:paraId="5E3A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3716F3E8">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2F235E2B">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根径7—8厘米；冠幅2—3米（含3米）</w:t>
            </w:r>
          </w:p>
        </w:tc>
        <w:tc>
          <w:tcPr>
            <w:tcW w:w="1525" w:type="dxa"/>
            <w:noWrap w:val="0"/>
            <w:vAlign w:val="center"/>
          </w:tcPr>
          <w:p w14:paraId="3522E0E8">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300元/株</w:t>
            </w:r>
          </w:p>
        </w:tc>
        <w:tc>
          <w:tcPr>
            <w:tcW w:w="2350" w:type="dxa"/>
            <w:vMerge w:val="continue"/>
            <w:noWrap w:val="0"/>
            <w:vAlign w:val="center"/>
          </w:tcPr>
          <w:p w14:paraId="21783A47">
            <w:pPr>
              <w:pStyle w:val="2"/>
              <w:spacing w:before="0" w:beforeAutospacing="0" w:after="0"/>
              <w:jc w:val="center"/>
              <w:rPr>
                <w:rFonts w:ascii="仿宋_GB2312" w:hAnsi="仿宋_GB2312" w:eastAsia="仿宋_GB2312" w:cs="仿宋_GB2312"/>
                <w:color w:val="auto"/>
                <w:szCs w:val="21"/>
              </w:rPr>
            </w:pPr>
          </w:p>
        </w:tc>
      </w:tr>
      <w:tr w14:paraId="5FD3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vMerge w:val="continue"/>
            <w:noWrap w:val="0"/>
            <w:vAlign w:val="center"/>
          </w:tcPr>
          <w:p w14:paraId="128C2C0C">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2595252B">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根径9—10厘米；冠幅2—3米（含3米）</w:t>
            </w:r>
          </w:p>
        </w:tc>
        <w:tc>
          <w:tcPr>
            <w:tcW w:w="1525" w:type="dxa"/>
            <w:noWrap w:val="0"/>
            <w:vAlign w:val="center"/>
          </w:tcPr>
          <w:p w14:paraId="63309780">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650元/株</w:t>
            </w:r>
          </w:p>
        </w:tc>
        <w:tc>
          <w:tcPr>
            <w:tcW w:w="2350" w:type="dxa"/>
            <w:vMerge w:val="continue"/>
            <w:noWrap w:val="0"/>
            <w:vAlign w:val="center"/>
          </w:tcPr>
          <w:p w14:paraId="2EB24455">
            <w:pPr>
              <w:pStyle w:val="2"/>
              <w:spacing w:before="0" w:beforeAutospacing="0" w:after="0"/>
              <w:jc w:val="center"/>
              <w:rPr>
                <w:rFonts w:ascii="仿宋_GB2312" w:hAnsi="仿宋_GB2312" w:eastAsia="仿宋_GB2312" w:cs="仿宋_GB2312"/>
                <w:color w:val="auto"/>
                <w:szCs w:val="21"/>
              </w:rPr>
            </w:pPr>
          </w:p>
        </w:tc>
      </w:tr>
      <w:tr w14:paraId="1877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93" w:type="dxa"/>
            <w:vMerge w:val="continue"/>
            <w:noWrap w:val="0"/>
            <w:vAlign w:val="center"/>
          </w:tcPr>
          <w:p w14:paraId="69861532">
            <w:pPr>
              <w:pStyle w:val="2"/>
              <w:spacing w:before="0" w:beforeAutospacing="0" w:after="0"/>
              <w:jc w:val="center"/>
              <w:rPr>
                <w:rFonts w:ascii="仿宋_GB2312" w:hAnsi="仿宋_GB2312" w:eastAsia="仿宋_GB2312" w:cs="仿宋_GB2312"/>
                <w:color w:val="auto"/>
                <w:szCs w:val="21"/>
              </w:rPr>
            </w:pPr>
          </w:p>
        </w:tc>
        <w:tc>
          <w:tcPr>
            <w:tcW w:w="3932" w:type="dxa"/>
            <w:noWrap w:val="0"/>
            <w:vAlign w:val="center"/>
          </w:tcPr>
          <w:p w14:paraId="7E074330">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根径11厘米以上；冠幅3米以上</w:t>
            </w:r>
          </w:p>
        </w:tc>
        <w:tc>
          <w:tcPr>
            <w:tcW w:w="1525" w:type="dxa"/>
            <w:noWrap w:val="0"/>
            <w:vAlign w:val="center"/>
          </w:tcPr>
          <w:p w14:paraId="6F6F383A">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950元/株</w:t>
            </w:r>
          </w:p>
        </w:tc>
        <w:tc>
          <w:tcPr>
            <w:tcW w:w="2350" w:type="dxa"/>
            <w:vMerge w:val="continue"/>
            <w:noWrap w:val="0"/>
            <w:vAlign w:val="center"/>
          </w:tcPr>
          <w:p w14:paraId="087C6546">
            <w:pPr>
              <w:pStyle w:val="2"/>
              <w:spacing w:before="0" w:beforeAutospacing="0" w:after="0"/>
              <w:jc w:val="center"/>
              <w:rPr>
                <w:rFonts w:ascii="仿宋_GB2312" w:hAnsi="仿宋_GB2312" w:eastAsia="仿宋_GB2312" w:cs="仿宋_GB2312"/>
                <w:color w:val="auto"/>
                <w:szCs w:val="21"/>
              </w:rPr>
            </w:pPr>
          </w:p>
        </w:tc>
      </w:tr>
      <w:tr w14:paraId="4C86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center"/>
          </w:tcPr>
          <w:p w14:paraId="71F230F2">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黄花</w:t>
            </w:r>
          </w:p>
        </w:tc>
        <w:tc>
          <w:tcPr>
            <w:tcW w:w="3932" w:type="dxa"/>
            <w:noWrap w:val="0"/>
            <w:vAlign w:val="center"/>
          </w:tcPr>
          <w:p w14:paraId="63D6F6B1">
            <w:pPr>
              <w:pStyle w:val="2"/>
              <w:spacing w:before="0" w:beforeAutospacing="0" w:after="0"/>
              <w:jc w:val="center"/>
              <w:rPr>
                <w:rFonts w:ascii="仿宋_GB2312" w:hAnsi="仿宋_GB2312" w:eastAsia="仿宋_GB2312" w:cs="仿宋_GB2312"/>
                <w:color w:val="auto"/>
                <w:szCs w:val="21"/>
              </w:rPr>
            </w:pPr>
          </w:p>
        </w:tc>
        <w:tc>
          <w:tcPr>
            <w:tcW w:w="1525" w:type="dxa"/>
            <w:noWrap w:val="0"/>
            <w:vAlign w:val="center"/>
          </w:tcPr>
          <w:p w14:paraId="0F3314F6">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1000元/亩</w:t>
            </w:r>
          </w:p>
        </w:tc>
        <w:tc>
          <w:tcPr>
            <w:tcW w:w="2350" w:type="dxa"/>
            <w:vMerge w:val="restart"/>
            <w:noWrap w:val="0"/>
            <w:vAlign w:val="center"/>
          </w:tcPr>
          <w:p w14:paraId="2293FE8D">
            <w:pPr>
              <w:pStyle w:val="2"/>
              <w:spacing w:before="0" w:beforeAutospacing="0" w:after="0"/>
              <w:jc w:val="center"/>
              <w:rPr>
                <w:rFonts w:ascii="仿宋_GB2312" w:hAnsi="仿宋_GB2312" w:eastAsia="仿宋_GB2312" w:cs="仿宋_GB2312"/>
                <w:color w:val="auto"/>
                <w:szCs w:val="21"/>
              </w:rPr>
            </w:pPr>
          </w:p>
        </w:tc>
      </w:tr>
      <w:tr w14:paraId="53FF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center"/>
          </w:tcPr>
          <w:p w14:paraId="022EE3A4">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大黄</w:t>
            </w:r>
          </w:p>
        </w:tc>
        <w:tc>
          <w:tcPr>
            <w:tcW w:w="3932" w:type="dxa"/>
            <w:noWrap w:val="0"/>
            <w:vAlign w:val="center"/>
          </w:tcPr>
          <w:p w14:paraId="4DF95553">
            <w:pPr>
              <w:pStyle w:val="2"/>
              <w:spacing w:before="0" w:beforeAutospacing="0" w:after="0"/>
              <w:jc w:val="center"/>
              <w:rPr>
                <w:rFonts w:ascii="仿宋_GB2312" w:hAnsi="仿宋_GB2312" w:eastAsia="仿宋_GB2312" w:cs="仿宋_GB2312"/>
                <w:color w:val="auto"/>
                <w:szCs w:val="21"/>
              </w:rPr>
            </w:pPr>
          </w:p>
        </w:tc>
        <w:tc>
          <w:tcPr>
            <w:tcW w:w="1525" w:type="dxa"/>
            <w:noWrap w:val="0"/>
            <w:vAlign w:val="center"/>
          </w:tcPr>
          <w:p w14:paraId="1E81D826">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1000元/亩</w:t>
            </w:r>
          </w:p>
        </w:tc>
        <w:tc>
          <w:tcPr>
            <w:tcW w:w="2350" w:type="dxa"/>
            <w:vMerge w:val="continue"/>
            <w:noWrap w:val="0"/>
            <w:vAlign w:val="center"/>
          </w:tcPr>
          <w:p w14:paraId="5808A5C8">
            <w:pPr>
              <w:pStyle w:val="2"/>
              <w:spacing w:before="0" w:beforeAutospacing="0" w:after="0"/>
              <w:jc w:val="center"/>
              <w:rPr>
                <w:rFonts w:ascii="仿宋_GB2312" w:hAnsi="仿宋_GB2312" w:eastAsia="仿宋_GB2312" w:cs="仿宋_GB2312"/>
                <w:color w:val="auto"/>
                <w:szCs w:val="21"/>
              </w:rPr>
            </w:pPr>
          </w:p>
        </w:tc>
      </w:tr>
      <w:tr w14:paraId="3D4E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3" w:type="dxa"/>
            <w:noWrap w:val="0"/>
            <w:vAlign w:val="center"/>
          </w:tcPr>
          <w:p w14:paraId="4D8D7042">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甘草</w:t>
            </w:r>
          </w:p>
        </w:tc>
        <w:tc>
          <w:tcPr>
            <w:tcW w:w="3932" w:type="dxa"/>
            <w:noWrap w:val="0"/>
            <w:vAlign w:val="center"/>
          </w:tcPr>
          <w:p w14:paraId="240AFEAD">
            <w:pPr>
              <w:pStyle w:val="2"/>
              <w:spacing w:before="0" w:beforeAutospacing="0" w:after="0"/>
              <w:jc w:val="center"/>
              <w:rPr>
                <w:rFonts w:ascii="仿宋_GB2312" w:hAnsi="仿宋_GB2312" w:eastAsia="仿宋_GB2312" w:cs="仿宋_GB2312"/>
                <w:color w:val="auto"/>
                <w:szCs w:val="21"/>
              </w:rPr>
            </w:pPr>
          </w:p>
        </w:tc>
        <w:tc>
          <w:tcPr>
            <w:tcW w:w="1525" w:type="dxa"/>
            <w:noWrap w:val="0"/>
            <w:vAlign w:val="center"/>
          </w:tcPr>
          <w:p w14:paraId="27B5AB5C">
            <w:pPr>
              <w:pStyle w:val="2"/>
              <w:spacing w:before="0" w:beforeAutospacing="0" w:after="0"/>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1000元/亩</w:t>
            </w:r>
          </w:p>
        </w:tc>
        <w:tc>
          <w:tcPr>
            <w:tcW w:w="2350" w:type="dxa"/>
            <w:vMerge w:val="continue"/>
            <w:noWrap w:val="0"/>
            <w:vAlign w:val="center"/>
          </w:tcPr>
          <w:p w14:paraId="52131C65">
            <w:pPr>
              <w:pStyle w:val="2"/>
              <w:spacing w:before="0" w:beforeAutospacing="0" w:after="0"/>
              <w:jc w:val="center"/>
              <w:rPr>
                <w:rFonts w:ascii="仿宋_GB2312" w:hAnsi="仿宋_GB2312" w:eastAsia="仿宋_GB2312" w:cs="仿宋_GB2312"/>
                <w:color w:val="auto"/>
                <w:szCs w:val="21"/>
              </w:rPr>
            </w:pPr>
          </w:p>
        </w:tc>
      </w:tr>
    </w:tbl>
    <w:p w14:paraId="27539BC3">
      <w:pPr>
        <w:jc w:val="left"/>
        <w:rPr>
          <w:rFonts w:ascii="黑体" w:hAnsi="黑体" w:eastAsia="黑体"/>
          <w:color w:val="auto"/>
          <w:sz w:val="32"/>
          <w:szCs w:val="32"/>
        </w:rPr>
      </w:pPr>
      <w:r>
        <w:rPr>
          <w:rFonts w:hint="eastAsia" w:ascii="黑体" w:hAnsi="黑体" w:eastAsia="黑体"/>
          <w:color w:val="auto"/>
          <w:sz w:val="32"/>
          <w:szCs w:val="32"/>
        </w:rPr>
        <w:t>附件8</w:t>
      </w:r>
    </w:p>
    <w:p w14:paraId="35349160">
      <w:pPr>
        <w:spacing w:line="50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临时征用土地补偿标准表</w:t>
      </w:r>
    </w:p>
    <w:tbl>
      <w:tblPr>
        <w:tblStyle w:val="9"/>
        <w:tblpPr w:leftFromText="180" w:rightFromText="180" w:vertAnchor="text" w:horzAnchor="margin" w:tblpXSpec="center" w:tblpY="1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879"/>
        <w:gridCol w:w="2705"/>
      </w:tblGrid>
      <w:tr w14:paraId="004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70" w:type="dxa"/>
            <w:tcBorders>
              <w:top w:val="single" w:color="auto" w:sz="4" w:space="0"/>
              <w:left w:val="single" w:color="auto" w:sz="4" w:space="0"/>
              <w:bottom w:val="single" w:color="auto" w:sz="4" w:space="0"/>
              <w:right w:val="single" w:color="auto" w:sz="4" w:space="0"/>
            </w:tcBorders>
            <w:noWrap w:val="0"/>
            <w:vAlign w:val="center"/>
          </w:tcPr>
          <w:p w14:paraId="3B5FC1C4">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地类</w:t>
            </w:r>
          </w:p>
        </w:tc>
        <w:tc>
          <w:tcPr>
            <w:tcW w:w="2879" w:type="dxa"/>
            <w:tcBorders>
              <w:top w:val="single" w:color="auto" w:sz="4" w:space="0"/>
              <w:left w:val="nil"/>
              <w:bottom w:val="single" w:color="auto" w:sz="4" w:space="0"/>
              <w:right w:val="single" w:color="auto" w:sz="4" w:space="0"/>
            </w:tcBorders>
            <w:noWrap w:val="0"/>
            <w:vAlign w:val="center"/>
          </w:tcPr>
          <w:p w14:paraId="4ECD7D9E">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单位</w:t>
            </w:r>
          </w:p>
        </w:tc>
        <w:tc>
          <w:tcPr>
            <w:tcW w:w="2705" w:type="dxa"/>
            <w:tcBorders>
              <w:top w:val="single" w:color="auto" w:sz="4" w:space="0"/>
              <w:left w:val="nil"/>
              <w:bottom w:val="single" w:color="auto" w:sz="4" w:space="0"/>
              <w:right w:val="single" w:color="auto" w:sz="4" w:space="0"/>
            </w:tcBorders>
            <w:noWrap w:val="0"/>
            <w:vAlign w:val="center"/>
          </w:tcPr>
          <w:p w14:paraId="7BE51B59">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补偿标准（元）</w:t>
            </w:r>
          </w:p>
        </w:tc>
      </w:tr>
      <w:tr w14:paraId="750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noWrap w:val="0"/>
            <w:vAlign w:val="center"/>
          </w:tcPr>
          <w:p w14:paraId="02D80BE9">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水浇地</w:t>
            </w:r>
          </w:p>
        </w:tc>
        <w:tc>
          <w:tcPr>
            <w:tcW w:w="2879" w:type="dxa"/>
            <w:tcBorders>
              <w:top w:val="single" w:color="auto" w:sz="4" w:space="0"/>
              <w:left w:val="nil"/>
              <w:bottom w:val="single" w:color="auto" w:sz="4" w:space="0"/>
              <w:right w:val="single" w:color="auto" w:sz="4" w:space="0"/>
            </w:tcBorders>
            <w:noWrap w:val="0"/>
            <w:vAlign w:val="center"/>
          </w:tcPr>
          <w:p w14:paraId="1A34ACE6">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亩/年</w:t>
            </w:r>
          </w:p>
        </w:tc>
        <w:tc>
          <w:tcPr>
            <w:tcW w:w="2705" w:type="dxa"/>
            <w:tcBorders>
              <w:top w:val="single" w:color="auto" w:sz="4" w:space="0"/>
              <w:left w:val="nil"/>
              <w:bottom w:val="single" w:color="auto" w:sz="4" w:space="0"/>
              <w:right w:val="single" w:color="auto" w:sz="4" w:space="0"/>
            </w:tcBorders>
            <w:noWrap w:val="0"/>
            <w:vAlign w:val="center"/>
          </w:tcPr>
          <w:p w14:paraId="0E049F04">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1500</w:t>
            </w:r>
          </w:p>
        </w:tc>
      </w:tr>
      <w:tr w14:paraId="2E69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noWrap w:val="0"/>
            <w:vAlign w:val="center"/>
          </w:tcPr>
          <w:p w14:paraId="18D99E89">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旱地</w:t>
            </w:r>
          </w:p>
        </w:tc>
        <w:tc>
          <w:tcPr>
            <w:tcW w:w="2879" w:type="dxa"/>
            <w:tcBorders>
              <w:top w:val="single" w:color="auto" w:sz="4" w:space="0"/>
              <w:left w:val="nil"/>
              <w:bottom w:val="single" w:color="auto" w:sz="4" w:space="0"/>
              <w:right w:val="single" w:color="auto" w:sz="4" w:space="0"/>
            </w:tcBorders>
            <w:noWrap w:val="0"/>
            <w:vAlign w:val="center"/>
          </w:tcPr>
          <w:p w14:paraId="4033979B">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亩/年</w:t>
            </w:r>
          </w:p>
        </w:tc>
        <w:tc>
          <w:tcPr>
            <w:tcW w:w="2705" w:type="dxa"/>
            <w:tcBorders>
              <w:top w:val="single" w:color="auto" w:sz="4" w:space="0"/>
              <w:left w:val="nil"/>
              <w:bottom w:val="single" w:color="auto" w:sz="4" w:space="0"/>
              <w:right w:val="single" w:color="auto" w:sz="4" w:space="0"/>
            </w:tcBorders>
            <w:noWrap w:val="0"/>
            <w:vAlign w:val="center"/>
          </w:tcPr>
          <w:p w14:paraId="7240836D">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700</w:t>
            </w:r>
          </w:p>
        </w:tc>
      </w:tr>
      <w:tr w14:paraId="7813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noWrap w:val="0"/>
            <w:vAlign w:val="center"/>
          </w:tcPr>
          <w:p w14:paraId="7D1E63D8">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林地</w:t>
            </w:r>
          </w:p>
        </w:tc>
        <w:tc>
          <w:tcPr>
            <w:tcW w:w="2879" w:type="dxa"/>
            <w:tcBorders>
              <w:top w:val="single" w:color="auto" w:sz="4" w:space="0"/>
              <w:left w:val="nil"/>
              <w:bottom w:val="single" w:color="auto" w:sz="4" w:space="0"/>
              <w:right w:val="single" w:color="auto" w:sz="4" w:space="0"/>
            </w:tcBorders>
            <w:noWrap w:val="0"/>
            <w:vAlign w:val="center"/>
          </w:tcPr>
          <w:p w14:paraId="5157FB96">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亩/年</w:t>
            </w:r>
          </w:p>
        </w:tc>
        <w:tc>
          <w:tcPr>
            <w:tcW w:w="2705" w:type="dxa"/>
            <w:tcBorders>
              <w:top w:val="single" w:color="auto" w:sz="4" w:space="0"/>
              <w:left w:val="nil"/>
              <w:bottom w:val="single" w:color="auto" w:sz="4" w:space="0"/>
              <w:right w:val="single" w:color="auto" w:sz="4" w:space="0"/>
            </w:tcBorders>
            <w:noWrap w:val="0"/>
            <w:vAlign w:val="center"/>
          </w:tcPr>
          <w:p w14:paraId="3F84DD1B">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600</w:t>
            </w:r>
          </w:p>
        </w:tc>
      </w:tr>
      <w:tr w14:paraId="0B31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270" w:type="dxa"/>
            <w:tcBorders>
              <w:top w:val="single" w:color="auto" w:sz="4" w:space="0"/>
              <w:left w:val="single" w:color="auto" w:sz="4" w:space="0"/>
              <w:bottom w:val="single" w:color="auto" w:sz="4" w:space="0"/>
              <w:right w:val="single" w:color="auto" w:sz="4" w:space="0"/>
            </w:tcBorders>
            <w:noWrap w:val="0"/>
            <w:vAlign w:val="center"/>
          </w:tcPr>
          <w:p w14:paraId="4B6ABFCF">
            <w:pPr>
              <w:spacing w:line="440" w:lineRule="exact"/>
              <w:ind w:firstLine="240" w:firstLineChars="10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人工牧草地</w:t>
            </w:r>
          </w:p>
        </w:tc>
        <w:tc>
          <w:tcPr>
            <w:tcW w:w="2879" w:type="dxa"/>
            <w:tcBorders>
              <w:top w:val="single" w:color="auto" w:sz="4" w:space="0"/>
              <w:left w:val="nil"/>
              <w:bottom w:val="single" w:color="auto" w:sz="4" w:space="0"/>
              <w:right w:val="single" w:color="auto" w:sz="4" w:space="0"/>
            </w:tcBorders>
            <w:noWrap w:val="0"/>
            <w:vAlign w:val="center"/>
          </w:tcPr>
          <w:p w14:paraId="0F778CE9">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亩/年</w:t>
            </w:r>
          </w:p>
        </w:tc>
        <w:tc>
          <w:tcPr>
            <w:tcW w:w="2705" w:type="dxa"/>
            <w:tcBorders>
              <w:top w:val="single" w:color="auto" w:sz="4" w:space="0"/>
              <w:left w:val="nil"/>
              <w:bottom w:val="single" w:color="auto" w:sz="4" w:space="0"/>
              <w:right w:val="single" w:color="auto" w:sz="4" w:space="0"/>
            </w:tcBorders>
            <w:noWrap w:val="0"/>
            <w:vAlign w:val="center"/>
          </w:tcPr>
          <w:p w14:paraId="4BEA7AFA">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550</w:t>
            </w:r>
          </w:p>
        </w:tc>
      </w:tr>
      <w:tr w14:paraId="0753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noWrap w:val="0"/>
            <w:vAlign w:val="center"/>
          </w:tcPr>
          <w:p w14:paraId="2C884866">
            <w:pPr>
              <w:spacing w:line="440" w:lineRule="exact"/>
              <w:ind w:firstLine="240" w:firstLineChars="100"/>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天然牧草地</w:t>
            </w:r>
          </w:p>
        </w:tc>
        <w:tc>
          <w:tcPr>
            <w:tcW w:w="2879" w:type="dxa"/>
            <w:tcBorders>
              <w:top w:val="single" w:color="auto" w:sz="4" w:space="0"/>
              <w:left w:val="nil"/>
              <w:bottom w:val="single" w:color="auto" w:sz="4" w:space="0"/>
              <w:right w:val="single" w:color="auto" w:sz="4" w:space="0"/>
            </w:tcBorders>
            <w:noWrap w:val="0"/>
            <w:vAlign w:val="center"/>
          </w:tcPr>
          <w:p w14:paraId="320E439C">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亩/年</w:t>
            </w:r>
          </w:p>
        </w:tc>
        <w:tc>
          <w:tcPr>
            <w:tcW w:w="2705" w:type="dxa"/>
            <w:tcBorders>
              <w:top w:val="single" w:color="auto" w:sz="4" w:space="0"/>
              <w:left w:val="nil"/>
              <w:bottom w:val="single" w:color="auto" w:sz="4" w:space="0"/>
              <w:right w:val="single" w:color="auto" w:sz="4" w:space="0"/>
            </w:tcBorders>
            <w:noWrap w:val="0"/>
            <w:vAlign w:val="center"/>
          </w:tcPr>
          <w:p w14:paraId="1A8090DA">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500</w:t>
            </w:r>
          </w:p>
        </w:tc>
      </w:tr>
      <w:tr w14:paraId="42ED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0" w:type="dxa"/>
            <w:tcBorders>
              <w:top w:val="single" w:color="auto" w:sz="4" w:space="0"/>
              <w:left w:val="single" w:color="auto" w:sz="4" w:space="0"/>
              <w:bottom w:val="single" w:color="auto" w:sz="4" w:space="0"/>
              <w:right w:val="single" w:color="auto" w:sz="4" w:space="0"/>
            </w:tcBorders>
            <w:noWrap w:val="0"/>
            <w:vAlign w:val="center"/>
          </w:tcPr>
          <w:p w14:paraId="10D4C157">
            <w:pPr>
              <w:spacing w:line="440" w:lineRule="exact"/>
              <w:ind w:firstLine="240" w:firstLineChars="100"/>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其他农用地</w:t>
            </w:r>
          </w:p>
        </w:tc>
        <w:tc>
          <w:tcPr>
            <w:tcW w:w="2879" w:type="dxa"/>
            <w:tcBorders>
              <w:top w:val="single" w:color="auto" w:sz="4" w:space="0"/>
              <w:left w:val="nil"/>
              <w:bottom w:val="single" w:color="auto" w:sz="4" w:space="0"/>
              <w:right w:val="single" w:color="auto" w:sz="4" w:space="0"/>
            </w:tcBorders>
            <w:noWrap w:val="0"/>
            <w:vAlign w:val="center"/>
          </w:tcPr>
          <w:p w14:paraId="63E0C29A">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亩/年</w:t>
            </w:r>
          </w:p>
        </w:tc>
        <w:tc>
          <w:tcPr>
            <w:tcW w:w="2705" w:type="dxa"/>
            <w:tcBorders>
              <w:top w:val="single" w:color="auto" w:sz="4" w:space="0"/>
              <w:left w:val="nil"/>
              <w:bottom w:val="single" w:color="auto" w:sz="4" w:space="0"/>
              <w:right w:val="single" w:color="auto" w:sz="4" w:space="0"/>
            </w:tcBorders>
            <w:noWrap w:val="0"/>
            <w:vAlign w:val="center"/>
          </w:tcPr>
          <w:p w14:paraId="3798D3DE">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500</w:t>
            </w:r>
          </w:p>
        </w:tc>
      </w:tr>
      <w:tr w14:paraId="693FC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270" w:type="dxa"/>
            <w:noWrap w:val="0"/>
            <w:vAlign w:val="top"/>
          </w:tcPr>
          <w:p w14:paraId="397262A9">
            <w:pPr>
              <w:pStyle w:val="2"/>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备注</w:t>
            </w:r>
          </w:p>
        </w:tc>
        <w:tc>
          <w:tcPr>
            <w:tcW w:w="5584" w:type="dxa"/>
            <w:gridSpan w:val="2"/>
            <w:noWrap w:val="0"/>
            <w:vAlign w:val="top"/>
          </w:tcPr>
          <w:p w14:paraId="1424C154">
            <w:pPr>
              <w:pStyle w:val="2"/>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征用一年按两年补偿，征用两年按三年补偿</w:t>
            </w:r>
          </w:p>
        </w:tc>
      </w:tr>
    </w:tbl>
    <w:p w14:paraId="561BAC4C">
      <w:pPr>
        <w:jc w:val="both"/>
        <w:rPr>
          <w:rFonts w:ascii="仿宋_GB2312" w:hAnsi="仿宋_GB2312" w:eastAsia="仿宋_GB2312" w:cs="仿宋_GB2312"/>
          <w:color w:val="auto"/>
          <w:szCs w:val="21"/>
        </w:rPr>
      </w:pPr>
    </w:p>
    <w:p w14:paraId="023D678E">
      <w:pPr>
        <w:spacing w:line="500" w:lineRule="exact"/>
        <w:jc w:val="both"/>
        <w:rPr>
          <w:rFonts w:ascii="仿宋_GB2312" w:hAnsi="仿宋_GB2312" w:eastAsia="仿宋_GB2312" w:cs="仿宋_GB2312"/>
          <w:color w:val="auto"/>
          <w:szCs w:val="21"/>
        </w:rPr>
      </w:pPr>
    </w:p>
    <w:p w14:paraId="520058A4">
      <w:pPr>
        <w:spacing w:line="500" w:lineRule="exact"/>
        <w:jc w:val="both"/>
        <w:rPr>
          <w:rFonts w:ascii="仿宋_GB2312" w:hAnsi="仿宋_GB2312" w:eastAsia="仿宋_GB2312" w:cs="仿宋_GB2312"/>
          <w:color w:val="auto"/>
          <w:szCs w:val="21"/>
        </w:rPr>
      </w:pPr>
    </w:p>
    <w:p w14:paraId="597E2943">
      <w:pPr>
        <w:spacing w:line="500" w:lineRule="exact"/>
        <w:jc w:val="both"/>
        <w:rPr>
          <w:rFonts w:ascii="仿宋_GB2312" w:hAnsi="仿宋_GB2312" w:eastAsia="仿宋_GB2312" w:cs="仿宋_GB2312"/>
          <w:color w:val="auto"/>
          <w:szCs w:val="21"/>
        </w:rPr>
      </w:pPr>
    </w:p>
    <w:p w14:paraId="49FD01E3">
      <w:pPr>
        <w:spacing w:line="500" w:lineRule="exact"/>
        <w:jc w:val="both"/>
        <w:rPr>
          <w:rFonts w:ascii="仿宋_GB2312" w:hAnsi="仿宋_GB2312" w:eastAsia="仿宋_GB2312" w:cs="仿宋_GB2312"/>
          <w:color w:val="auto"/>
          <w:szCs w:val="21"/>
        </w:rPr>
      </w:pPr>
    </w:p>
    <w:p w14:paraId="430E05F5">
      <w:pPr>
        <w:spacing w:line="500" w:lineRule="exact"/>
        <w:jc w:val="both"/>
        <w:rPr>
          <w:rFonts w:ascii="仿宋_GB2312" w:hAnsi="仿宋_GB2312" w:eastAsia="仿宋_GB2312" w:cs="仿宋_GB2312"/>
          <w:color w:val="auto"/>
          <w:szCs w:val="21"/>
        </w:rPr>
      </w:pPr>
    </w:p>
    <w:p w14:paraId="5CEFDD00">
      <w:pPr>
        <w:spacing w:line="500" w:lineRule="exact"/>
        <w:jc w:val="both"/>
        <w:rPr>
          <w:rFonts w:ascii="仿宋_GB2312" w:hAnsi="仿宋_GB2312" w:eastAsia="仿宋_GB2312" w:cs="仿宋_GB2312"/>
          <w:color w:val="auto"/>
          <w:szCs w:val="21"/>
        </w:rPr>
      </w:pPr>
    </w:p>
    <w:p w14:paraId="47183948">
      <w:pPr>
        <w:spacing w:line="500" w:lineRule="exact"/>
        <w:jc w:val="both"/>
        <w:rPr>
          <w:rFonts w:ascii="仿宋_GB2312" w:hAnsi="仿宋_GB2312" w:eastAsia="仿宋_GB2312" w:cs="仿宋_GB2312"/>
          <w:color w:val="auto"/>
          <w:szCs w:val="21"/>
        </w:rPr>
      </w:pPr>
    </w:p>
    <w:p w14:paraId="19476E47">
      <w:pPr>
        <w:spacing w:line="500" w:lineRule="exact"/>
        <w:jc w:val="both"/>
        <w:rPr>
          <w:rFonts w:ascii="仿宋_GB2312" w:hAnsi="仿宋_GB2312" w:eastAsia="仿宋_GB2312" w:cs="仿宋_GB2312"/>
          <w:color w:val="auto"/>
          <w:szCs w:val="21"/>
        </w:rPr>
      </w:pPr>
    </w:p>
    <w:p w14:paraId="04B96188">
      <w:pPr>
        <w:spacing w:line="500" w:lineRule="exact"/>
        <w:jc w:val="both"/>
        <w:rPr>
          <w:rFonts w:ascii="仿宋_GB2312" w:hAnsi="仿宋_GB2312" w:eastAsia="仿宋_GB2312" w:cs="仿宋_GB2312"/>
          <w:color w:val="auto"/>
          <w:szCs w:val="21"/>
        </w:rPr>
      </w:pPr>
    </w:p>
    <w:p w14:paraId="1D3584B4">
      <w:pPr>
        <w:spacing w:line="500" w:lineRule="exact"/>
        <w:jc w:val="both"/>
        <w:rPr>
          <w:rFonts w:ascii="仿宋_GB2312" w:hAnsi="仿宋_GB2312" w:eastAsia="仿宋_GB2312" w:cs="仿宋_GB2312"/>
          <w:color w:val="auto"/>
          <w:szCs w:val="21"/>
        </w:rPr>
      </w:pPr>
    </w:p>
    <w:p w14:paraId="18897891">
      <w:pPr>
        <w:spacing w:line="500" w:lineRule="exact"/>
        <w:jc w:val="both"/>
        <w:rPr>
          <w:rFonts w:ascii="仿宋_GB2312" w:hAnsi="仿宋_GB2312" w:eastAsia="仿宋_GB2312" w:cs="仿宋_GB2312"/>
          <w:color w:val="auto"/>
          <w:szCs w:val="21"/>
        </w:rPr>
      </w:pPr>
    </w:p>
    <w:p w14:paraId="599D1849">
      <w:pPr>
        <w:spacing w:line="500" w:lineRule="exact"/>
        <w:jc w:val="both"/>
        <w:rPr>
          <w:rFonts w:ascii="仿宋_GB2312" w:hAnsi="仿宋_GB2312" w:eastAsia="仿宋_GB2312" w:cs="仿宋_GB2312"/>
          <w:color w:val="auto"/>
          <w:szCs w:val="21"/>
        </w:rPr>
      </w:pPr>
    </w:p>
    <w:p w14:paraId="245AB865">
      <w:pPr>
        <w:spacing w:line="500" w:lineRule="exact"/>
        <w:jc w:val="both"/>
        <w:rPr>
          <w:rFonts w:ascii="仿宋_GB2312" w:hAnsi="仿宋_GB2312" w:eastAsia="仿宋_GB2312" w:cs="仿宋_GB2312"/>
          <w:color w:val="auto"/>
          <w:szCs w:val="21"/>
        </w:rPr>
      </w:pPr>
    </w:p>
    <w:p w14:paraId="7CACF457">
      <w:pPr>
        <w:spacing w:line="500" w:lineRule="exact"/>
        <w:jc w:val="both"/>
        <w:rPr>
          <w:rFonts w:ascii="仿宋_GB2312" w:hAnsi="仿宋_GB2312" w:eastAsia="仿宋_GB2312" w:cs="仿宋_GB2312"/>
          <w:color w:val="auto"/>
          <w:szCs w:val="21"/>
        </w:rPr>
      </w:pPr>
    </w:p>
    <w:p w14:paraId="4AE3C323">
      <w:pPr>
        <w:spacing w:line="500" w:lineRule="exact"/>
        <w:jc w:val="both"/>
        <w:rPr>
          <w:rFonts w:ascii="仿宋_GB2312" w:hAnsi="仿宋_GB2312" w:eastAsia="仿宋_GB2312" w:cs="仿宋_GB2312"/>
          <w:color w:val="auto"/>
          <w:szCs w:val="21"/>
        </w:rPr>
      </w:pPr>
    </w:p>
    <w:p w14:paraId="01C408C4">
      <w:pPr>
        <w:jc w:val="left"/>
        <w:rPr>
          <w:rFonts w:ascii="黑体" w:hAnsi="黑体" w:eastAsia="黑体"/>
          <w:color w:val="auto"/>
          <w:sz w:val="32"/>
          <w:szCs w:val="32"/>
        </w:rPr>
      </w:pPr>
      <w:r>
        <w:rPr>
          <w:rFonts w:hint="eastAsia" w:ascii="黑体" w:hAnsi="黑体" w:eastAsia="黑体"/>
          <w:color w:val="auto"/>
          <w:sz w:val="32"/>
          <w:szCs w:val="32"/>
        </w:rPr>
        <w:t>附件9</w:t>
      </w:r>
    </w:p>
    <w:p w14:paraId="32E4C9BC">
      <w:pPr>
        <w:spacing w:line="500" w:lineRule="exact"/>
        <w:ind w:firstLine="2891" w:firstLineChars="9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迁坟补偿标准表</w:t>
      </w:r>
    </w:p>
    <w:tbl>
      <w:tblPr>
        <w:tblStyle w:val="9"/>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572"/>
        <w:gridCol w:w="2838"/>
      </w:tblGrid>
      <w:tr w14:paraId="5CDF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150" w:type="dxa"/>
            <w:tcBorders>
              <w:top w:val="single" w:color="auto" w:sz="4" w:space="0"/>
              <w:left w:val="single" w:color="auto" w:sz="4" w:space="0"/>
              <w:bottom w:val="single" w:color="auto" w:sz="4" w:space="0"/>
              <w:right w:val="single" w:color="auto" w:sz="4" w:space="0"/>
            </w:tcBorders>
            <w:noWrap w:val="0"/>
            <w:vAlign w:val="center"/>
          </w:tcPr>
          <w:p w14:paraId="5103EF43">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名   称</w:t>
            </w:r>
          </w:p>
        </w:tc>
        <w:tc>
          <w:tcPr>
            <w:tcW w:w="1572" w:type="dxa"/>
            <w:tcBorders>
              <w:top w:val="single" w:color="auto" w:sz="4" w:space="0"/>
              <w:left w:val="nil"/>
              <w:bottom w:val="single" w:color="auto" w:sz="4" w:space="0"/>
              <w:right w:val="single" w:color="auto" w:sz="4" w:space="0"/>
            </w:tcBorders>
            <w:noWrap w:val="0"/>
            <w:vAlign w:val="center"/>
          </w:tcPr>
          <w:p w14:paraId="2DE8ED9B">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单位</w:t>
            </w:r>
          </w:p>
        </w:tc>
        <w:tc>
          <w:tcPr>
            <w:tcW w:w="2838" w:type="dxa"/>
            <w:tcBorders>
              <w:top w:val="single" w:color="auto" w:sz="4" w:space="0"/>
              <w:left w:val="nil"/>
              <w:bottom w:val="single" w:color="auto" w:sz="4" w:space="0"/>
              <w:right w:val="single" w:color="auto" w:sz="4" w:space="0"/>
            </w:tcBorders>
            <w:noWrap w:val="0"/>
            <w:vAlign w:val="center"/>
          </w:tcPr>
          <w:p w14:paraId="13A72E4F">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补偿标准（元）</w:t>
            </w:r>
          </w:p>
        </w:tc>
      </w:tr>
      <w:tr w14:paraId="4A1D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Borders>
              <w:top w:val="single" w:color="auto" w:sz="4" w:space="0"/>
              <w:left w:val="single" w:color="auto" w:sz="4" w:space="0"/>
              <w:bottom w:val="single" w:color="auto" w:sz="4" w:space="0"/>
              <w:right w:val="single" w:color="auto" w:sz="4" w:space="0"/>
            </w:tcBorders>
            <w:noWrap w:val="0"/>
            <w:vAlign w:val="center"/>
          </w:tcPr>
          <w:p w14:paraId="37F59FBF">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单人砖葬</w:t>
            </w:r>
          </w:p>
        </w:tc>
        <w:tc>
          <w:tcPr>
            <w:tcW w:w="1572" w:type="dxa"/>
            <w:tcBorders>
              <w:top w:val="single" w:color="auto" w:sz="4" w:space="0"/>
              <w:left w:val="nil"/>
              <w:bottom w:val="single" w:color="auto" w:sz="4" w:space="0"/>
              <w:right w:val="single" w:color="auto" w:sz="4" w:space="0"/>
            </w:tcBorders>
            <w:noWrap w:val="0"/>
            <w:vAlign w:val="center"/>
          </w:tcPr>
          <w:p w14:paraId="0C96964D">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座</w:t>
            </w:r>
          </w:p>
        </w:tc>
        <w:tc>
          <w:tcPr>
            <w:tcW w:w="2838" w:type="dxa"/>
            <w:tcBorders>
              <w:top w:val="single" w:color="auto" w:sz="4" w:space="0"/>
              <w:left w:val="nil"/>
              <w:bottom w:val="single" w:color="auto" w:sz="4" w:space="0"/>
              <w:right w:val="single" w:color="auto" w:sz="4" w:space="0"/>
            </w:tcBorders>
            <w:noWrap w:val="0"/>
            <w:vAlign w:val="center"/>
          </w:tcPr>
          <w:p w14:paraId="1AC20EA6">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36000</w:t>
            </w:r>
          </w:p>
        </w:tc>
      </w:tr>
      <w:tr w14:paraId="1B21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Borders>
              <w:top w:val="single" w:color="auto" w:sz="4" w:space="0"/>
              <w:left w:val="single" w:color="auto" w:sz="4" w:space="0"/>
              <w:bottom w:val="single" w:color="auto" w:sz="4" w:space="0"/>
              <w:right w:val="single" w:color="auto" w:sz="4" w:space="0"/>
            </w:tcBorders>
            <w:noWrap w:val="0"/>
            <w:vAlign w:val="center"/>
          </w:tcPr>
          <w:p w14:paraId="3497487A">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双人砖葬</w:t>
            </w:r>
          </w:p>
        </w:tc>
        <w:tc>
          <w:tcPr>
            <w:tcW w:w="1572" w:type="dxa"/>
            <w:tcBorders>
              <w:top w:val="single" w:color="auto" w:sz="4" w:space="0"/>
              <w:left w:val="nil"/>
              <w:bottom w:val="single" w:color="auto" w:sz="4" w:space="0"/>
              <w:right w:val="single" w:color="auto" w:sz="4" w:space="0"/>
            </w:tcBorders>
            <w:noWrap w:val="0"/>
            <w:vAlign w:val="center"/>
          </w:tcPr>
          <w:p w14:paraId="7AC54E7D">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座</w:t>
            </w:r>
          </w:p>
        </w:tc>
        <w:tc>
          <w:tcPr>
            <w:tcW w:w="2838" w:type="dxa"/>
            <w:tcBorders>
              <w:top w:val="single" w:color="auto" w:sz="4" w:space="0"/>
              <w:left w:val="nil"/>
              <w:bottom w:val="single" w:color="auto" w:sz="4" w:space="0"/>
              <w:right w:val="single" w:color="auto" w:sz="4" w:space="0"/>
            </w:tcBorders>
            <w:noWrap w:val="0"/>
            <w:vAlign w:val="center"/>
          </w:tcPr>
          <w:p w14:paraId="0CFA9FA9">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46000</w:t>
            </w:r>
          </w:p>
        </w:tc>
      </w:tr>
      <w:tr w14:paraId="6F4E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Borders>
              <w:top w:val="single" w:color="auto" w:sz="4" w:space="0"/>
              <w:left w:val="single" w:color="auto" w:sz="4" w:space="0"/>
              <w:bottom w:val="single" w:color="auto" w:sz="4" w:space="0"/>
              <w:right w:val="single" w:color="auto" w:sz="4" w:space="0"/>
            </w:tcBorders>
            <w:noWrap w:val="0"/>
            <w:vAlign w:val="center"/>
          </w:tcPr>
          <w:p w14:paraId="5882CF17">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单人土坟</w:t>
            </w:r>
          </w:p>
        </w:tc>
        <w:tc>
          <w:tcPr>
            <w:tcW w:w="1572" w:type="dxa"/>
            <w:tcBorders>
              <w:top w:val="single" w:color="auto" w:sz="4" w:space="0"/>
              <w:left w:val="nil"/>
              <w:bottom w:val="single" w:color="auto" w:sz="4" w:space="0"/>
              <w:right w:val="single" w:color="auto" w:sz="4" w:space="0"/>
            </w:tcBorders>
            <w:noWrap w:val="0"/>
            <w:vAlign w:val="center"/>
          </w:tcPr>
          <w:p w14:paraId="3894E1F0">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座</w:t>
            </w:r>
          </w:p>
        </w:tc>
        <w:tc>
          <w:tcPr>
            <w:tcW w:w="2838" w:type="dxa"/>
            <w:tcBorders>
              <w:top w:val="single" w:color="auto" w:sz="4" w:space="0"/>
              <w:left w:val="nil"/>
              <w:bottom w:val="single" w:color="auto" w:sz="4" w:space="0"/>
              <w:right w:val="single" w:color="auto" w:sz="4" w:space="0"/>
            </w:tcBorders>
            <w:noWrap w:val="0"/>
            <w:vAlign w:val="center"/>
          </w:tcPr>
          <w:p w14:paraId="3616B6E9">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31000</w:t>
            </w:r>
          </w:p>
        </w:tc>
      </w:tr>
      <w:tr w14:paraId="0C25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Borders>
              <w:top w:val="single" w:color="auto" w:sz="4" w:space="0"/>
              <w:left w:val="single" w:color="auto" w:sz="4" w:space="0"/>
              <w:bottom w:val="single" w:color="auto" w:sz="4" w:space="0"/>
              <w:right w:val="single" w:color="auto" w:sz="4" w:space="0"/>
            </w:tcBorders>
            <w:noWrap w:val="0"/>
            <w:vAlign w:val="center"/>
          </w:tcPr>
          <w:p w14:paraId="6935108C">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双人土坟</w:t>
            </w:r>
          </w:p>
        </w:tc>
        <w:tc>
          <w:tcPr>
            <w:tcW w:w="1572" w:type="dxa"/>
            <w:tcBorders>
              <w:top w:val="single" w:color="auto" w:sz="4" w:space="0"/>
              <w:left w:val="nil"/>
              <w:bottom w:val="single" w:color="auto" w:sz="4" w:space="0"/>
              <w:right w:val="single" w:color="auto" w:sz="4" w:space="0"/>
            </w:tcBorders>
            <w:noWrap w:val="0"/>
            <w:vAlign w:val="center"/>
          </w:tcPr>
          <w:p w14:paraId="2A60FBE6">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座</w:t>
            </w:r>
          </w:p>
        </w:tc>
        <w:tc>
          <w:tcPr>
            <w:tcW w:w="2838" w:type="dxa"/>
            <w:tcBorders>
              <w:top w:val="single" w:color="auto" w:sz="4" w:space="0"/>
              <w:left w:val="nil"/>
              <w:bottom w:val="single" w:color="auto" w:sz="4" w:space="0"/>
              <w:right w:val="single" w:color="auto" w:sz="4" w:space="0"/>
            </w:tcBorders>
            <w:noWrap w:val="0"/>
            <w:vAlign w:val="center"/>
          </w:tcPr>
          <w:p w14:paraId="18632367">
            <w:pPr>
              <w:spacing w:line="44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36000</w:t>
            </w:r>
          </w:p>
        </w:tc>
      </w:tr>
      <w:tr w14:paraId="410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Borders>
              <w:top w:val="single" w:color="auto" w:sz="4" w:space="0"/>
              <w:left w:val="single" w:color="auto" w:sz="4" w:space="0"/>
              <w:bottom w:val="single" w:color="auto" w:sz="4" w:space="0"/>
              <w:right w:val="single" w:color="auto" w:sz="4" w:space="0"/>
            </w:tcBorders>
            <w:noWrap w:val="0"/>
            <w:vAlign w:val="center"/>
          </w:tcPr>
          <w:p w14:paraId="0B250317">
            <w:pPr>
              <w:spacing w:line="4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新选坟地</w:t>
            </w:r>
          </w:p>
        </w:tc>
        <w:tc>
          <w:tcPr>
            <w:tcW w:w="1572" w:type="dxa"/>
            <w:tcBorders>
              <w:top w:val="single" w:color="auto" w:sz="4" w:space="0"/>
              <w:left w:val="nil"/>
              <w:bottom w:val="single" w:color="auto" w:sz="4" w:space="0"/>
              <w:right w:val="single" w:color="auto" w:sz="4" w:space="0"/>
            </w:tcBorders>
            <w:noWrap w:val="0"/>
            <w:vAlign w:val="center"/>
          </w:tcPr>
          <w:p w14:paraId="119EE3E9">
            <w:pPr>
              <w:spacing w:line="4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处</w:t>
            </w:r>
          </w:p>
        </w:tc>
        <w:tc>
          <w:tcPr>
            <w:tcW w:w="2838" w:type="dxa"/>
            <w:tcBorders>
              <w:top w:val="single" w:color="auto" w:sz="4" w:space="0"/>
              <w:left w:val="nil"/>
              <w:bottom w:val="single" w:color="auto" w:sz="4" w:space="0"/>
              <w:right w:val="single" w:color="auto" w:sz="4" w:space="0"/>
            </w:tcBorders>
            <w:noWrap w:val="0"/>
            <w:vAlign w:val="center"/>
          </w:tcPr>
          <w:p w14:paraId="6D440B48">
            <w:pPr>
              <w:spacing w:line="440" w:lineRule="exact"/>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45000</w:t>
            </w:r>
          </w:p>
        </w:tc>
      </w:tr>
    </w:tbl>
    <w:p w14:paraId="208EA6D7">
      <w:pPr>
        <w:spacing w:line="500" w:lineRule="exact"/>
        <w:jc w:val="center"/>
        <w:rPr>
          <w:rFonts w:ascii="仿宋_GB2312" w:hAnsi="仿宋_GB2312" w:eastAsia="仿宋_GB2312" w:cs="仿宋_GB2312"/>
          <w:b/>
          <w:bCs/>
          <w:color w:val="auto"/>
          <w:szCs w:val="21"/>
        </w:rPr>
      </w:pPr>
    </w:p>
    <w:p w14:paraId="47F138AE">
      <w:pPr>
        <w:spacing w:line="500" w:lineRule="exact"/>
        <w:jc w:val="center"/>
        <w:rPr>
          <w:rFonts w:ascii="仿宋_GB2312" w:hAnsi="仿宋_GB2312" w:eastAsia="仿宋_GB2312" w:cs="仿宋_GB2312"/>
          <w:b/>
          <w:bCs/>
          <w:color w:val="auto"/>
          <w:szCs w:val="21"/>
        </w:rPr>
      </w:pPr>
    </w:p>
    <w:p w14:paraId="50052160">
      <w:pPr>
        <w:spacing w:line="500" w:lineRule="exact"/>
        <w:jc w:val="center"/>
        <w:rPr>
          <w:rFonts w:ascii="仿宋_GB2312" w:hAnsi="仿宋_GB2312" w:eastAsia="仿宋_GB2312" w:cs="仿宋_GB2312"/>
          <w:b/>
          <w:bCs/>
          <w:color w:val="auto"/>
          <w:szCs w:val="21"/>
        </w:rPr>
      </w:pPr>
    </w:p>
    <w:p w14:paraId="1BA528D7">
      <w:pPr>
        <w:spacing w:line="500" w:lineRule="exact"/>
        <w:jc w:val="center"/>
        <w:rPr>
          <w:rFonts w:ascii="仿宋_GB2312" w:hAnsi="仿宋_GB2312" w:eastAsia="仿宋_GB2312" w:cs="仿宋_GB2312"/>
          <w:b/>
          <w:bCs/>
          <w:color w:val="auto"/>
          <w:szCs w:val="21"/>
        </w:rPr>
      </w:pPr>
    </w:p>
    <w:p w14:paraId="06DCCD0C">
      <w:pPr>
        <w:spacing w:line="500" w:lineRule="exact"/>
        <w:jc w:val="center"/>
        <w:rPr>
          <w:rFonts w:ascii="仿宋_GB2312" w:hAnsi="仿宋_GB2312" w:eastAsia="仿宋_GB2312" w:cs="仿宋_GB2312"/>
          <w:b/>
          <w:bCs/>
          <w:color w:val="auto"/>
          <w:szCs w:val="21"/>
        </w:rPr>
      </w:pPr>
    </w:p>
    <w:p w14:paraId="52E129B6">
      <w:pPr>
        <w:spacing w:line="500" w:lineRule="exact"/>
        <w:jc w:val="both"/>
        <w:rPr>
          <w:rFonts w:ascii="仿宋_GB2312" w:hAnsi="仿宋_GB2312" w:eastAsia="仿宋_GB2312" w:cs="仿宋_GB2312"/>
          <w:b/>
          <w:bCs/>
          <w:color w:val="auto"/>
          <w:szCs w:val="21"/>
        </w:rPr>
      </w:pPr>
    </w:p>
    <w:p w14:paraId="7511F582">
      <w:pPr>
        <w:spacing w:line="500" w:lineRule="exact"/>
        <w:jc w:val="both"/>
        <w:rPr>
          <w:rFonts w:ascii="仿宋_GB2312" w:hAnsi="仿宋_GB2312" w:eastAsia="仿宋_GB2312" w:cs="仿宋_GB2312"/>
          <w:b/>
          <w:bCs/>
          <w:color w:val="auto"/>
          <w:szCs w:val="21"/>
        </w:rPr>
      </w:pPr>
    </w:p>
    <w:p w14:paraId="756BA71E">
      <w:pPr>
        <w:pStyle w:val="2"/>
        <w:rPr>
          <w:rFonts w:ascii="仿宋_GB2312" w:hAnsi="仿宋_GB2312" w:eastAsia="仿宋_GB2312" w:cs="仿宋_GB2312"/>
          <w:b/>
          <w:bCs/>
          <w:color w:val="auto"/>
          <w:szCs w:val="21"/>
        </w:rPr>
      </w:pPr>
    </w:p>
    <w:p w14:paraId="50A84F5C">
      <w:pPr>
        <w:pStyle w:val="2"/>
        <w:rPr>
          <w:rFonts w:ascii="仿宋_GB2312" w:hAnsi="仿宋_GB2312" w:eastAsia="仿宋_GB2312" w:cs="仿宋_GB2312"/>
          <w:b/>
          <w:bCs/>
          <w:color w:val="auto"/>
          <w:szCs w:val="21"/>
        </w:rPr>
      </w:pPr>
    </w:p>
    <w:p w14:paraId="62628AD9">
      <w:pPr>
        <w:pStyle w:val="2"/>
        <w:rPr>
          <w:rFonts w:ascii="仿宋_GB2312" w:hAnsi="仿宋_GB2312" w:eastAsia="仿宋_GB2312" w:cs="仿宋_GB2312"/>
          <w:b/>
          <w:bCs/>
          <w:color w:val="auto"/>
          <w:szCs w:val="21"/>
        </w:rPr>
      </w:pPr>
    </w:p>
    <w:p w14:paraId="21E03308">
      <w:pPr>
        <w:pStyle w:val="2"/>
        <w:rPr>
          <w:rFonts w:ascii="仿宋_GB2312" w:hAnsi="仿宋_GB2312" w:eastAsia="仿宋_GB2312" w:cs="仿宋_GB2312"/>
          <w:b/>
          <w:bCs/>
          <w:color w:val="auto"/>
          <w:szCs w:val="21"/>
        </w:rPr>
      </w:pPr>
    </w:p>
    <w:p w14:paraId="388C1F9E">
      <w:pPr>
        <w:pStyle w:val="2"/>
        <w:rPr>
          <w:rFonts w:ascii="仿宋_GB2312" w:hAnsi="仿宋_GB2312" w:eastAsia="仿宋_GB2312" w:cs="仿宋_GB2312"/>
          <w:b/>
          <w:bCs/>
          <w:color w:val="auto"/>
          <w:szCs w:val="21"/>
        </w:rPr>
      </w:pPr>
    </w:p>
    <w:p w14:paraId="49A8CBF1">
      <w:pPr>
        <w:pStyle w:val="2"/>
        <w:rPr>
          <w:rFonts w:ascii="仿宋_GB2312" w:hAnsi="仿宋_GB2312" w:eastAsia="仿宋_GB2312" w:cs="仿宋_GB2312"/>
          <w:b/>
          <w:bCs/>
          <w:color w:val="auto"/>
          <w:szCs w:val="21"/>
        </w:rPr>
      </w:pPr>
    </w:p>
    <w:p w14:paraId="10EE5524">
      <w:pPr>
        <w:pStyle w:val="2"/>
        <w:rPr>
          <w:rFonts w:ascii="仿宋_GB2312" w:hAnsi="仿宋_GB2312" w:eastAsia="仿宋_GB2312" w:cs="仿宋_GB2312"/>
          <w:b/>
          <w:bCs/>
          <w:color w:val="auto"/>
          <w:szCs w:val="21"/>
        </w:rPr>
      </w:pPr>
    </w:p>
    <w:p w14:paraId="084E734D">
      <w:pPr>
        <w:pStyle w:val="2"/>
        <w:rPr>
          <w:rFonts w:ascii="仿宋_GB2312" w:hAnsi="仿宋_GB2312" w:eastAsia="仿宋_GB2312" w:cs="仿宋_GB2312"/>
          <w:b/>
          <w:bCs/>
          <w:color w:val="auto"/>
          <w:szCs w:val="21"/>
        </w:rPr>
      </w:pPr>
    </w:p>
    <w:p w14:paraId="1F5CAA39">
      <w:pPr>
        <w:pStyle w:val="2"/>
        <w:rPr>
          <w:rFonts w:ascii="仿宋_GB2312" w:hAnsi="仿宋_GB2312" w:eastAsia="仿宋_GB2312" w:cs="仿宋_GB2312"/>
          <w:b/>
          <w:bCs/>
          <w:color w:val="auto"/>
          <w:szCs w:val="21"/>
        </w:rPr>
      </w:pPr>
    </w:p>
    <w:p w14:paraId="39C2336F">
      <w:pPr>
        <w:pStyle w:val="2"/>
        <w:rPr>
          <w:rFonts w:ascii="仿宋_GB2312" w:hAnsi="仿宋_GB2312" w:eastAsia="仿宋_GB2312" w:cs="仿宋_GB2312"/>
          <w:b/>
          <w:bCs/>
          <w:color w:val="auto"/>
          <w:szCs w:val="21"/>
        </w:rPr>
      </w:pPr>
    </w:p>
    <w:p w14:paraId="2246096F">
      <w:pPr>
        <w:pStyle w:val="2"/>
        <w:rPr>
          <w:rFonts w:ascii="仿宋_GB2312" w:hAnsi="仿宋_GB2312" w:eastAsia="仿宋_GB2312" w:cs="仿宋_GB2312"/>
          <w:b/>
          <w:bCs/>
          <w:color w:val="auto"/>
          <w:szCs w:val="21"/>
        </w:rPr>
      </w:pPr>
    </w:p>
    <w:p w14:paraId="47A45194">
      <w:pPr>
        <w:pStyle w:val="2"/>
        <w:rPr>
          <w:rFonts w:ascii="仿宋_GB2312" w:hAnsi="仿宋_GB2312" w:eastAsia="仿宋_GB2312" w:cs="仿宋_GB2312"/>
          <w:b/>
          <w:bCs/>
          <w:color w:val="auto"/>
          <w:szCs w:val="21"/>
        </w:rPr>
      </w:pPr>
    </w:p>
    <w:p w14:paraId="166BAF01">
      <w:pPr>
        <w:jc w:val="left"/>
        <w:rPr>
          <w:rFonts w:ascii="黑体" w:hAnsi="黑体" w:eastAsia="黑体"/>
          <w:color w:val="auto"/>
          <w:sz w:val="32"/>
          <w:szCs w:val="32"/>
        </w:rPr>
      </w:pPr>
      <w:r>
        <w:rPr>
          <w:rFonts w:hint="eastAsia" w:ascii="黑体" w:hAnsi="黑体" w:eastAsia="黑体"/>
          <w:color w:val="auto"/>
          <w:sz w:val="32"/>
          <w:szCs w:val="32"/>
        </w:rPr>
        <w:t>附件10</w:t>
      </w:r>
    </w:p>
    <w:p w14:paraId="2A834C8A">
      <w:pPr>
        <w:pStyle w:val="2"/>
        <w:spacing w:before="0" w:beforeAutospacing="0" w:after="0"/>
        <w:ind w:firstLine="2891" w:firstLineChars="9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青苗补偿标准表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0FF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30" w:type="dxa"/>
            <w:noWrap w:val="0"/>
            <w:vAlign w:val="center"/>
          </w:tcPr>
          <w:p w14:paraId="66594B0D">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青苗种类</w:t>
            </w:r>
          </w:p>
        </w:tc>
        <w:tc>
          <w:tcPr>
            <w:tcW w:w="2130" w:type="dxa"/>
            <w:noWrap w:val="0"/>
            <w:vAlign w:val="center"/>
          </w:tcPr>
          <w:p w14:paraId="18F5B49F">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补偿标准</w:t>
            </w:r>
          </w:p>
        </w:tc>
        <w:tc>
          <w:tcPr>
            <w:tcW w:w="2131" w:type="dxa"/>
            <w:noWrap w:val="0"/>
            <w:vAlign w:val="center"/>
          </w:tcPr>
          <w:p w14:paraId="5350DF6B">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单位</w:t>
            </w:r>
          </w:p>
        </w:tc>
        <w:tc>
          <w:tcPr>
            <w:tcW w:w="2131" w:type="dxa"/>
            <w:noWrap w:val="0"/>
            <w:vAlign w:val="top"/>
          </w:tcPr>
          <w:p w14:paraId="5ED53486">
            <w:pPr>
              <w:jc w:val="center"/>
              <w:rPr>
                <w:rFonts w:ascii="楷体_GB2312" w:hAnsi="楷体_GB2312" w:eastAsia="楷体_GB2312" w:cs="楷体_GB2312"/>
                <w:b/>
                <w:bCs/>
                <w:color w:val="auto"/>
                <w:sz w:val="24"/>
                <w:szCs w:val="24"/>
              </w:rPr>
            </w:pPr>
            <w:r>
              <w:rPr>
                <w:rFonts w:hint="eastAsia" w:ascii="楷体_GB2312" w:hAnsi="楷体_GB2312" w:eastAsia="楷体_GB2312" w:cs="楷体_GB2312"/>
                <w:b/>
                <w:bCs/>
                <w:color w:val="auto"/>
                <w:sz w:val="24"/>
                <w:szCs w:val="24"/>
              </w:rPr>
              <w:t>备注</w:t>
            </w:r>
          </w:p>
        </w:tc>
      </w:tr>
      <w:tr w14:paraId="49FD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5E5B3E3C">
            <w:pPr>
              <w:widowControl/>
              <w:ind w:firstLine="480" w:firstLineChars="200"/>
              <w:jc w:val="both"/>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小  麦</w:t>
            </w:r>
          </w:p>
        </w:tc>
        <w:tc>
          <w:tcPr>
            <w:tcW w:w="2130" w:type="dxa"/>
            <w:noWrap w:val="0"/>
            <w:vAlign w:val="center"/>
          </w:tcPr>
          <w:p w14:paraId="65AEBBDE">
            <w:pPr>
              <w:pStyle w:val="4"/>
              <w:jc w:val="center"/>
              <w:outlineLvl w:val="3"/>
              <w:rPr>
                <w:rFonts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1600</w:t>
            </w:r>
          </w:p>
        </w:tc>
        <w:tc>
          <w:tcPr>
            <w:tcW w:w="2131" w:type="dxa"/>
            <w:noWrap w:val="0"/>
            <w:vAlign w:val="center"/>
          </w:tcPr>
          <w:p w14:paraId="3BF62F38">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restart"/>
            <w:noWrap w:val="0"/>
            <w:vAlign w:val="top"/>
          </w:tcPr>
          <w:p w14:paraId="6D646023">
            <w:pPr>
              <w:jc w:val="center"/>
              <w:rPr>
                <w:rFonts w:ascii="仿宋_GB2312" w:hAnsi="仿宋_GB2312" w:eastAsia="仿宋_GB2312" w:cs="仿宋_GB2312"/>
                <w:color w:val="auto"/>
                <w:kern w:val="0"/>
                <w:szCs w:val="21"/>
              </w:rPr>
            </w:pPr>
          </w:p>
          <w:p w14:paraId="64FA0F78">
            <w:pPr>
              <w:jc w:val="center"/>
              <w:rPr>
                <w:rFonts w:ascii="仿宋_GB2312" w:hAnsi="仿宋_GB2312" w:eastAsia="仿宋_GB2312" w:cs="仿宋_GB2312"/>
                <w:color w:val="auto"/>
                <w:kern w:val="0"/>
                <w:szCs w:val="21"/>
              </w:rPr>
            </w:pPr>
          </w:p>
          <w:p w14:paraId="252D82AA">
            <w:pPr>
              <w:jc w:val="center"/>
              <w:rPr>
                <w:rFonts w:ascii="仿宋_GB2312" w:hAnsi="仿宋_GB2312" w:eastAsia="仿宋_GB2312" w:cs="仿宋_GB2312"/>
                <w:color w:val="auto"/>
                <w:kern w:val="0"/>
                <w:szCs w:val="21"/>
              </w:rPr>
            </w:pPr>
          </w:p>
          <w:p w14:paraId="40A6A5F3">
            <w:pPr>
              <w:jc w:val="center"/>
              <w:rPr>
                <w:rFonts w:ascii="仿宋_GB2312" w:hAnsi="仿宋_GB2312" w:eastAsia="仿宋_GB2312" w:cs="仿宋_GB2312"/>
                <w:color w:val="auto"/>
                <w:kern w:val="0"/>
                <w:szCs w:val="21"/>
              </w:rPr>
            </w:pPr>
          </w:p>
          <w:p w14:paraId="0EB52F0A">
            <w:pPr>
              <w:jc w:val="center"/>
              <w:rPr>
                <w:rFonts w:ascii="仿宋_GB2312" w:hAnsi="仿宋_GB2312" w:eastAsia="仿宋_GB2312" w:cs="仿宋_GB2312"/>
                <w:color w:val="auto"/>
                <w:kern w:val="0"/>
                <w:szCs w:val="21"/>
              </w:rPr>
            </w:pPr>
          </w:p>
          <w:p w14:paraId="1356DFB3">
            <w:pPr>
              <w:jc w:val="center"/>
              <w:rPr>
                <w:rFonts w:ascii="仿宋_GB2312" w:hAnsi="仿宋_GB2312" w:eastAsia="仿宋_GB2312" w:cs="仿宋_GB2312"/>
                <w:color w:val="auto"/>
                <w:kern w:val="0"/>
                <w:szCs w:val="21"/>
              </w:rPr>
            </w:pPr>
          </w:p>
          <w:p w14:paraId="2BD11EAA">
            <w:pPr>
              <w:jc w:val="center"/>
              <w:rPr>
                <w:rFonts w:ascii="仿宋_GB2312" w:hAnsi="仿宋_GB2312" w:eastAsia="仿宋_GB2312" w:cs="仿宋_GB2312"/>
                <w:color w:val="auto"/>
                <w:kern w:val="0"/>
                <w:szCs w:val="21"/>
              </w:rPr>
            </w:pPr>
          </w:p>
          <w:p w14:paraId="5F2B211A">
            <w:pPr>
              <w:jc w:val="center"/>
              <w:rPr>
                <w:rFonts w:ascii="仿宋_GB2312" w:hAnsi="仿宋_GB2312" w:eastAsia="仿宋_GB2312" w:cs="仿宋_GB2312"/>
                <w:color w:val="auto"/>
                <w:kern w:val="0"/>
                <w:szCs w:val="21"/>
              </w:rPr>
            </w:pPr>
          </w:p>
          <w:p w14:paraId="1E836C40">
            <w:pPr>
              <w:jc w:val="center"/>
              <w:rPr>
                <w:rFonts w:ascii="仿宋_GB2312" w:hAnsi="仿宋_GB2312" w:eastAsia="仿宋_GB2312" w:cs="仿宋_GB2312"/>
                <w:color w:val="auto"/>
                <w:kern w:val="0"/>
                <w:szCs w:val="21"/>
              </w:rPr>
            </w:pPr>
          </w:p>
          <w:p w14:paraId="1EA0DBF2">
            <w:pPr>
              <w:jc w:val="center"/>
              <w:rPr>
                <w:rFonts w:ascii="仿宋_GB2312" w:hAnsi="仿宋_GB2312" w:eastAsia="仿宋_GB2312" w:cs="仿宋_GB2312"/>
                <w:color w:val="auto"/>
                <w:kern w:val="0"/>
                <w:szCs w:val="21"/>
              </w:rPr>
            </w:pPr>
          </w:p>
          <w:p w14:paraId="592A78C1">
            <w:pPr>
              <w:jc w:val="center"/>
              <w:rPr>
                <w:rFonts w:ascii="仿宋_GB2312" w:hAnsi="仿宋_GB2312" w:eastAsia="仿宋_GB2312" w:cs="仿宋_GB2312"/>
                <w:color w:val="auto"/>
                <w:kern w:val="0"/>
                <w:szCs w:val="21"/>
              </w:rPr>
            </w:pPr>
          </w:p>
          <w:p w14:paraId="7BE5BE39">
            <w:pPr>
              <w:widowControl/>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 w:val="24"/>
                <w:szCs w:val="24"/>
              </w:rPr>
              <w:t>按作物近三年平均年产值进行补偿</w:t>
            </w:r>
          </w:p>
        </w:tc>
      </w:tr>
      <w:tr w14:paraId="10AF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28531DC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土  豆</w:t>
            </w:r>
          </w:p>
        </w:tc>
        <w:tc>
          <w:tcPr>
            <w:tcW w:w="2130" w:type="dxa"/>
            <w:noWrap w:val="0"/>
            <w:vAlign w:val="center"/>
          </w:tcPr>
          <w:p w14:paraId="3D341EAE">
            <w:pPr>
              <w:pStyle w:val="4"/>
              <w:jc w:val="center"/>
              <w:outlineLvl w:val="3"/>
              <w:rPr>
                <w:rFonts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2400</w:t>
            </w:r>
          </w:p>
        </w:tc>
        <w:tc>
          <w:tcPr>
            <w:tcW w:w="2131" w:type="dxa"/>
            <w:noWrap w:val="0"/>
            <w:vAlign w:val="center"/>
          </w:tcPr>
          <w:p w14:paraId="1458D501">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1A9D2604">
            <w:pPr>
              <w:jc w:val="center"/>
              <w:rPr>
                <w:rFonts w:ascii="仿宋_GB2312" w:hAnsi="仿宋_GB2312" w:eastAsia="仿宋_GB2312" w:cs="仿宋_GB2312"/>
                <w:color w:val="auto"/>
                <w:szCs w:val="21"/>
              </w:rPr>
            </w:pPr>
          </w:p>
        </w:tc>
      </w:tr>
      <w:tr w14:paraId="70F4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3F9C5789">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玉  米</w:t>
            </w:r>
          </w:p>
        </w:tc>
        <w:tc>
          <w:tcPr>
            <w:tcW w:w="2130" w:type="dxa"/>
            <w:noWrap w:val="0"/>
            <w:vAlign w:val="center"/>
          </w:tcPr>
          <w:p w14:paraId="650D4735">
            <w:pPr>
              <w:pStyle w:val="4"/>
              <w:jc w:val="center"/>
              <w:outlineLvl w:val="3"/>
              <w:rPr>
                <w:rFonts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1800</w:t>
            </w:r>
          </w:p>
        </w:tc>
        <w:tc>
          <w:tcPr>
            <w:tcW w:w="2131" w:type="dxa"/>
            <w:noWrap w:val="0"/>
            <w:vAlign w:val="center"/>
          </w:tcPr>
          <w:p w14:paraId="39F232B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7E5A46EF">
            <w:pPr>
              <w:jc w:val="center"/>
              <w:rPr>
                <w:rFonts w:ascii="仿宋_GB2312" w:hAnsi="仿宋_GB2312" w:eastAsia="仿宋_GB2312" w:cs="仿宋_GB2312"/>
                <w:color w:val="auto"/>
                <w:szCs w:val="21"/>
              </w:rPr>
            </w:pPr>
          </w:p>
        </w:tc>
      </w:tr>
      <w:tr w14:paraId="12FE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0BC44C0A">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葵  花</w:t>
            </w:r>
          </w:p>
        </w:tc>
        <w:tc>
          <w:tcPr>
            <w:tcW w:w="2130" w:type="dxa"/>
            <w:noWrap w:val="0"/>
            <w:vAlign w:val="center"/>
          </w:tcPr>
          <w:p w14:paraId="622B5643">
            <w:pPr>
              <w:pStyle w:val="4"/>
              <w:jc w:val="center"/>
              <w:outlineLvl w:val="3"/>
              <w:rPr>
                <w:rFonts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1800</w:t>
            </w:r>
          </w:p>
        </w:tc>
        <w:tc>
          <w:tcPr>
            <w:tcW w:w="2131" w:type="dxa"/>
            <w:noWrap w:val="0"/>
            <w:vAlign w:val="center"/>
          </w:tcPr>
          <w:p w14:paraId="530595E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0220628C">
            <w:pPr>
              <w:jc w:val="center"/>
              <w:rPr>
                <w:rFonts w:ascii="仿宋_GB2312" w:hAnsi="仿宋_GB2312" w:eastAsia="仿宋_GB2312" w:cs="仿宋_GB2312"/>
                <w:color w:val="auto"/>
                <w:szCs w:val="21"/>
              </w:rPr>
            </w:pPr>
          </w:p>
        </w:tc>
      </w:tr>
      <w:tr w14:paraId="1D07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03F37D32">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豆  类</w:t>
            </w:r>
          </w:p>
        </w:tc>
        <w:tc>
          <w:tcPr>
            <w:tcW w:w="2130" w:type="dxa"/>
            <w:noWrap w:val="0"/>
            <w:vAlign w:val="center"/>
          </w:tcPr>
          <w:p w14:paraId="0AD31AF6">
            <w:pPr>
              <w:pStyle w:val="4"/>
              <w:jc w:val="center"/>
              <w:outlineLvl w:val="3"/>
              <w:rPr>
                <w:rFonts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1200</w:t>
            </w:r>
          </w:p>
        </w:tc>
        <w:tc>
          <w:tcPr>
            <w:tcW w:w="2131" w:type="dxa"/>
            <w:noWrap w:val="0"/>
            <w:vAlign w:val="center"/>
          </w:tcPr>
          <w:p w14:paraId="16E26E4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61F21B09">
            <w:pPr>
              <w:jc w:val="center"/>
              <w:rPr>
                <w:rFonts w:ascii="仿宋_GB2312" w:hAnsi="仿宋_GB2312" w:eastAsia="仿宋_GB2312" w:cs="仿宋_GB2312"/>
                <w:color w:val="auto"/>
                <w:szCs w:val="21"/>
              </w:rPr>
            </w:pPr>
          </w:p>
        </w:tc>
      </w:tr>
      <w:tr w14:paraId="17A4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3222FCC5">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谷  类</w:t>
            </w:r>
          </w:p>
        </w:tc>
        <w:tc>
          <w:tcPr>
            <w:tcW w:w="2130" w:type="dxa"/>
            <w:noWrap w:val="0"/>
            <w:vAlign w:val="center"/>
          </w:tcPr>
          <w:p w14:paraId="0B8F8076">
            <w:pPr>
              <w:pStyle w:val="4"/>
              <w:jc w:val="center"/>
              <w:outlineLvl w:val="3"/>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1500</w:t>
            </w:r>
          </w:p>
        </w:tc>
        <w:tc>
          <w:tcPr>
            <w:tcW w:w="2131" w:type="dxa"/>
            <w:noWrap w:val="0"/>
            <w:vAlign w:val="center"/>
          </w:tcPr>
          <w:p w14:paraId="11A2B96B">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4F0E6A45">
            <w:pPr>
              <w:jc w:val="center"/>
              <w:rPr>
                <w:rFonts w:ascii="仿宋_GB2312" w:hAnsi="仿宋_GB2312" w:eastAsia="仿宋_GB2312" w:cs="仿宋_GB2312"/>
                <w:color w:val="auto"/>
                <w:szCs w:val="21"/>
              </w:rPr>
            </w:pPr>
          </w:p>
        </w:tc>
      </w:tr>
      <w:tr w14:paraId="52F6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1B28225F">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籽 瓜</w:t>
            </w:r>
          </w:p>
        </w:tc>
        <w:tc>
          <w:tcPr>
            <w:tcW w:w="2130" w:type="dxa"/>
            <w:noWrap w:val="0"/>
            <w:vAlign w:val="center"/>
          </w:tcPr>
          <w:p w14:paraId="456B0503">
            <w:pPr>
              <w:pStyle w:val="4"/>
              <w:jc w:val="center"/>
              <w:outlineLvl w:val="3"/>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1200</w:t>
            </w:r>
          </w:p>
        </w:tc>
        <w:tc>
          <w:tcPr>
            <w:tcW w:w="2131" w:type="dxa"/>
            <w:noWrap w:val="0"/>
            <w:vAlign w:val="center"/>
          </w:tcPr>
          <w:p w14:paraId="788832A4">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46D80769">
            <w:pPr>
              <w:jc w:val="center"/>
              <w:rPr>
                <w:rFonts w:ascii="仿宋_GB2312" w:hAnsi="仿宋_GB2312" w:eastAsia="仿宋_GB2312" w:cs="仿宋_GB2312"/>
                <w:color w:val="auto"/>
                <w:szCs w:val="21"/>
              </w:rPr>
            </w:pPr>
          </w:p>
        </w:tc>
      </w:tr>
      <w:tr w14:paraId="4D3C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center"/>
          </w:tcPr>
          <w:p w14:paraId="6BF9E8DC">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西  瓜</w:t>
            </w:r>
          </w:p>
        </w:tc>
        <w:tc>
          <w:tcPr>
            <w:tcW w:w="2130" w:type="dxa"/>
            <w:noWrap w:val="0"/>
            <w:vAlign w:val="center"/>
          </w:tcPr>
          <w:p w14:paraId="291434B7">
            <w:pPr>
              <w:pStyle w:val="4"/>
              <w:jc w:val="center"/>
              <w:outlineLvl w:val="3"/>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2000</w:t>
            </w:r>
          </w:p>
        </w:tc>
        <w:tc>
          <w:tcPr>
            <w:tcW w:w="2131" w:type="dxa"/>
            <w:noWrap w:val="0"/>
            <w:vAlign w:val="center"/>
          </w:tcPr>
          <w:p w14:paraId="6121DAE1">
            <w:pPr>
              <w:widowControl/>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元/亩</w:t>
            </w:r>
          </w:p>
        </w:tc>
        <w:tc>
          <w:tcPr>
            <w:tcW w:w="2131" w:type="dxa"/>
            <w:vMerge w:val="continue"/>
            <w:noWrap w:val="0"/>
            <w:vAlign w:val="top"/>
          </w:tcPr>
          <w:p w14:paraId="475A1C35">
            <w:pPr>
              <w:jc w:val="center"/>
              <w:rPr>
                <w:rFonts w:ascii="仿宋_GB2312" w:hAnsi="仿宋_GB2312" w:eastAsia="仿宋_GB2312" w:cs="仿宋_GB2312"/>
                <w:color w:val="auto"/>
                <w:szCs w:val="21"/>
              </w:rPr>
            </w:pPr>
          </w:p>
        </w:tc>
      </w:tr>
    </w:tbl>
    <w:p w14:paraId="547D8EA7">
      <w:pPr>
        <w:jc w:val="both"/>
        <w:rPr>
          <w:rFonts w:ascii="仿宋_GB2312" w:hAnsi="仿宋_GB2312" w:eastAsia="仿宋_GB2312" w:cs="仿宋_GB2312"/>
          <w:color w:val="auto"/>
          <w:sz w:val="32"/>
          <w:szCs w:val="32"/>
        </w:rPr>
      </w:pPr>
    </w:p>
    <w:p w14:paraId="40967E07">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left"/>
        <w:textAlignment w:val="auto"/>
        <w:outlineLvl w:val="9"/>
        <w:rPr>
          <w:rFonts w:hint="eastAsia" w:eastAsia="仿宋_GB2312"/>
          <w:sz w:val="32"/>
        </w:rPr>
      </w:pPr>
    </w:p>
    <w:p w14:paraId="00E27631">
      <w:pPr>
        <w:pStyle w:val="12"/>
        <w:keepNext w:val="0"/>
        <w:keepLines w:val="0"/>
        <w:pageBreakBefore w:val="0"/>
        <w:kinsoku/>
        <w:wordWrap/>
        <w:overflowPunct/>
        <w:topLinePunct w:val="0"/>
        <w:autoSpaceDE/>
        <w:autoSpaceDN/>
        <w:bidi w:val="0"/>
        <w:adjustRightInd w:val="0"/>
        <w:snapToGrid w:val="0"/>
        <w:spacing w:after="0" w:afterLines="0" w:line="280" w:lineRule="exact"/>
        <w:ind w:left="0" w:leftChars="0" w:right="0" w:rightChars="0"/>
        <w:jc w:val="left"/>
        <w:textAlignment w:val="auto"/>
        <w:outlineLvl w:val="9"/>
        <w:rPr>
          <w:rFonts w:hint="eastAsia" w:eastAsia="仿宋_GB2312"/>
          <w:sz w:val="32"/>
        </w:rPr>
      </w:pPr>
      <w:r>
        <w:rPr>
          <w:rFonts w:hint="eastAsia" w:eastAsia="仿宋_GB2312"/>
          <w:sz w:val="32"/>
        </w:rPr>
        <w:t>───────────────────────────</w:t>
      </w:r>
    </w:p>
    <w:p w14:paraId="49DAE47F">
      <w:pPr>
        <w:pStyle w:val="12"/>
        <w:keepNext w:val="0"/>
        <w:keepLines w:val="0"/>
        <w:pageBreakBefore w:val="0"/>
        <w:kinsoku/>
        <w:wordWrap/>
        <w:overflowPunct/>
        <w:topLinePunct w:val="0"/>
        <w:autoSpaceDE/>
        <w:autoSpaceDN/>
        <w:bidi w:val="0"/>
        <w:adjustRightInd w:val="0"/>
        <w:snapToGrid w:val="0"/>
        <w:spacing w:after="0" w:afterLines="0" w:line="280" w:lineRule="exact"/>
        <w:ind w:left="0" w:leftChars="0" w:right="0" w:rightChars="0"/>
        <w:jc w:val="left"/>
        <w:textAlignment w:val="auto"/>
        <w:outlineLvl w:val="9"/>
        <w:rPr>
          <w:rFonts w:hint="eastAsia" w:eastAsia="仿宋_GB2312"/>
          <w:sz w:val="28"/>
          <w:szCs w:val="28"/>
        </w:rPr>
      </w:pPr>
      <w:r>
        <w:rPr>
          <w:rFonts w:hint="eastAsia" w:eastAsia="仿宋_GB2312"/>
          <w:sz w:val="28"/>
          <w:szCs w:val="28"/>
        </w:rPr>
        <w:t xml:space="preserve"> </w:t>
      </w:r>
      <w:r>
        <w:rPr>
          <w:rFonts w:hint="eastAsia" w:eastAsia="仿宋_GB2312"/>
          <w:sz w:val="28"/>
          <w:szCs w:val="28"/>
          <w:lang w:val="en-US" w:eastAsia="zh-CN"/>
        </w:rPr>
        <w:t xml:space="preserve"> </w:t>
      </w:r>
      <w:r>
        <w:rPr>
          <w:rFonts w:hint="eastAsia" w:ascii="仿宋_GB2312" w:hAnsi="仿宋_GB2312" w:eastAsia="仿宋_GB2312" w:cs="仿宋_GB2312"/>
          <w:sz w:val="28"/>
          <w:szCs w:val="28"/>
        </w:rPr>
        <w:t xml:space="preserve">达拉特旗人民政府办公室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日印发</w:t>
      </w:r>
    </w:p>
    <w:p w14:paraId="70B153D4">
      <w:pPr>
        <w:keepNext w:val="0"/>
        <w:keepLines w:val="0"/>
        <w:pageBreakBefore w:val="0"/>
        <w:widowControl w:val="0"/>
        <w:kinsoku w:val="0"/>
        <w:wordWrap/>
        <w:overflowPunct/>
        <w:topLinePunct w:val="0"/>
        <w:autoSpaceDE w:val="0"/>
        <w:autoSpaceDN/>
        <w:bidi w:val="0"/>
        <w:adjustRightInd/>
        <w:snapToGrid/>
        <w:spacing w:after="0" w:line="280" w:lineRule="exact"/>
        <w:ind w:right="0"/>
        <w:jc w:val="both"/>
        <w:textAlignment w:val="auto"/>
        <w:rPr>
          <w:rFonts w:hint="eastAsia"/>
          <w:color w:val="auto"/>
        </w:rPr>
      </w:pPr>
      <w:r>
        <w:rPr>
          <w:rFonts w:hint="eastAsia" w:eastAsia="仿宋_GB2312"/>
          <w:sz w:val="32"/>
        </w:rPr>
        <w:t>───────────────────────────</w:t>
      </w:r>
    </w:p>
    <w:p w14:paraId="02D36C7C"/>
    <w:sectPr>
      <w:headerReference r:id="rId4" w:type="default"/>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F0A8B">
    <w:pPr>
      <w:spacing w:line="380" w:lineRule="exact"/>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CA33F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14:paraId="12CA33F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3833D">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-305435</wp:posOffset>
              </wp:positionV>
              <wp:extent cx="1828800" cy="535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35940"/>
                      </a:xfrm>
                      <a:prstGeom prst="rect">
                        <a:avLst/>
                      </a:prstGeom>
                      <a:noFill/>
                      <a:ln w="6350">
                        <a:noFill/>
                      </a:ln>
                    </wps:spPr>
                    <wps:txbx>
                      <w:txbxContent>
                        <w:p w14:paraId="6CDB080B">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- 41 -</w:t>
                          </w:r>
                          <w:r>
                            <w:rPr>
                              <w:rFonts w:hint="eastAsia" w:ascii="宋体" w:hAnsi="宋体" w:cs="宋体"/>
                              <w:sz w:val="28"/>
                              <w:szCs w:val="28"/>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left:0pt;margin-top:-24.05pt;height:42.2pt;width:144pt;mso-position-horizontal-relative:margin;mso-wrap-style:none;z-index:251660288;mso-width-relative:page;mso-height-relative:page;" filled="f" stroked="f" coordsize="21600,21600" o:gfxdata="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jWVm/1wAAAAcBAAAPAAAAAAAAAAEAIAAAACIAAABkcnMv&#10;ZG93bnJldi54bWxQSwECFAAUAAAACACHTuJAPq8NmcsBAACHAwAADgAAAAAAAAABACAAAAAmAQAA&#10;ZHJzL2Uyb0RvYy54bWxQSwUGAAAAAAYABgBZAQAAYwUAAAAA&#10;">
              <v:path/>
              <v:fill on="f" focussize="0,0"/>
              <v:stroke on="f" weight="0.5pt"/>
              <v:imagedata o:title=""/>
              <o:lock v:ext="edit" aspectratio="f"/>
              <v:textbox inset="0mm,0mm,0mm,0mm">
                <w:txbxContent>
                  <w:p w14:paraId="6CDB080B">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784EF">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Tc5YTZiNDRkZTUzZGYyN2NlZjQwNmJmNTE2YTMifQ=="/>
  </w:docVars>
  <w:rsids>
    <w:rsidRoot w:val="53091045"/>
    <w:rsid w:val="5309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5">
    <w:name w:val="Plain Text"/>
    <w:basedOn w:val="1"/>
    <w:qFormat/>
    <w:uiPriority w:val="0"/>
    <w:rPr>
      <w:rFonts w:ascii="宋体" w:hAnsi="Courier New" w:cs="Courier New"/>
      <w:szCs w:val="21"/>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rPr>
      <w:sz w:val="24"/>
      <w:szCs w:val="24"/>
    </w:rPr>
  </w:style>
  <w:style w:type="table" w:styleId="9">
    <w:name w:val="Table Grid"/>
    <w:basedOn w:val="8"/>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paragraph" w:customStyle="1" w:styleId="12">
    <w:name w:val="开头2"/>
    <w:basedOn w:val="1"/>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2024-10-15T09:02:00Z</dcterms:created>
  <dc:creator>政务公开室</dc:creator>
  <cp:lastModifiedBy>政务公开室</cp:lastModifiedBy>
  <dcterms:modified xsi:type="dcterms:W3CDTF">2024-10-15T09:02:48Z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098145E9FC724AFAAF6A09534A81ADA5_11</vt:lpwstr>
  </property>
</Properties>
</file>