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eastAsia="仿宋_GB2312"/>
          <w:sz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eastAsia="仿宋_GB2312"/>
          <w:sz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eastAsia="仿宋_GB231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eastAsia="仿宋_GB2312"/>
          <w:sz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eastAsia="仿宋_GB2312"/>
          <w:sz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eastAsia="仿宋_GB2312"/>
          <w:sz w:val="32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达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安委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办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发</w:t>
      </w:r>
      <w:r>
        <w:rPr>
          <w:rFonts w:hint="eastAsia" w:ascii="仿宋_GB2312" w:eastAsia="仿宋_GB2312"/>
          <w:color w:val="auto"/>
          <w:sz w:val="32"/>
          <w:szCs w:val="32"/>
        </w:rPr>
        <w:t>〔20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color w:val="auto"/>
          <w:sz w:val="32"/>
          <w:szCs w:val="32"/>
        </w:rPr>
        <w:t>〕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达拉特旗安全生产委员会办公室关于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印发《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生产经营租住村（居）民自建房重大火灾风险综合治理方案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》的通知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各苏木镇人民政府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各街道办事处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ascii="仿宋_GB2312" w:eastAsia="仿宋_GB2312"/>
          <w:sz w:val="32"/>
          <w:szCs w:val="32"/>
        </w:rPr>
        <w:t>旗安委会各成员单位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根据《内</w:t>
      </w:r>
      <w:r>
        <w:rPr>
          <w:rFonts w:hint="eastAsia" w:ascii="仿宋_GB2312" w:hAnsi="仿宋_GB2312" w:eastAsia="仿宋_GB2312" w:cs="仿宋_GB2312"/>
          <w:sz w:val="32"/>
          <w:szCs w:val="32"/>
        </w:rPr>
        <w:t>蒙古自治区安全生产委员会办公室关于印发</w:t>
      </w:r>
      <w:r>
        <w:rPr>
          <w:rFonts w:hint="default" w:ascii="仿宋_GB2312" w:hAnsi="仿宋_GB2312" w:eastAsia="仿宋_GB2312" w:cs="仿宋_GB2312"/>
          <w:sz w:val="32"/>
          <w:szCs w:val="32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</w:rPr>
        <w:t>全区生产经营租住村（居）民自建房重大火灾风险综合治理方案</w:t>
      </w:r>
      <w:r>
        <w:rPr>
          <w:rFonts w:hint="default" w:ascii="仿宋_GB2312" w:hAnsi="仿宋_GB2312" w:eastAsia="仿宋_GB2312" w:cs="仿宋_GB2312"/>
          <w:sz w:val="32"/>
          <w:szCs w:val="32"/>
        </w:rPr>
        <w:t>&gt;</w:t>
      </w:r>
      <w:r>
        <w:rPr>
          <w:rFonts w:hint="eastAsia" w:ascii="仿宋_GB2312" w:hAnsi="仿宋_GB2312" w:eastAsia="仿宋_GB2312" w:cs="仿宋_GB2312"/>
          <w:sz w:val="32"/>
          <w:szCs w:val="32"/>
        </w:rPr>
        <w:t>的通知》（内安委办〔</w:t>
      </w:r>
      <w:r>
        <w:rPr>
          <w:rFonts w:hint="default" w:ascii="仿宋_GB2312" w:hAnsi="仿宋_GB2312" w:eastAsia="仿宋_GB2312" w:cs="仿宋_GB2312"/>
          <w:sz w:val="32"/>
          <w:szCs w:val="32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default" w:ascii="仿宋_GB2312" w:hAnsi="仿宋_GB2312" w:eastAsia="仿宋_GB2312" w:cs="仿宋_GB2312"/>
          <w:sz w:val="32"/>
          <w:szCs w:val="32"/>
        </w:rPr>
        <w:t>33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按照鄂尔多斯市安全生产委员会办公室要求，旗安全生产委员会办公室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决定在全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范围内开展自建房重大火灾风险综合治理，现将实施方案印发你们，请结合实际，细化工作措施，认真抓好贯彻落实。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</w:p>
    <w:p>
      <w:pPr>
        <w:pStyle w:val="2"/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达拉特旗安全生产委员会办公室</w:t>
      </w:r>
    </w:p>
    <w:p>
      <w:pPr>
        <w:pStyle w:val="3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2022年4月12日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生产经营租住村（居）民自建房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重大火灾风险综合治理方案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近年来，全国村（居）民自建房（以下简称“自建房”）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火灾不断增多，具有全国影响的自建房较大亡人火灾事故居高不下，2021年河南商丘震兴武馆“6·25”重大火灾，2022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年北京昌平“2·11”自建公寓房较大火灾和安徽蒙城“2·22”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自建出租房较大火灾在全国造成不良影响。而此类风险因素在我区也同样突出，违规使用易燃可燃材料、违规用火用电、违规住人、疏散通道不畅等问题普遍存在。为深入贯彻落实习近平总书记关于安全生产重要指示精神，认真落实国务院安委会的决策部署，全面治理全旗村（居）民自建房（以下简称“自建房”）火灾隐患，特制定如下方案，请遵照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一、目标任务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以习近平新时代中国特色社会主义思想为指导，牢固树立以人民为中心的安全发展理念，强化红线意识和底线思维，结合消防安全专项整治三年行动，进一步探索建立村（居）民自建房消防管理机制，全面落实属地政府主体责任和部门监管责任，强化源头治理，遏制违法行为。按照“谁批准谁负责、谁使用谁负责、谁主管谁负责”的原则，坚持边查边改、疏堵结合、远近结合、标本兼治。把涉及人员多、可能造成群死群伤重特大事故的生产、经营、租住自建房作为重点，依法依规开展自建房火灾隐患排查整治工作，及时消除重大安全风险隐患，为党的二十大胜利召开营造良好消防安全环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二、治理范围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此次治理范围更加突出具有生产、经营、租住使用功能之一，且住宿人员达到10人及以上的自建房。治理重点为下列8类情形：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使用易燃可燃夹芯彩钢板或易燃材料搭建的临时房屋，屋顶、围护结构、房间隔墙使用易燃可燃夹芯彩钢板或易燃材料。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用于生产、经营的自建房，居住区域与生产、经营区域未完全防火分隔。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（三）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电动自行车、电动摩托车、电动平衡车及其蓄电池在室内公共区域、疏散走道、楼梯间、安全出口或房间内停放、充电；室外集中停放、充电区域及其设置的雨棚与建筑外窗、安全出口直接相邻。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（四）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存在每层建筑面积超过200平方米、屋顶承重构件和楼板为可燃材料、建筑层数不低于4层这几类情况的自建房中，疏散楼梯少于2部，首层安全出口少于2个。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（五）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外窗、疏散走道安装防盗网、广告牌、铁栅栏。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（六）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用于租住的自建房内设置采用易燃可燃保温材料的冷库、设置液氨制冷剂的冷库以及生产、储存、经营易燃易爆危险品的自建房内设置居住场所。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（七）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违规储存大量易燃可燃物品或违规设置库房，与居住场所未保持安全距离或设置防火分隔的。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（八）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违规改建扩建，导致存在防火分隔、安全疏散、自动消防设施设置不符合要求等火灾隐患的。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对于符合上述治理范围的自建房集中连片区域，当区域内住宿人数达到10人及以上时，应当纳入此次治理范围。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三、重点任务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各有关地区、相关单位要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面摸底、部门协作、重点整治、全面推进的原则，有序推进村（居）民自建房重大火灾风险防范工作。对符合重大火灾隐患判定情形的，严格落实“更换、增设、分隔、拆除、移出、搬离”等刚性措施，防止发生消防安全事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（一）摸底排查。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辖区内所有自建房屋进行摸底排查。全面摸清自建房屋基本情况，掌握场所地址、业主及租户姓名、建筑层数及面积、房屋间数、建筑及装饰材料、使用功能、容纳人数、消防状况、是否改扩建等基础信息。对用作餐饮饭店、民宿、批发零售、休闲娱乐、学校、养老、医疗、加工仓储等经营性（含生产性、公益性）的，且住宿人员达到10人及以上的自建房进行重点统计。排查包括使用彩钢板建设的房屋、私自改建扩建的房屋、人员聚集使用的房屋等，并对各类自建房火灾隐患进行登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（二）部门协作。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按照“属地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负责、部门联动”的工作模式报请旗政府组织落实苏木（镇）、街道属地管理责任和相关部门行业监管责任。工作任务如下：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各苏木（镇）、街道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排查辖区生产、经营、租住自建房底数并组织整改。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应急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协调、督促各苏木（镇）街道部门排查生产经营的自建房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消防救援大队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组织开展生产经营租住自建房综合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治理工作，加强对各地区、各部门工作落实情况的指导，对不符合生产经营条件以及存在8类重点情形的自建房，提请本级人民政府开展整治。同时，做好宣传教育以及强化各类区域协防队伍熟悉演练工作的指导，提请政府加强公共消防基础设施建设，重点研究自建房整治工作中存在的突出问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住房和城乡建设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结合老旧住宅和棚户区消防安全改造，对治理范围内的自建房进行摸底统计，对违规施工改建、扩建的自建房开展治理工作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住房保障综合服务中心：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督促、指导物业部门对小区内符合治理范围的自建房进行摸排并整治。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公安局：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负责宾馆、民宿、出租屋、长租房自建房进行摸排，督促隐患整改。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市场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监督管理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强化电动车、电气设备质量源头管理，对自建房停放的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电动车、使用的电气设备进行抽检，对经营类自建房开展治理。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自然资源局：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强化国有土地治理，对违法侵占国有土地自建房开展整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农牧局：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结合乡村振兴战略，深入推进用作经营的农村牧区自建房隐患排查整治。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供电局：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供电企业进入小区、社区进行安全用电宣传，对电力用户电表箱处安全隐患下达整改通知书，督促用户整改。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教育体育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学校、幼儿园、教育培训机构、托管机构自建房排查整治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民政局：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自建房用作养老院、福利机构的排查整治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文化和旅游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负责KTV、网吧等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娱乐场所自建房排查整治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卫生健康委员会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医院、卫生所、小诊所自建房排查整治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能源局：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煤炭领域的住宿场所自建房排查整治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（三）落实整改。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部门要按照各自职责，督促指导生产、经营、租住自建房业主或租户，结合8类重点情形，采取有效措施，降低火灾风险。对违规使用易燃可燃夹芯彩钢板或其他易燃材料，违规设置室外电动车集中停放、充电雨棚，外窗、疏散走道安装防盗网、广告牌、铁栅栏的，必须拆除；对居住区域与其他区域，或居住区域内各房间未完全分隔的，必须按照规范要求合理分隔；对电动车及蓄电池在室内停放、充电的，必须搬移至室外；对安全出口、疏散楼梯不足的，必须按要求增设；对生产、储存、经营易燃易爆危险品区域内设置的居住场所，或租住场所内设置不符合要求的冷库，必须搬离；对于居住住所内违规储存大量易燃可燃物品的，必须清理，对于户外存放的，应与居住场所未保持安全距离或设置专用仓库；对于违规改建扩建，导致存在火灾隐患的，必须责令其整改，确保符合规范要求，否则必须责令恢复原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（四）强化治理。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存在问题不属于8类重点情形的生产、经营、租住自建房，由村（居）民委员会组织整改。对存在8类重点情形的自建房，由苏木（镇）（街道）组织整改。对住宿人员30人及以上，且存在8类重点情形的自建房，由旗政府组织整改。对自建房在生产、经营、租住活动中涉及的相关行业领域，由各主管部门和监管部门指导整改。对生产、经营、租住自建房集中连片地区，且8类重点情形突出的苏木（镇）（街道），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级政府督办整改。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凡未按要求整改的，必须撤出居住人员，或停止生产、停止营业、停止租住。同时，对使用不合格电器产品、室内电器线路私拉乱接、消防设施器材不完好有效等其他问题隐患，必须限期改正。各有关部门要加大执法力度，对属于本行业领域管辖范围的，要用足用好法律手段，依法严格查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整改期间加强值班巡查，落实安全防护措施。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（五）严格销案。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以排查发现存在安全隐患的生产经营租住自建房为重点开展整治，力争2022年12月底前基本完成销案工作。整治到位前必须采取切实有效的安全防范措施。各有关部门按照“8类重点情形坚决消除、其他风险隐患动态监管”的原则，根据排查工作台账和问题隐患清单、整改责任清单，对生产、经营、租住自建房8类重点情形排查整改情况制定重点整治方案，明确整治内容、工作措施、技术路线、力量组织、工作经费、时限要求等。要实行销号管理，确保整治一户、验收一户、销户一户。对住宿人员10人及以上的生产、经营、租住自建房，由苏木（镇）（街道）组织现场核查；对住宿人员30人及以上的生产、经营、租住自建房，由旗消防救援大队报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旗人民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政府组织现场核查。对达到整改要求的，予以销案归档，并同步纳入后续网格巡查、联合检查、专项督查等工作范围。对达不到整改要求的，一律不予销案，并持续跟进督办指导，直至完全整改。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（六）重点宣传。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旗消防救援大队要针对生产、经营、租住自建房火灾风险特点，积极发动街道（苏木（镇））社区（嘎查）和基层网格组织，广泛开展“敲门行动”“入户宣传”，重点针对8类重点情形开展“清单式”上门服务与管理。通过广播、电视、微博、微信、抖音等媒体平台，广泛提示用火用电用气、易燃可燃物品管理、电动车停放充电等消防安全常识，提高群众安全防范意识和自防自救能力。将消防志愿者压实到基层一线，通过走街串巷、上门服务等方式，每日开展巡防检查及社会化宣传工作。“北疆蓝焰”等志愿服务品牌队伍，应当针对性的开展公益宣传活动，扩大消防宣传覆盖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（七）科技赋能。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部门要结合电子政务、智慧乡村服务等信息化大数据系统建设，依托现有平台或组织创新研发，探索建立生产、经营、租住自建房火灾风险监测预警系统，实现对火灾高风险场所区域的动态监测、预警提示、智能分析和精准防范。结合火灾防控实际，鼓励和引导扩大独立感烟报警器、燃气报警器、简易喷淋装置、漏电保护装置、电梯阻车系统等科技手段应用范围。加大对电动车的使用停放管理，推进建设电动车集中停放、充电设施，积极应用“电子巡更”“视频监控”等技术，以科技信息化手段推动火灾防控工作赋能升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（八）区域协防。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部门要督促苏木（镇）（街道）、社区（嘎查）建强微型消防站，按照“一站三队”（消防安全巡查队、消防知识宣传队和灭火救援先遣队）要求，积极履行定时防火巡查、常态消防宣传、应急扑救初起火灾的职能。加快农村牧区“一队一中心”建设，提升抗御火灾整体能力。推动住宿人员30人及以上的生产、经营、租住自建房建立微型消防站或志愿消防队，住宿人员30人以下的纳入苏木（镇）街道协防范围，同时强化自身培训演练、值班值守、多户联防等工作，提高初起火灾扑救能力。旗消防救援队伍针对辖区自建房火灾风险特点，修订灭火救援预案，组织实地调研熟悉，强化业务指导和联勤联动，提高专业救援能力。同时，要加强公共消防基础设施建设，研究解决生产、经营、租住自建房集中连片地区防火间距、消防水源、消防车通道、消防站建设等方面突出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四、时间步骤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（一）动员部署阶段（2022年4月上旬）。各部门印发方案，召开动员会议，明确工作职责，分解任务目标，明确工作标准，广泛宣传发动，迅速组织开展工作。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（二）排查整改阶段（2022年4月至8月）。各部门要指导行业部门、苏木（镇）街道对生产、经营、租住自建房开展全面排查，建立底数清单和问题台账，分级分类推进整改、销案。对于符合重大火灾隐患情形及区域性火灾隐患标准的，提请政府挂牌督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（三）巩固提升阶段（2022年9月）。各部门要及时梳理总结工作成效、典型做法和问题不足，固化治理成果，完善制度机制，提高生产、经营、租住自建房消防安全管理水平。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五、工作要求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（一）强化组织领导。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部门要成立综合治理工作协调小组，将生产经营租住自建房安全隐患排查整治工作提上重要议事日程，加强组织发动、指挥调度、情况通报、督导交办，健全完善工作机制。明确苏木（镇）街道主要负责人是第一责任人，要狠抓落实，确保综合治理工作有序推进、取得实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（二）强化责任落实。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全生产委员会要进一步明确教育、公安、民政、自然资源、住房城乡建设、农牧、文化和旅游、卫生健康、应急管理、市场监管、体育、消防救援等部门（机构）工作职责，按照“三个必须”要求，全面加强自建房安全管理。对涉及职能交叉、多头管理的领域，明确牵头和协助部门，齐抓共管、形成合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（三）强化督促指导。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有关部门要加强对自建房重大火灾风险综合治理工作的督促指导，加强过程监督和责任追究。对存在违法行为的单位和个人，要依法实施行政处罚；涉嫌犯罪的，依法追究刑事责任。对工作中失职失责不作为、乱作为或存在失职、渎职等因素引发较大及以上或有影响火灾事故的，要严格实行责任倒查，依法追究相关人员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（四）强化标本兼治。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部门要结合消防“十四五”规划实施、城镇棚户区改造、乡村振兴等重点工作，将自建房重大火灾风险综合治理纳入地方民生工程实施项目，更新改造设施设备，提升本质消防安全。对排查整治中发现问题，有针对性地完善制度，进一步完善“源头管控、信息共享、联合监管、举报投诉、多户联防、技防应用”等全链条动态管理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各部门要将生产、经营、租住自建房重大火灾风险综合治理工作动员部署、推进情况，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每月28日前向旗消防救援大队报送附件统计表计典型经验做法，9月20日前上报工作总结。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人：薛轶雄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电子邮箱：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"mailto:1903556266@qq.com"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1903556266@qq.com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电话： 0477-5187674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18404774928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1.生产、经营、租住村（居）民自建房重大火灾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1920" w:firstLineChars="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风险综合治理工作记录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1600" w:firstLineChars="5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2.生产经营租住自建房摸底情况统计表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1600" w:firstLineChars="5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3.生产经营租住自建房（含集中连片区域）摸底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1920" w:firstLineChars="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情况台账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1600" w:firstLineChars="5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行业部门自建房排查整治情况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1600" w:firstLineChars="5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5.8类重点整治情形治理情况统计表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1600" w:firstLineChars="5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6.生产经营租住自建房宣传情况统计表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1600" w:firstLineChars="5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7.自建房消防安全设施安装情况统计表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7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达拉特旗</w:t>
            </w:r>
            <w:r>
              <w:rPr>
                <w:rFonts w:hint="eastAsia" w:eastAsia="仿宋_GB2312"/>
                <w:sz w:val="28"/>
                <w:szCs w:val="28"/>
              </w:rPr>
              <w:t>安全生产委员会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办公室       </w:t>
            </w:r>
            <w:r>
              <w:rPr>
                <w:rFonts w:eastAsia="仿宋_GB2312"/>
                <w:sz w:val="28"/>
                <w:szCs w:val="28"/>
              </w:rPr>
              <w:t xml:space="preserve">  2022</w:t>
            </w:r>
            <w:r>
              <w:rPr>
                <w:rFonts w:hint="eastAsia" w:eastAsia="仿宋_GB2312"/>
                <w:sz w:val="28"/>
                <w:szCs w:val="28"/>
              </w:rPr>
              <w:t>年4月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eastAsia="仿宋_GB2312"/>
                <w:sz w:val="28"/>
                <w:szCs w:val="28"/>
              </w:rPr>
              <w:t>日印发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0" w:h="16820"/>
          <w:pgMar w:top="1440" w:right="1800" w:bottom="1440" w:left="1800" w:header="720" w:footer="720" w:gutter="0"/>
          <w:pgNumType w:fmt="numberInDash" w:start="1"/>
          <w:cols w:space="720" w:num="1"/>
          <w:docGrid w:linePitch="1" w:charSpace="0"/>
        </w:sectPr>
      </w:pPr>
    </w:p>
    <w:p>
      <w:pPr>
        <w:pStyle w:val="12"/>
        <w:spacing w:line="600" w:lineRule="exact"/>
        <w:rPr>
          <w:rFonts w:eastAsia="方正仿宋_GBK"/>
          <w:color w:val="000000"/>
          <w:sz w:val="32"/>
        </w:rPr>
      </w:pPr>
      <w:bookmarkStart w:id="0" w:name="br1_11"/>
      <w:bookmarkEnd w:id="0"/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lang w:val="en-US" w:eastAsia="zh-CN"/>
        </w:rPr>
        <w:t>附件1：</w:t>
      </w:r>
    </w:p>
    <w:tbl>
      <w:tblPr>
        <w:tblStyle w:val="9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424"/>
        <w:gridCol w:w="2543"/>
        <w:gridCol w:w="1158"/>
        <w:gridCol w:w="3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908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生产、经营、租住村（居）民自建房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重大火灾风险综合治理工作记录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村居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排查</w:t>
            </w:r>
          </w:p>
        </w:tc>
        <w:tc>
          <w:tcPr>
            <w:tcW w:w="142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场所名称</w:t>
            </w:r>
          </w:p>
        </w:tc>
        <w:tc>
          <w:tcPr>
            <w:tcW w:w="254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    址</w:t>
            </w:r>
          </w:p>
        </w:tc>
        <w:tc>
          <w:tcPr>
            <w:tcW w:w="324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业主姓名</w:t>
            </w:r>
          </w:p>
        </w:tc>
        <w:tc>
          <w:tcPr>
            <w:tcW w:w="25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2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19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37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自建房使用功能：   □生产     □经营     □租住     □混合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建筑层数：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建筑面积：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房屋间数：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工作人员数量：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住宿人员数量：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电动车停放、充电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□无  □有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使用瓶装液化石油气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□无  □有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100"/>
                <w:sz w:val="24"/>
                <w:szCs w:val="24"/>
                <w:lang w:val="en-US" w:eastAsia="zh-CN"/>
              </w:rPr>
              <w:t xml:space="preserve">易燃易爆危险品生产、储存、销售、使用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□无  □有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防盗网、广告牌、铁栅栏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□无  □有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消防设施、器材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13"/>
                <w:rFonts w:hint="eastAsia" w:ascii="方正仿宋_GBK" w:hAnsi="方正仿宋_GBK" w:eastAsia="方正仿宋_GBK" w:cs="方正仿宋_GBK"/>
                <w:color w:val="000000"/>
                <w:u w:val="single"/>
                <w:lang w:val="en-US" w:eastAsia="zh-CN" w:bidi="ar"/>
              </w:rPr>
            </w:pPr>
            <w:r>
              <w:rPr>
                <w:rStyle w:val="13"/>
                <w:rFonts w:hint="eastAsia" w:ascii="方正仿宋_GBK" w:hAnsi="方正仿宋_GBK" w:eastAsia="方正仿宋_GBK" w:cs="方正仿宋_GBK"/>
                <w:color w:val="000000"/>
                <w:lang w:val="en-US" w:eastAsia="zh-CN" w:bidi="ar"/>
              </w:rPr>
              <w:t>□安全出口  数量：</w:t>
            </w:r>
            <w:r>
              <w:rPr>
                <w:rStyle w:val="14"/>
                <w:rFonts w:hint="eastAsia" w:ascii="方正仿宋_GBK" w:hAnsi="方正仿宋_GBK" w:eastAsia="方正仿宋_GBK" w:cs="方正仿宋_GBK"/>
                <w:color w:val="000000"/>
                <w:lang w:val="en-US" w:eastAsia="zh-CN" w:bidi="ar"/>
              </w:rPr>
              <w:t xml:space="preserve">            </w:t>
            </w:r>
            <w:r>
              <w:rPr>
                <w:rStyle w:val="14"/>
                <w:rFonts w:hint="eastAsia" w:ascii="方正仿宋_GBK" w:hAnsi="方正仿宋_GBK" w:eastAsia="方正仿宋_GBK" w:cs="方正仿宋_GBK"/>
                <w:color w:val="000000"/>
                <w:u w:val="none"/>
                <w:lang w:val="en-US" w:eastAsia="zh-CN" w:bidi="ar"/>
              </w:rPr>
              <w:t xml:space="preserve">  </w:t>
            </w:r>
            <w:r>
              <w:rPr>
                <w:rStyle w:val="13"/>
                <w:rFonts w:hint="eastAsia" w:ascii="方正仿宋_GBK" w:hAnsi="方正仿宋_GBK" w:eastAsia="方正仿宋_GBK" w:cs="方正仿宋_GBK"/>
                <w:color w:val="000000"/>
                <w:u w:val="none"/>
                <w:lang w:val="en-US" w:eastAsia="zh-CN" w:bidi="ar"/>
              </w:rPr>
              <w:t xml:space="preserve">   </w:t>
            </w:r>
            <w:r>
              <w:rPr>
                <w:rStyle w:val="13"/>
                <w:rFonts w:hint="eastAsia" w:ascii="方正仿宋_GBK" w:hAnsi="方正仿宋_GBK" w:eastAsia="方正仿宋_GBK" w:cs="方正仿宋_GBK"/>
                <w:color w:val="000000"/>
                <w:lang w:val="en-US" w:eastAsia="zh-CN" w:bidi="ar"/>
              </w:rPr>
              <w:t>□疏散楼梯  数量：</w:t>
            </w:r>
            <w:r>
              <w:rPr>
                <w:rStyle w:val="13"/>
                <w:rFonts w:hint="eastAsia" w:ascii="方正仿宋_GBK" w:hAnsi="方正仿宋_GBK" w:eastAsia="方正仿宋_GBK" w:cs="方正仿宋_GBK"/>
                <w:color w:val="000000"/>
                <w:u w:val="single"/>
                <w:lang w:val="en-US" w:eastAsia="zh-CN" w:bidi="ar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□室内消火栓       □应急照明      □疏散指示标志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14"/>
                <w:rFonts w:hint="eastAsia" w:ascii="方正仿宋_GBK" w:hAnsi="方正仿宋_GBK" w:eastAsia="方正仿宋_GBK" w:cs="方正仿宋_GBK"/>
                <w:color w:val="000000"/>
                <w:lang w:val="en-US" w:eastAsia="zh-CN" w:bidi="ar"/>
              </w:rPr>
            </w:pPr>
            <w:r>
              <w:rPr>
                <w:rStyle w:val="13"/>
                <w:rFonts w:hint="eastAsia" w:ascii="方正仿宋_GBK" w:hAnsi="方正仿宋_GBK" w:eastAsia="方正仿宋_GBK" w:cs="方正仿宋_GBK"/>
                <w:color w:val="000000"/>
                <w:lang w:val="en-US" w:eastAsia="zh-CN" w:bidi="ar"/>
              </w:rPr>
              <w:t>□灭火器  种类及其数量：</w:t>
            </w:r>
            <w:r>
              <w:rPr>
                <w:rStyle w:val="14"/>
                <w:rFonts w:hint="eastAsia" w:ascii="方正仿宋_GBK" w:hAnsi="方正仿宋_GBK" w:eastAsia="方正仿宋_GBK" w:cs="方正仿宋_GBK"/>
                <w:color w:val="000000"/>
                <w:lang w:val="en-US" w:eastAsia="zh-CN" w:bidi="ar"/>
              </w:rPr>
              <w:t xml:space="preserve">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14"/>
                <w:rFonts w:hint="eastAsia" w:ascii="方正仿宋_GBK" w:hAnsi="方正仿宋_GBK" w:eastAsia="方正仿宋_GBK" w:cs="方正仿宋_GBK"/>
                <w:color w:val="00000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□其他消防设施、器材：</w:t>
            </w:r>
            <w:r>
              <w:rPr>
                <w:rStyle w:val="14"/>
                <w:rFonts w:hint="eastAsia" w:ascii="方正仿宋_GBK" w:hAnsi="方正仿宋_GBK" w:eastAsia="方正仿宋_GBK" w:cs="方正仿宋_GBK"/>
                <w:color w:val="000000"/>
                <w:lang w:val="en-US" w:eastAsia="zh-CN" w:bidi="ar"/>
              </w:rPr>
              <w:t xml:space="preserve">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方正仿宋_GBK" w:hAnsi="方正仿宋_GBK" w:eastAsia="方正仿宋_GBK" w:cs="方正仿宋_GBK"/>
                <w:color w:val="000000"/>
                <w:lang w:val="en-US" w:eastAsia="zh-CN" w:bidi="ar"/>
              </w:rPr>
              <w:t xml:space="preserve">                                                                         </w:t>
            </w:r>
            <w:r>
              <w:rPr>
                <w:rStyle w:val="13"/>
                <w:rFonts w:hint="eastAsia" w:ascii="方正仿宋_GBK" w:hAnsi="方正仿宋_GBK" w:eastAsia="方正仿宋_GBK" w:cs="方正仿宋_GBK"/>
                <w:color w:val="000000"/>
                <w:lang w:val="en-US" w:eastAsia="zh-CN" w:bidi="ar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排查人员签字：</w:t>
            </w:r>
            <w:r>
              <w:rPr>
                <w:rStyle w:val="14"/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 w:bidi="ar"/>
              </w:rPr>
              <w:t xml:space="preserve">                    </w:t>
            </w:r>
            <w:r>
              <w:rPr>
                <w:rStyle w:val="13"/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 w:bidi="ar"/>
              </w:rPr>
              <w:t xml:space="preserve">  联系方式：</w:t>
            </w:r>
            <w:r>
              <w:rPr>
                <w:rStyle w:val="14"/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 w:bidi="ar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乡镇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核查</w:t>
            </w:r>
          </w:p>
        </w:tc>
        <w:tc>
          <w:tcPr>
            <w:tcW w:w="51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□使用易燃可燃夹芯彩钢板或其他易燃材料搭建临时房屋。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（整改要求：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1"/>
                <w:szCs w:val="21"/>
              </w:rPr>
              <w:t>拆除易燃可燃夹芯彩钢板或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1"/>
                <w:szCs w:val="21"/>
              </w:rPr>
              <w:t>易燃材料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整改期限：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完成整改：□是 □否</w:t>
            </w:r>
          </w:p>
        </w:tc>
        <w:tc>
          <w:tcPr>
            <w:tcW w:w="324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整改措施：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</w:p>
        </w:tc>
        <w:tc>
          <w:tcPr>
            <w:tcW w:w="51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□屋顶、围护结构、房间隔墙使用易燃可燃夹芯彩钢板或其他易燃材料。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（整改要求：拆除易燃可燃夹芯彩钢板或其他易燃材料）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整改期限：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完成整改：□是 □否</w:t>
            </w:r>
          </w:p>
        </w:tc>
        <w:tc>
          <w:tcPr>
            <w:tcW w:w="324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整改措施：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</w:p>
        </w:tc>
        <w:tc>
          <w:tcPr>
            <w:tcW w:w="51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□用于生产、经营的自建房，居住区域与生产、经营区域未完全防火分隔。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（整改要求：砌墙或安装防火门分隔）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整改期限：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完成整改：□是 □否</w:t>
            </w:r>
          </w:p>
        </w:tc>
        <w:tc>
          <w:tcPr>
            <w:tcW w:w="324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整改措施：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</w:p>
        </w:tc>
        <w:tc>
          <w:tcPr>
            <w:tcW w:w="51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□电动自行车、电动摩托车、电动平衡车及其蓄电池在室内公共区域、疏散走道、楼梯间、安全出口或房间内停放、充电。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（整改要求：搬移至室外）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整改期限：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完成整改：□是 □否</w:t>
            </w:r>
          </w:p>
        </w:tc>
        <w:tc>
          <w:tcPr>
            <w:tcW w:w="324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整改措施：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36"/>
                <w:lang w:val="en-US" w:eastAsia="zh-CN"/>
              </w:rPr>
              <w:t>乡镇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36"/>
                <w:lang w:val="en-US" w:eastAsia="zh-CN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36"/>
                <w:lang w:val="en-US" w:eastAsia="zh-CN"/>
              </w:rPr>
              <w:t>核查</w:t>
            </w:r>
          </w:p>
        </w:tc>
        <w:tc>
          <w:tcPr>
            <w:tcW w:w="51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.□室外集中停放、充电区域及其设置的雨棚与建筑外窗、安全出口直接相邻。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（整改要求：落实防火分隔，拆除违规设置的集中停放、充电雨棚）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整改期限：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完成整改：□是 □否</w:t>
            </w:r>
          </w:p>
        </w:tc>
        <w:tc>
          <w:tcPr>
            <w:tcW w:w="324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整改措施：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</w:p>
        </w:tc>
        <w:tc>
          <w:tcPr>
            <w:tcW w:w="51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□每层建筑面积超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过200平方米的自建房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屋顶承重构件和楼板为可燃材料的自建房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建筑层数为4层及以上的自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建房，疏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散楼梯少于2部，首层安全出口少于2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个。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（整改要求：按要求增设疏散楼梯、安全出口）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整改期限：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完成整改：□是 □否</w:t>
            </w:r>
          </w:p>
        </w:tc>
        <w:tc>
          <w:tcPr>
            <w:tcW w:w="324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整改措施：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</w:p>
        </w:tc>
        <w:tc>
          <w:tcPr>
            <w:tcW w:w="51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窗、疏散走道安装防盗网、广告牌、铁栅栏。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（整改要求：拆除防盗网、广告牌、铁栅栏或设置可开启门窗）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整改期限：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完成整改：□是 □否</w:t>
            </w:r>
          </w:p>
        </w:tc>
        <w:tc>
          <w:tcPr>
            <w:tcW w:w="324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整改措施：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</w:p>
        </w:tc>
        <w:tc>
          <w:tcPr>
            <w:tcW w:w="51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租住的自建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房内设置采用易燃可燃保温材料的冷库、设置液氨制冷剂的冷库，生产、储存、经营易燃易爆危险品的自建房设置居住场所。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（整改要求：搬离租住人员）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整改期限：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完成整改：□是 □否</w:t>
            </w:r>
          </w:p>
        </w:tc>
        <w:tc>
          <w:tcPr>
            <w:tcW w:w="324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整改措施：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</w:p>
        </w:tc>
        <w:tc>
          <w:tcPr>
            <w:tcW w:w="51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□已形成生产、经营、租住村（居）民自建房集中连片区域。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（整改要求：按上述问题隐患整改要求，由市级督办整改）</w:t>
            </w:r>
          </w:p>
        </w:tc>
        <w:tc>
          <w:tcPr>
            <w:tcW w:w="324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整改措施：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</w:p>
        </w:tc>
        <w:tc>
          <w:tcPr>
            <w:tcW w:w="512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他问题：</w:t>
            </w:r>
          </w:p>
        </w:tc>
        <w:tc>
          <w:tcPr>
            <w:tcW w:w="324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整改措施：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37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乡镇（街道）名称：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核查人员签字：</w:t>
            </w:r>
            <w:r>
              <w:rPr>
                <w:rStyle w:val="14"/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 w:bidi="ar"/>
              </w:rPr>
              <w:t xml:space="preserve">                    </w:t>
            </w:r>
            <w:r>
              <w:rPr>
                <w:rStyle w:val="13"/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 w:bidi="ar"/>
              </w:rPr>
              <w:t xml:space="preserve">  联系方式：</w:t>
            </w:r>
            <w:r>
              <w:rPr>
                <w:rStyle w:val="14"/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 w:bidi="ar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36"/>
                <w:lang w:val="en-US" w:eastAsia="zh-CN"/>
              </w:rPr>
              <w:t>整改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36"/>
                <w:lang w:val="en-US" w:eastAsia="zh-CN"/>
              </w:rPr>
              <w:t>销案</w:t>
            </w:r>
          </w:p>
        </w:tc>
        <w:tc>
          <w:tcPr>
            <w:tcW w:w="837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u w:val="none"/>
                <w:lang w:val="en-US" w:eastAsia="zh-CN" w:bidi="ar"/>
              </w:rPr>
              <w:t>□予以销案    □不予销案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Style w:val="14"/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整改责任人员签名：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Style w:val="13"/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 w:bidi="ar"/>
              </w:rPr>
              <w:t>联系方式：</w:t>
            </w:r>
            <w:r>
              <w:rPr>
                <w:rStyle w:val="14"/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 w:bidi="ar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u w:val="none"/>
                <w:lang w:val="en-US" w:eastAsia="zh-CN" w:bidi="ar"/>
              </w:rPr>
              <w:t>核查销案人员签名：</w:t>
            </w:r>
            <w:r>
              <w:rPr>
                <w:rStyle w:val="14"/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 w:bidi="ar"/>
              </w:rPr>
              <w:t xml:space="preserve">                </w:t>
            </w:r>
            <w:r>
              <w:rPr>
                <w:rStyle w:val="14"/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Style w:val="13"/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 w:bidi="ar"/>
              </w:rPr>
              <w:t>联系方式：</w:t>
            </w:r>
            <w:r>
              <w:rPr>
                <w:rStyle w:val="14"/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 w:bidi="ar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方正黑体_GBK" w:hAnsi="方正黑体_GBK" w:eastAsia="方正黑体_GBK" w:cs="方正黑体_GBK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36"/>
                <w:lang w:val="en-US" w:eastAsia="zh-CN"/>
              </w:rPr>
              <w:t>备注</w:t>
            </w:r>
          </w:p>
        </w:tc>
        <w:tc>
          <w:tcPr>
            <w:tcW w:w="837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方正楷体_GBK" w:hAnsi="方正楷体_GBK" w:eastAsia="方正楷体_GBK" w:cs="方正楷体_GBK"/>
          <w:color w:val="000000"/>
          <w:kern w:val="2"/>
          <w:sz w:val="22"/>
          <w:szCs w:val="28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000000"/>
          <w:kern w:val="2"/>
          <w:sz w:val="22"/>
          <w:szCs w:val="28"/>
          <w:lang w:val="en-US" w:eastAsia="zh-CN" w:bidi="ar-SA"/>
        </w:rPr>
        <w:t>本表供各地参照使用，可结合本地工作方案细化相关排查、核查内容。</w:t>
      </w:r>
    </w:p>
    <w:p>
      <w:pPr>
        <w:pStyle w:val="12"/>
        <w:spacing w:line="600" w:lineRule="exact"/>
        <w:ind w:firstLine="640" w:firstLineChars="200"/>
        <w:rPr>
          <w:rFonts w:eastAsia="方正仿宋_GBK"/>
          <w:color w:val="000000"/>
          <w:sz w:val="32"/>
        </w:rPr>
        <w:sectPr>
          <w:footerReference r:id="rId4" w:type="default"/>
          <w:pgSz w:w="11906" w:h="16838"/>
          <w:pgMar w:top="1417" w:right="1417" w:bottom="1417" w:left="141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8"/>
        <w:adjustRightInd w:val="0"/>
        <w:snapToGrid w:val="0"/>
        <w:spacing w:after="0" w:line="579" w:lineRule="exact"/>
        <w:ind w:left="0" w:leftChars="0" w:firstLine="0" w:firstLineChars="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：</w:t>
      </w:r>
    </w:p>
    <w:p>
      <w:pPr>
        <w:pStyle w:val="8"/>
        <w:adjustRightInd w:val="0"/>
        <w:snapToGrid w:val="0"/>
        <w:spacing w:after="0" w:line="579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sz w:val="44"/>
          <w:szCs w:val="44"/>
        </w:rPr>
        <w:t>生产经营</w:t>
      </w:r>
      <w:r>
        <w:rPr>
          <w:rFonts w:hint="eastAsia" w:ascii="仿宋_GB2312" w:hAnsi="仿宋_GB2312" w:eastAsia="仿宋_GB2312" w:cs="仿宋_GB2312"/>
          <w:color w:val="000000"/>
          <w:sz w:val="44"/>
          <w:szCs w:val="44"/>
          <w:lang w:val="en-US" w:eastAsia="zh-CN"/>
        </w:rPr>
        <w:t>租住</w:t>
      </w:r>
      <w:r>
        <w:rPr>
          <w:rFonts w:hint="eastAsia" w:ascii="仿宋_GB2312" w:hAnsi="仿宋_GB2312" w:eastAsia="仿宋_GB2312" w:cs="仿宋_GB2312"/>
          <w:color w:val="000000"/>
          <w:sz w:val="44"/>
          <w:szCs w:val="44"/>
        </w:rPr>
        <w:t>自建房摸底情况统计表</w:t>
      </w:r>
    </w:p>
    <w:tbl>
      <w:tblPr>
        <w:tblStyle w:val="9"/>
        <w:tblW w:w="14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846"/>
        <w:gridCol w:w="1846"/>
        <w:gridCol w:w="1846"/>
        <w:gridCol w:w="1846"/>
        <w:gridCol w:w="1383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vMerge w:val="restart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地区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自建房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自建房连片区域</w:t>
            </w:r>
          </w:p>
        </w:tc>
        <w:tc>
          <w:tcPr>
            <w:tcW w:w="1383" w:type="dxa"/>
            <w:vMerge w:val="restart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行政处罚数</w:t>
            </w:r>
          </w:p>
        </w:tc>
        <w:tc>
          <w:tcPr>
            <w:tcW w:w="1383" w:type="dxa"/>
            <w:vMerge w:val="restart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处罚额度</w:t>
            </w:r>
          </w:p>
        </w:tc>
        <w:tc>
          <w:tcPr>
            <w:tcW w:w="1383" w:type="dxa"/>
            <w:vMerge w:val="restart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临时查封数</w:t>
            </w:r>
          </w:p>
        </w:tc>
        <w:tc>
          <w:tcPr>
            <w:tcW w:w="1383" w:type="dxa"/>
            <w:vMerge w:val="restart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val="en-US" w:eastAsia="zh-CN"/>
              </w:rPr>
              <w:t>具有8类重点情形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0"/>
                <w:szCs w:val="30"/>
                <w:lang w:val="en-US" w:eastAsia="zh-CN"/>
              </w:rPr>
              <w:t>的场所数量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vMerge w:val="continue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住宿</w:t>
            </w: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人数10-29人场所数量</w:t>
            </w:r>
          </w:p>
        </w:tc>
        <w:tc>
          <w:tcPr>
            <w:tcW w:w="1846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住宿</w:t>
            </w: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人数30人以上场所数量</w:t>
            </w:r>
          </w:p>
        </w:tc>
        <w:tc>
          <w:tcPr>
            <w:tcW w:w="1846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住宿</w:t>
            </w: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人数10-29人场所数量</w:t>
            </w:r>
          </w:p>
        </w:tc>
        <w:tc>
          <w:tcPr>
            <w:tcW w:w="1846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住宿</w:t>
            </w: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人数30人以上场所数量</w:t>
            </w:r>
          </w:p>
        </w:tc>
        <w:tc>
          <w:tcPr>
            <w:tcW w:w="1383" w:type="dxa"/>
            <w:vMerge w:val="continue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vMerge w:val="continue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vMerge w:val="continue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vMerge w:val="continue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XX</w:t>
            </w: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旗区</w:t>
            </w:r>
          </w:p>
        </w:tc>
        <w:tc>
          <w:tcPr>
            <w:tcW w:w="1846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highlight w:val="none"/>
              </w:rPr>
              <w:t>...</w:t>
            </w:r>
          </w:p>
        </w:tc>
        <w:tc>
          <w:tcPr>
            <w:tcW w:w="1846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12916" w:type="dxa"/>
            <w:gridSpan w:val="8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</w:p>
        </w:tc>
      </w:tr>
    </w:tbl>
    <w:p>
      <w:pPr>
        <w:pStyle w:val="8"/>
        <w:adjustRightInd w:val="0"/>
        <w:snapToGrid w:val="0"/>
        <w:spacing w:after="0" w:line="579" w:lineRule="exact"/>
        <w:ind w:left="0" w:leftChars="0" w:firstLine="600"/>
        <w:rPr>
          <w:rFonts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 xml:space="preserve">填表人及联系方式：                                                  审核人： </w:t>
      </w:r>
    </w:p>
    <w:p>
      <w:pPr>
        <w:pStyle w:val="12"/>
        <w:spacing w:line="600" w:lineRule="exact"/>
        <w:ind w:firstLine="640" w:firstLineChars="200"/>
        <w:rPr>
          <w:rFonts w:eastAsia="方正仿宋_GBK"/>
          <w:color w:val="000000"/>
          <w:sz w:val="32"/>
        </w:rPr>
        <w:sectPr>
          <w:pgSz w:w="16838" w:h="11906" w:orient="landscape"/>
          <w:pgMar w:top="1417" w:right="1417" w:bottom="1417" w:left="141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8"/>
        <w:adjustRightInd w:val="0"/>
        <w:snapToGrid w:val="0"/>
        <w:spacing w:after="0" w:line="579" w:lineRule="exact"/>
        <w:ind w:left="0" w:leftChars="0" w:firstLine="0" w:firstLineChars="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：</w:t>
      </w:r>
    </w:p>
    <w:p>
      <w:pPr>
        <w:pStyle w:val="8"/>
        <w:adjustRightInd w:val="0"/>
        <w:snapToGrid w:val="0"/>
        <w:spacing w:after="0" w:line="579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sz w:val="44"/>
          <w:szCs w:val="44"/>
        </w:rPr>
        <w:t>生产经营</w:t>
      </w:r>
      <w:r>
        <w:rPr>
          <w:rFonts w:hint="eastAsia" w:ascii="仿宋_GB2312" w:hAnsi="仿宋_GB2312" w:eastAsia="仿宋_GB2312" w:cs="仿宋_GB2312"/>
          <w:color w:val="000000"/>
          <w:sz w:val="44"/>
          <w:szCs w:val="44"/>
          <w:lang w:val="en-US" w:eastAsia="zh-CN"/>
        </w:rPr>
        <w:t>租住</w:t>
      </w:r>
      <w:r>
        <w:rPr>
          <w:rFonts w:hint="eastAsia" w:ascii="仿宋_GB2312" w:hAnsi="仿宋_GB2312" w:eastAsia="仿宋_GB2312" w:cs="仿宋_GB2312"/>
          <w:color w:val="000000"/>
          <w:sz w:val="44"/>
          <w:szCs w:val="44"/>
        </w:rPr>
        <w:t>自建房</w:t>
      </w:r>
      <w:r>
        <w:rPr>
          <w:rFonts w:hint="eastAsia" w:ascii="仿宋_GB2312" w:hAnsi="仿宋_GB2312" w:eastAsia="仿宋_GB2312" w:cs="仿宋_GB2312"/>
          <w:color w:val="000000"/>
          <w:sz w:val="44"/>
          <w:szCs w:val="44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44"/>
          <w:szCs w:val="44"/>
          <w:lang w:val="en-US" w:eastAsia="zh-CN"/>
        </w:rPr>
        <w:t>含集中连片区域）</w:t>
      </w:r>
      <w:r>
        <w:rPr>
          <w:rFonts w:hint="eastAsia" w:ascii="仿宋_GB2312" w:hAnsi="仿宋_GB2312" w:eastAsia="仿宋_GB2312" w:cs="仿宋_GB2312"/>
          <w:color w:val="000000"/>
          <w:sz w:val="44"/>
          <w:szCs w:val="44"/>
        </w:rPr>
        <w:t>摸底情况台账（XX）</w:t>
      </w:r>
    </w:p>
    <w:tbl>
      <w:tblPr>
        <w:tblStyle w:val="9"/>
        <w:tblW w:w="15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70"/>
        <w:gridCol w:w="2081"/>
        <w:gridCol w:w="1533"/>
        <w:gridCol w:w="1028"/>
        <w:gridCol w:w="1092"/>
        <w:gridCol w:w="2164"/>
        <w:gridCol w:w="1593"/>
        <w:gridCol w:w="1618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470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场所名称</w:t>
            </w:r>
          </w:p>
        </w:tc>
        <w:tc>
          <w:tcPr>
            <w:tcW w:w="208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地址</w:t>
            </w:r>
          </w:p>
        </w:tc>
        <w:tc>
          <w:tcPr>
            <w:tcW w:w="1533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val="en-US" w:eastAsia="zh-CN"/>
              </w:rPr>
              <w:t>住宿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人数</w:t>
            </w:r>
          </w:p>
        </w:tc>
        <w:tc>
          <w:tcPr>
            <w:tcW w:w="1028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是否改扩建</w:t>
            </w:r>
          </w:p>
        </w:tc>
        <w:tc>
          <w:tcPr>
            <w:tcW w:w="109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使用性质</w:t>
            </w:r>
          </w:p>
        </w:tc>
        <w:tc>
          <w:tcPr>
            <w:tcW w:w="2164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存在火灾隐患</w:t>
            </w:r>
          </w:p>
        </w:tc>
        <w:tc>
          <w:tcPr>
            <w:tcW w:w="1593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整改时限</w:t>
            </w:r>
          </w:p>
        </w:tc>
        <w:tc>
          <w:tcPr>
            <w:tcW w:w="1618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是否符合重大火灾隐患判定标准</w:t>
            </w:r>
          </w:p>
        </w:tc>
        <w:tc>
          <w:tcPr>
            <w:tcW w:w="23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val="en-US" w:eastAsia="zh-CN"/>
              </w:rPr>
              <w:t>是否具有8类重点情形及符合重点情形的类别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208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1533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1028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109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2164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1593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1618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23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208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1533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1028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109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2164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1593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1618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23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208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1533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1028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109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2164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1593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1618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23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208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1533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1028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109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2164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1593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1618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23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208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1533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1028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109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2164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1593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1618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23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备注</w:t>
            </w:r>
          </w:p>
        </w:tc>
        <w:tc>
          <w:tcPr>
            <w:tcW w:w="14950" w:type="dxa"/>
            <w:gridSpan w:val="9"/>
            <w:vAlign w:val="center"/>
          </w:tcPr>
          <w:p>
            <w:pPr>
              <w:pStyle w:val="8"/>
              <w:numPr>
                <w:ilvl w:val="0"/>
                <w:numId w:val="1"/>
              </w:numPr>
              <w:adjustRightInd w:val="0"/>
              <w:snapToGrid w:val="0"/>
              <w:spacing w:after="0" w:line="579" w:lineRule="exact"/>
              <w:ind w:left="0" w:leftChars="0" w:firstLine="0" w:firstLineChars="0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val="en-US" w:eastAsia="zh-CN"/>
              </w:rPr>
              <w:t>对于生产经营租住自建房集中连片区域的，在表中后方单独列出，使用性质填写生产/经营/租住连片区域；</w:t>
            </w:r>
          </w:p>
          <w:p>
            <w:pPr>
              <w:pStyle w:val="8"/>
              <w:numPr>
                <w:ilvl w:val="0"/>
                <w:numId w:val="1"/>
              </w:numPr>
              <w:adjustRightInd w:val="0"/>
              <w:snapToGrid w:val="0"/>
              <w:spacing w:after="0" w:line="579" w:lineRule="exact"/>
              <w:ind w:left="0" w:leftChars="0" w:firstLine="0" w:firstLineChars="0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val="en-US" w:eastAsia="zh-CN"/>
              </w:rPr>
              <w:t>对于表中具有符合8类重点情形的，对照方案填写符合情形的序号即可</w:t>
            </w:r>
          </w:p>
        </w:tc>
      </w:tr>
    </w:tbl>
    <w:p>
      <w:pPr>
        <w:pStyle w:val="12"/>
        <w:spacing w:line="600" w:lineRule="exact"/>
        <w:ind w:firstLine="600" w:firstLineChars="200"/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sectPr>
          <w:pgSz w:w="16838" w:h="11906" w:orient="landscape"/>
          <w:pgMar w:top="1417" w:right="1417" w:bottom="1417" w:left="141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 xml:space="preserve">填表人及联系方式：                                                  审核人： </w:t>
      </w:r>
    </w:p>
    <w:p>
      <w:pPr>
        <w:pStyle w:val="8"/>
        <w:adjustRightInd w:val="0"/>
        <w:snapToGrid w:val="0"/>
        <w:spacing w:after="0" w:line="579" w:lineRule="exact"/>
        <w:ind w:left="0" w:leftChars="0" w:firstLine="0" w:firstLineChars="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：</w:t>
      </w:r>
    </w:p>
    <w:p>
      <w:pPr>
        <w:pStyle w:val="8"/>
        <w:adjustRightInd w:val="0"/>
        <w:snapToGrid w:val="0"/>
        <w:spacing w:after="0" w:line="579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sz w:val="44"/>
          <w:szCs w:val="44"/>
          <w:lang w:val="en-US" w:eastAsia="zh-CN"/>
        </w:rPr>
        <w:t>行业部门自建房排查整治情况</w:t>
      </w:r>
      <w:r>
        <w:rPr>
          <w:rFonts w:hint="eastAsia" w:ascii="仿宋_GB2312" w:hAnsi="仿宋_GB2312" w:eastAsia="仿宋_GB2312" w:cs="仿宋_GB2312"/>
          <w:color w:val="000000"/>
          <w:sz w:val="44"/>
          <w:szCs w:val="44"/>
        </w:rPr>
        <w:t>（XX）</w:t>
      </w:r>
    </w:p>
    <w:tbl>
      <w:tblPr>
        <w:tblStyle w:val="9"/>
        <w:tblW w:w="14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1800"/>
        <w:gridCol w:w="1801"/>
        <w:gridCol w:w="1800"/>
        <w:gridCol w:w="1801"/>
        <w:gridCol w:w="1347"/>
        <w:gridCol w:w="1347"/>
        <w:gridCol w:w="1347"/>
        <w:gridCol w:w="1347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6" w:hRule="atLeast"/>
          <w:jc w:val="center"/>
        </w:trPr>
        <w:tc>
          <w:tcPr>
            <w:tcW w:w="2194" w:type="dxa"/>
            <w:vMerge w:val="restart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部门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排查</w:t>
            </w: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自建房</w:t>
            </w: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排查</w:t>
            </w: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自建房连片区域</w:t>
            </w:r>
          </w:p>
        </w:tc>
        <w:tc>
          <w:tcPr>
            <w:tcW w:w="1347" w:type="dxa"/>
            <w:vMerge w:val="restart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发现隐患数</w:t>
            </w:r>
          </w:p>
        </w:tc>
        <w:tc>
          <w:tcPr>
            <w:tcW w:w="1347" w:type="dxa"/>
            <w:vMerge w:val="restart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整改隐患数</w:t>
            </w:r>
          </w:p>
        </w:tc>
        <w:tc>
          <w:tcPr>
            <w:tcW w:w="1347" w:type="dxa"/>
            <w:vMerge w:val="restart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依法取缔数量</w:t>
            </w:r>
          </w:p>
        </w:tc>
        <w:tc>
          <w:tcPr>
            <w:tcW w:w="1347" w:type="dxa"/>
            <w:vMerge w:val="restart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val="en-US" w:eastAsia="zh-CN"/>
              </w:rPr>
              <w:t>具有8类重点情形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0"/>
                <w:szCs w:val="30"/>
                <w:lang w:val="en-US" w:eastAsia="zh-CN"/>
              </w:rPr>
              <w:t>的场所数量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678" w:hRule="atLeast"/>
          <w:jc w:val="center"/>
        </w:trPr>
        <w:tc>
          <w:tcPr>
            <w:tcW w:w="2194" w:type="dxa"/>
            <w:vMerge w:val="continue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住宿</w:t>
            </w: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人数10-29人场所数量</w:t>
            </w:r>
          </w:p>
        </w:tc>
        <w:tc>
          <w:tcPr>
            <w:tcW w:w="180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住宿</w:t>
            </w: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人数30人以上场所数量</w:t>
            </w:r>
          </w:p>
        </w:tc>
        <w:tc>
          <w:tcPr>
            <w:tcW w:w="1800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住宿</w:t>
            </w: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人数10-29人场所数量</w:t>
            </w:r>
          </w:p>
        </w:tc>
        <w:tc>
          <w:tcPr>
            <w:tcW w:w="180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住宿</w:t>
            </w: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人数30人以上场所数量</w:t>
            </w:r>
          </w:p>
        </w:tc>
        <w:tc>
          <w:tcPr>
            <w:tcW w:w="1347" w:type="dxa"/>
            <w:vMerge w:val="continue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Merge w:val="continue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Merge w:val="continue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Merge w:val="continue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73" w:hRule="exact"/>
          <w:jc w:val="center"/>
        </w:trPr>
        <w:tc>
          <w:tcPr>
            <w:tcW w:w="219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住建部门</w:t>
            </w:r>
          </w:p>
        </w:tc>
        <w:tc>
          <w:tcPr>
            <w:tcW w:w="1800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08" w:hRule="exact"/>
          <w:jc w:val="center"/>
        </w:trPr>
        <w:tc>
          <w:tcPr>
            <w:tcW w:w="219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公安部门</w:t>
            </w:r>
          </w:p>
        </w:tc>
        <w:tc>
          <w:tcPr>
            <w:tcW w:w="1800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86" w:hRule="exact"/>
          <w:jc w:val="center"/>
        </w:trPr>
        <w:tc>
          <w:tcPr>
            <w:tcW w:w="219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教育部门</w:t>
            </w:r>
          </w:p>
        </w:tc>
        <w:tc>
          <w:tcPr>
            <w:tcW w:w="1800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08" w:hRule="exact"/>
          <w:jc w:val="center"/>
        </w:trPr>
        <w:tc>
          <w:tcPr>
            <w:tcW w:w="219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民政部门</w:t>
            </w:r>
          </w:p>
        </w:tc>
        <w:tc>
          <w:tcPr>
            <w:tcW w:w="1800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08" w:hRule="exact"/>
          <w:jc w:val="center"/>
        </w:trPr>
        <w:tc>
          <w:tcPr>
            <w:tcW w:w="219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文旅部门</w:t>
            </w:r>
          </w:p>
        </w:tc>
        <w:tc>
          <w:tcPr>
            <w:tcW w:w="1800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08" w:hRule="exact"/>
          <w:jc w:val="center"/>
        </w:trPr>
        <w:tc>
          <w:tcPr>
            <w:tcW w:w="219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卫健部门</w:t>
            </w:r>
          </w:p>
        </w:tc>
        <w:tc>
          <w:tcPr>
            <w:tcW w:w="1800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08" w:hRule="exact"/>
          <w:jc w:val="center"/>
        </w:trPr>
        <w:tc>
          <w:tcPr>
            <w:tcW w:w="219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市场监管部门</w:t>
            </w:r>
          </w:p>
        </w:tc>
        <w:tc>
          <w:tcPr>
            <w:tcW w:w="1800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08" w:hRule="exact"/>
          <w:jc w:val="center"/>
        </w:trPr>
        <w:tc>
          <w:tcPr>
            <w:tcW w:w="219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能源部门</w:t>
            </w:r>
          </w:p>
        </w:tc>
        <w:tc>
          <w:tcPr>
            <w:tcW w:w="1800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62" w:hRule="exact"/>
          <w:jc w:val="center"/>
        </w:trPr>
        <w:tc>
          <w:tcPr>
            <w:tcW w:w="219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农牧部门</w:t>
            </w:r>
          </w:p>
        </w:tc>
        <w:tc>
          <w:tcPr>
            <w:tcW w:w="1800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4" w:hRule="exact"/>
          <w:jc w:val="center"/>
        </w:trPr>
        <w:tc>
          <w:tcPr>
            <w:tcW w:w="219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乡镇街道</w:t>
            </w:r>
          </w:p>
        </w:tc>
        <w:tc>
          <w:tcPr>
            <w:tcW w:w="1800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219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12605" w:type="dxa"/>
            <w:gridSpan w:val="9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</w:p>
        </w:tc>
      </w:tr>
    </w:tbl>
    <w:p>
      <w:pPr>
        <w:pStyle w:val="8"/>
        <w:adjustRightInd w:val="0"/>
        <w:snapToGrid w:val="0"/>
        <w:spacing w:after="0" w:line="579" w:lineRule="exact"/>
        <w:ind w:left="0" w:leftChars="0" w:firstLine="600"/>
        <w:rPr>
          <w:rFonts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 xml:space="preserve">填表人及联系方式：                                                  审核人： </w:t>
      </w:r>
    </w:p>
    <w:p>
      <w:pPr>
        <w:pStyle w:val="12"/>
        <w:spacing w:line="600" w:lineRule="exact"/>
        <w:ind w:firstLine="640" w:firstLineChars="200"/>
        <w:rPr>
          <w:rFonts w:eastAsia="方正仿宋_GBK"/>
          <w:color w:val="000000"/>
          <w:sz w:val="32"/>
        </w:rPr>
        <w:sectPr>
          <w:pgSz w:w="16838" w:h="11906" w:orient="landscape"/>
          <w:pgMar w:top="1417" w:right="1417" w:bottom="1417" w:left="141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8"/>
        <w:adjustRightInd w:val="0"/>
        <w:snapToGrid w:val="0"/>
        <w:spacing w:after="0" w:line="579" w:lineRule="exact"/>
        <w:ind w:left="0" w:leftChars="0" w:firstLine="0" w:firstLineChars="0"/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附件5：</w:t>
      </w:r>
    </w:p>
    <w:p>
      <w:pPr>
        <w:pStyle w:val="8"/>
        <w:adjustRightInd w:val="0"/>
        <w:snapToGrid w:val="0"/>
        <w:spacing w:after="0" w:line="579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sz w:val="44"/>
          <w:szCs w:val="44"/>
          <w:lang w:val="en-US" w:eastAsia="zh-CN"/>
        </w:rPr>
        <w:t>8类重点整治情形治理情况</w:t>
      </w:r>
      <w:r>
        <w:rPr>
          <w:rFonts w:hint="eastAsia" w:ascii="仿宋_GB2312" w:hAnsi="仿宋_GB2312" w:eastAsia="仿宋_GB2312" w:cs="仿宋_GB2312"/>
          <w:color w:val="000000"/>
          <w:sz w:val="44"/>
          <w:szCs w:val="44"/>
        </w:rPr>
        <w:t>统计表</w:t>
      </w:r>
    </w:p>
    <w:tbl>
      <w:tblPr>
        <w:tblStyle w:val="9"/>
        <w:tblW w:w="15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571"/>
        <w:gridCol w:w="1571"/>
        <w:gridCol w:w="1571"/>
        <w:gridCol w:w="1571"/>
        <w:gridCol w:w="1571"/>
        <w:gridCol w:w="1571"/>
        <w:gridCol w:w="1571"/>
        <w:gridCol w:w="1571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地区</w:t>
            </w:r>
          </w:p>
        </w:tc>
        <w:tc>
          <w:tcPr>
            <w:tcW w:w="157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拆除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易燃可燃夹芯彩钢板或其他易燃材料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（处）</w:t>
            </w:r>
          </w:p>
        </w:tc>
        <w:tc>
          <w:tcPr>
            <w:tcW w:w="157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拆除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违规设置室外电动车集中停放、充电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雨棚（个）</w:t>
            </w:r>
          </w:p>
        </w:tc>
        <w:tc>
          <w:tcPr>
            <w:tcW w:w="157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拆除外窗、疏散走道安装防盗网、广告牌、铁栅栏（个）</w:t>
            </w:r>
          </w:p>
        </w:tc>
        <w:tc>
          <w:tcPr>
            <w:tcW w:w="157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自建房居住区域与其他区域，或居住区域内采取分隔措施（个）</w:t>
            </w:r>
          </w:p>
        </w:tc>
        <w:tc>
          <w:tcPr>
            <w:tcW w:w="157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整治室内违规停放、充电电动车（个）</w:t>
            </w:r>
          </w:p>
        </w:tc>
        <w:tc>
          <w:tcPr>
            <w:tcW w:w="157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增设安全出口、疏散楼梯数（个）</w:t>
            </w:r>
          </w:p>
        </w:tc>
        <w:tc>
          <w:tcPr>
            <w:tcW w:w="157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搬离生产、储存、经营易燃易爆危险品区域或不符合要求的冷库（个）</w:t>
            </w:r>
          </w:p>
        </w:tc>
        <w:tc>
          <w:tcPr>
            <w:tcW w:w="157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清理违规储存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易燃可燃物品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（处）</w:t>
            </w:r>
          </w:p>
        </w:tc>
        <w:tc>
          <w:tcPr>
            <w:tcW w:w="157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整改违规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改建扩建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highlight w:val="none"/>
              </w:rPr>
              <w:t>...</w:t>
            </w: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14140" w:type="dxa"/>
            <w:gridSpan w:val="9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</w:p>
        </w:tc>
      </w:tr>
    </w:tbl>
    <w:p>
      <w:pPr>
        <w:pStyle w:val="8"/>
        <w:adjustRightInd w:val="0"/>
        <w:snapToGrid w:val="0"/>
        <w:spacing w:after="0" w:line="579" w:lineRule="exact"/>
        <w:ind w:left="0" w:leftChars="0" w:firstLine="600"/>
        <w:rPr>
          <w:rFonts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 xml:space="preserve">填表人及联系方式：                                                  审核人： </w:t>
      </w:r>
    </w:p>
    <w:p>
      <w:pPr>
        <w:pStyle w:val="12"/>
        <w:spacing w:line="600" w:lineRule="exact"/>
        <w:ind w:firstLine="640" w:firstLineChars="200"/>
        <w:rPr>
          <w:rFonts w:eastAsia="方正仿宋_GBK"/>
          <w:color w:val="000000"/>
          <w:sz w:val="32"/>
        </w:rPr>
        <w:sectPr>
          <w:pgSz w:w="16838" w:h="11906" w:orient="landscape"/>
          <w:pgMar w:top="1417" w:right="1417" w:bottom="1417" w:left="141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8"/>
        <w:adjustRightInd w:val="0"/>
        <w:snapToGrid w:val="0"/>
        <w:spacing w:after="0" w:line="579" w:lineRule="exact"/>
        <w:ind w:left="0" w:leftChars="0" w:firstLine="0" w:firstLineChars="0"/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附件6：</w:t>
      </w:r>
    </w:p>
    <w:p>
      <w:pPr>
        <w:pStyle w:val="8"/>
        <w:adjustRightInd w:val="0"/>
        <w:snapToGrid w:val="0"/>
        <w:spacing w:after="0" w:line="579" w:lineRule="exact"/>
        <w:ind w:left="0" w:leftChars="0" w:firstLine="0" w:firstLineChars="0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sz w:val="44"/>
          <w:szCs w:val="44"/>
          <w:lang w:val="en-US" w:eastAsia="zh-CN"/>
        </w:rPr>
        <w:t>生产经营租住自建房宣传情况</w:t>
      </w:r>
      <w:r>
        <w:rPr>
          <w:rFonts w:hint="eastAsia" w:ascii="仿宋_GB2312" w:hAnsi="仿宋_GB2312" w:eastAsia="仿宋_GB2312" w:cs="仿宋_GB2312"/>
          <w:color w:val="000000"/>
          <w:sz w:val="44"/>
          <w:szCs w:val="44"/>
        </w:rPr>
        <w:t>统计表</w:t>
      </w:r>
    </w:p>
    <w:tbl>
      <w:tblPr>
        <w:tblStyle w:val="9"/>
        <w:tblW w:w="14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571"/>
        <w:gridCol w:w="1571"/>
        <w:gridCol w:w="1571"/>
        <w:gridCol w:w="1571"/>
        <w:gridCol w:w="1571"/>
        <w:gridCol w:w="1571"/>
        <w:gridCol w:w="1098"/>
        <w:gridCol w:w="1153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571" w:type="dxa"/>
            <w:vMerge w:val="restart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地区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开展“清单式”上门服务（次）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发布消防宣传提示（条）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消防志愿服务人员开展宣传（次）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街道（乡镇）社区（嘎查）和基层网格组织开展消防宣传人数（人）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开展消防宣传志愿者人数（人）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乡镇（街道）、社区（嘎查）微型消防站开展消防宣传次数（次）</w:t>
            </w:r>
          </w:p>
        </w:tc>
        <w:tc>
          <w:tcPr>
            <w:tcW w:w="2251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建立微型消防站或志愿消防队数量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微型消防站或志愿消防队开展宣传次数（次）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571" w:type="dxa"/>
            <w:vMerge w:val="continue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09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微型消防站数量（个）</w:t>
            </w:r>
          </w:p>
        </w:tc>
        <w:tc>
          <w:tcPr>
            <w:tcW w:w="115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志愿消防队数量（个）</w:t>
            </w:r>
          </w:p>
        </w:tc>
        <w:tc>
          <w:tcPr>
            <w:tcW w:w="1572" w:type="dxa"/>
            <w:vMerge w:val="continue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251" w:type="dxa"/>
            <w:gridSpan w:val="2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highlight w:val="none"/>
              </w:rPr>
              <w:t>...</w:t>
            </w: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251" w:type="dxa"/>
            <w:gridSpan w:val="2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251" w:type="dxa"/>
            <w:gridSpan w:val="2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251" w:type="dxa"/>
            <w:gridSpan w:val="2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251" w:type="dxa"/>
            <w:gridSpan w:val="2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251" w:type="dxa"/>
            <w:gridSpan w:val="2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251" w:type="dxa"/>
            <w:gridSpan w:val="2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7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</w:tbl>
    <w:p>
      <w:pPr>
        <w:pStyle w:val="8"/>
        <w:adjustRightInd w:val="0"/>
        <w:snapToGrid w:val="0"/>
        <w:spacing w:after="0" w:line="579" w:lineRule="exact"/>
        <w:ind w:left="0" w:leftChars="0" w:firstLine="600"/>
        <w:rPr>
          <w:rFonts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 xml:space="preserve">填表人及联系方式：                                                  审核人： </w:t>
      </w:r>
    </w:p>
    <w:p>
      <w:pPr>
        <w:pStyle w:val="12"/>
        <w:spacing w:line="600" w:lineRule="exact"/>
        <w:ind w:firstLine="640" w:firstLineChars="200"/>
        <w:rPr>
          <w:rFonts w:eastAsia="方正仿宋_GBK"/>
          <w:color w:val="000000"/>
          <w:sz w:val="32"/>
        </w:rPr>
        <w:sectPr>
          <w:pgSz w:w="16838" w:h="11906" w:orient="landscape"/>
          <w:pgMar w:top="1417" w:right="1417" w:bottom="1417" w:left="141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8"/>
        <w:adjustRightInd w:val="0"/>
        <w:snapToGrid w:val="0"/>
        <w:spacing w:after="0" w:line="579" w:lineRule="exact"/>
        <w:ind w:left="0" w:leftChars="0" w:firstLine="0" w:firstLineChars="0"/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附件7：</w:t>
      </w:r>
    </w:p>
    <w:p>
      <w:pPr>
        <w:pStyle w:val="8"/>
        <w:adjustRightInd w:val="0"/>
        <w:snapToGrid w:val="0"/>
        <w:spacing w:after="0" w:line="579" w:lineRule="exact"/>
        <w:ind w:left="0" w:leftChars="0" w:firstLine="0" w:firstLineChars="0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楷体_GB2312" w:hAnsi="楷体_GB2312" w:eastAsia="楷体_GB2312" w:cs="楷体_GB2312"/>
          <w:color w:val="000000"/>
          <w:sz w:val="44"/>
          <w:szCs w:val="44"/>
          <w:lang w:val="en-US" w:eastAsia="zh-CN"/>
        </w:rPr>
        <w:t>自建房消防安全设施安装情况</w:t>
      </w:r>
      <w:r>
        <w:rPr>
          <w:rFonts w:hint="eastAsia" w:ascii="楷体_GB2312" w:hAnsi="楷体_GB2312" w:eastAsia="楷体_GB2312" w:cs="楷体_GB2312"/>
          <w:color w:val="000000"/>
          <w:sz w:val="44"/>
          <w:szCs w:val="44"/>
        </w:rPr>
        <w:t>统计表</w:t>
      </w:r>
    </w:p>
    <w:tbl>
      <w:tblPr>
        <w:tblStyle w:val="9"/>
        <w:tblW w:w="13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552"/>
        <w:gridCol w:w="1552"/>
        <w:gridCol w:w="1552"/>
        <w:gridCol w:w="1552"/>
        <w:gridCol w:w="1552"/>
        <w:gridCol w:w="1552"/>
        <w:gridCol w:w="880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552" w:type="dxa"/>
            <w:vMerge w:val="restart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地区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安装独立感烟报警器（个）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安装燃气报警器（个）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安装简易喷淋装置（套）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安装漏电保护装置（个）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安装电梯阻车系统（个）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乡镇（街道）、社区（嘎查）微型消防站开展消防宣传次数（次）</w:t>
            </w:r>
          </w:p>
        </w:tc>
        <w:tc>
          <w:tcPr>
            <w:tcW w:w="880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建立火灾风险监测预警系统（个）</w:t>
            </w:r>
          </w:p>
        </w:tc>
        <w:tc>
          <w:tcPr>
            <w:tcW w:w="1553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建设电动车集中停放、充电设施（个）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552" w:type="dxa"/>
            <w:vMerge w:val="continue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5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both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880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5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highlight w:val="none"/>
              </w:rPr>
              <w:t>...</w:t>
            </w:r>
          </w:p>
        </w:tc>
        <w:tc>
          <w:tcPr>
            <w:tcW w:w="155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880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5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880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5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880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5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880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firstLine="64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52" w:type="dxa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11745" w:type="dxa"/>
            <w:gridSpan w:val="8"/>
            <w:vAlign w:val="center"/>
          </w:tcPr>
          <w:p>
            <w:pPr>
              <w:pStyle w:val="8"/>
              <w:adjustRightInd w:val="0"/>
              <w:snapToGrid w:val="0"/>
              <w:spacing w:after="0" w:line="579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安装其他消防安全设施的请另外增加表格进行统计</w:t>
            </w:r>
          </w:p>
        </w:tc>
      </w:tr>
    </w:tbl>
    <w:p>
      <w:pPr>
        <w:pStyle w:val="8"/>
        <w:adjustRightInd w:val="0"/>
        <w:snapToGrid w:val="0"/>
        <w:spacing w:after="0" w:line="579" w:lineRule="exact"/>
        <w:ind w:left="0" w:leftChars="0" w:firstLine="6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sectPr>
          <w:pgSz w:w="16783" w:h="11850" w:orient="landscape"/>
          <w:pgMar w:top="850" w:right="850" w:bottom="850" w:left="850" w:header="851" w:footer="992" w:gutter="0"/>
          <w:pgNumType w:fmt="numberInDash"/>
          <w:cols w:space="0" w:num="1"/>
          <w:rtlGutter w:val="0"/>
          <w:docGrid w:type="lines" w:linePitch="317" w:charSpace="0"/>
        </w:sect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填表人及联系方式：                                                  审核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</w:pPr>
    </w:p>
    <w:p>
      <w:pPr>
        <w:pStyle w:val="2"/>
      </w:pPr>
    </w:p>
    <w:p>
      <w:pPr>
        <w:pStyle w:val="7"/>
      </w:pPr>
    </w:p>
    <w:p/>
    <w:p>
      <w:pPr>
        <w:pStyle w:val="2"/>
      </w:pPr>
    </w:p>
    <w:p>
      <w:pPr>
        <w:pStyle w:val="7"/>
      </w:pPr>
    </w:p>
    <w:p/>
    <w:p>
      <w:pPr>
        <w:pStyle w:val="2"/>
      </w:pPr>
    </w:p>
    <w:p>
      <w:pPr>
        <w:pStyle w:val="7"/>
      </w:pPr>
    </w:p>
    <w:p/>
    <w:p>
      <w:pPr>
        <w:pStyle w:val="2"/>
      </w:pPr>
    </w:p>
    <w:p>
      <w:pPr>
        <w:pStyle w:val="7"/>
      </w:pPr>
    </w:p>
    <w:p/>
    <w:p>
      <w:pPr>
        <w:pStyle w:val="2"/>
      </w:pPr>
    </w:p>
    <w:p>
      <w:pPr>
        <w:pStyle w:val="7"/>
      </w:pPr>
    </w:p>
    <w:p/>
    <w:p>
      <w:pPr>
        <w:pStyle w:val="2"/>
      </w:pPr>
    </w:p>
    <w:p>
      <w:pPr>
        <w:pStyle w:val="7"/>
      </w:pPr>
    </w:p>
    <w:p/>
    <w:p>
      <w:pPr>
        <w:pStyle w:val="2"/>
      </w:pPr>
    </w:p>
    <w:p>
      <w:pPr>
        <w:pStyle w:val="7"/>
      </w:pPr>
    </w:p>
    <w:p/>
    <w:p>
      <w:pPr>
        <w:pStyle w:val="2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7"/>
      </w:pPr>
    </w:p>
    <w:p/>
    <w:p>
      <w:pPr>
        <w:pStyle w:val="2"/>
      </w:pPr>
    </w:p>
    <w:sectPr>
      <w:pgSz w:w="11850" w:h="16783"/>
      <w:pgMar w:top="850" w:right="850" w:bottom="850" w:left="850" w:header="851" w:footer="992" w:gutter="0"/>
      <w:paperSrc/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EQLBU+FZXiaoBiaoSong-B05S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KOFJC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ODBUTM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EEIDRV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LSBTKB+FZHei-B01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IGTSIB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FDWNWE+FZHei-B01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WKBFWK+FZHei-B01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TVUSAN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EOVFJG+FZXiaoBiaoSong-B05S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TGPNWG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QFGAIG+FZXiaoBiaoSong-B05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JLWOGR+FZFangSong-Z02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BEGJCP+FZXiaoBiaoSong-B05S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CJBOWK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WVUHRO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RBUHRW+Calibri">
    <w:altName w:val="Segoe Print"/>
    <w:panose1 w:val="020F0502020204030204"/>
    <w:charset w:val="01"/>
    <w:family w:val="auto"/>
    <w:pitch w:val="default"/>
    <w:sig w:usb0="00000000" w:usb1="00000000" w:usb2="01010101" w:usb3="01010101" w:csb0="01010101" w:csb1="01010101"/>
  </w:font>
  <w:font w:name="WRNFMU+FZXiaoBiaoSong-B05S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HUSPBO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LOGJGW+Calibri">
    <w:altName w:val="Segoe Print"/>
    <w:panose1 w:val="020F0502020204030204"/>
    <w:charset w:val="01"/>
    <w:family w:val="auto"/>
    <w:pitch w:val="default"/>
    <w:sig w:usb0="00000000" w:usb1="00000000" w:usb2="01010101" w:usb3="01010101" w:csb0="01010101" w:csb1="01010101"/>
  </w:font>
  <w:font w:name="SENHCT+FZXiaoBiaoSong-B05S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GHSFRL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LTGWDL+Calibri">
    <w:altName w:val="Segoe Print"/>
    <w:panose1 w:val="020F0502020204030204"/>
    <w:charset w:val="01"/>
    <w:family w:val="auto"/>
    <w:pitch w:val="default"/>
    <w:sig w:usb0="00000000" w:usb1="00000000" w:usb2="01010101" w:usb3="01010101" w:csb0="01010101" w:csb1="01010101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UWq3e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DsUWq3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firstLine="9"/>
      <w:rPr>
        <w:rFonts w:ascii="Times New Roman" w:hAnsi="Times New Roman" w:eastAsia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0rZAf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G0rZAf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1B46D8"/>
    <w:multiLevelType w:val="singleLevel"/>
    <w:tmpl w:val="4E1B46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3540D"/>
    <w:rsid w:val="3FD92961"/>
    <w:rsid w:val="48EE7ABB"/>
    <w:rsid w:val="4AE72A13"/>
    <w:rsid w:val="4C0A319E"/>
    <w:rsid w:val="579F178F"/>
    <w:rsid w:val="597562AE"/>
    <w:rsid w:val="64FA0EFE"/>
    <w:rsid w:val="683A01CF"/>
    <w:rsid w:val="6D6C0E2A"/>
    <w:rsid w:val="7552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ascii="Times New Roman" w:hAnsi="Times New Roman" w:eastAsia="仿宋_GB2312"/>
      <w:sz w:val="32"/>
      <w:szCs w:val="24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Title"/>
    <w:basedOn w:val="1"/>
    <w:next w:val="1"/>
    <w:qFormat/>
    <w:uiPriority w:val="10"/>
    <w:pPr>
      <w:widowControl w:val="0"/>
      <w:jc w:val="both"/>
      <w:outlineLvl w:val="2"/>
    </w:pPr>
    <w:rPr>
      <w:rFonts w:ascii="Calibri Light" w:hAnsi="Calibri Light" w:eastAsia="方正楷体_GBK" w:cs="Times New Roman"/>
      <w:b/>
      <w:bCs/>
      <w:kern w:val="2"/>
      <w:sz w:val="21"/>
      <w:szCs w:val="32"/>
      <w:lang w:val="en-US" w:eastAsia="zh-CN" w:bidi="ar-SA"/>
    </w:rPr>
  </w:style>
  <w:style w:type="paragraph" w:styleId="8">
    <w:name w:val="Body Text First Indent 2"/>
    <w:basedOn w:val="4"/>
    <w:unhideWhenUsed/>
    <w:qFormat/>
    <w:uiPriority w:val="99"/>
    <w:pPr>
      <w:spacing w:after="120"/>
      <w:ind w:left="420" w:leftChars="200" w:firstLine="420"/>
    </w:pPr>
    <w:rPr>
      <w:rFonts w:ascii="Calibri" w:hAnsi="Calibri" w:eastAsia="宋体"/>
      <w:sz w:val="21"/>
      <w:szCs w:val="22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仿宋_GB2312" w:cs="Times New Roman"/>
      <w:color w:val="000000"/>
      <w:sz w:val="24"/>
      <w:szCs w:val="32"/>
      <w:lang w:val="en-US" w:eastAsia="zh-CN" w:bidi="ar-SA"/>
    </w:rPr>
  </w:style>
  <w:style w:type="character" w:customStyle="1" w:styleId="13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2022-04-07T08:52:00Z</dcterms:created>
  <dc:creator>消防大队</dc:creator>
  <cp:lastModifiedBy>花有百样红®</cp:lastModifiedBy>
  <dcterms:modified xsi:type="dcterms:W3CDTF">2022-04-12T03:57:04Z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00C41C91A89149CDA3D96F297699788D</vt:lpwstr>
  </property>
</Properties>
</file>