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C1B" w:rsidRDefault="00CA3C1B" w:rsidP="00CA3C1B">
      <w:pPr>
        <w:spacing w:line="600" w:lineRule="exact"/>
        <w:textAlignment w:val="auto"/>
        <w:rPr>
          <w:rFonts w:ascii="仿宋_GB2312" w:eastAsia="仿宋_GB2312" w:hint="eastAsia"/>
          <w:sz w:val="15"/>
          <w:szCs w:val="15"/>
        </w:rPr>
      </w:pPr>
    </w:p>
    <w:p w:rsidR="00CA3C1B" w:rsidRDefault="00CA3C1B" w:rsidP="00CA3C1B">
      <w:pPr>
        <w:spacing w:line="560" w:lineRule="exact"/>
        <w:jc w:val="center"/>
        <w:textAlignment w:val="auto"/>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达拉特旗人民政府办公室关于印发《达拉特旗2023年度国有建设用地供应计划》的通知</w:t>
      </w:r>
    </w:p>
    <w:p w:rsidR="00CA3C1B" w:rsidRDefault="00CA3C1B" w:rsidP="00CA3C1B">
      <w:pPr>
        <w:spacing w:line="560" w:lineRule="exact"/>
        <w:jc w:val="center"/>
        <w:textAlignment w:val="auto"/>
        <w:rPr>
          <w:rFonts w:ascii="方正小标宋简体" w:eastAsia="方正小标宋简体" w:hAnsi="方正小标宋简体" w:cs="方正小标宋简体" w:hint="eastAsia"/>
          <w:bCs/>
          <w:sz w:val="44"/>
          <w:szCs w:val="44"/>
        </w:rPr>
      </w:pPr>
    </w:p>
    <w:p w:rsidR="00CA3C1B" w:rsidRDefault="00CA3C1B" w:rsidP="00CA3C1B">
      <w:pPr>
        <w:spacing w:line="560" w:lineRule="exact"/>
        <w:ind w:left="0"/>
        <w:textAlignment w:val="auto"/>
        <w:rPr>
          <w:rFonts w:eastAsia="仿宋_GB2312"/>
          <w:sz w:val="32"/>
          <w:szCs w:val="32"/>
        </w:rPr>
      </w:pPr>
      <w:r>
        <w:rPr>
          <w:rFonts w:eastAsia="仿宋_GB2312"/>
          <w:sz w:val="32"/>
          <w:szCs w:val="32"/>
        </w:rPr>
        <w:t>各苏木镇人民政府，各街道办事处，旗政府各部门，各开发区、园区管委会，各直属单位，各企事业单位：</w:t>
      </w:r>
    </w:p>
    <w:p w:rsidR="00CA3C1B" w:rsidRDefault="00CA3C1B" w:rsidP="00CA3C1B">
      <w:pPr>
        <w:pStyle w:val="a0"/>
        <w:spacing w:line="56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现将《达拉特旗</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年度国有建设用地供应计划》印发给你们，请</w:t>
      </w:r>
      <w:r>
        <w:rPr>
          <w:rFonts w:ascii="Times New Roman" w:eastAsia="仿宋_GB2312" w:hAnsi="Times New Roman" w:cs="Times New Roman"/>
          <w:sz w:val="32"/>
          <w:szCs w:val="32"/>
        </w:rPr>
        <w:t>认真抓好贯彻落实。</w:t>
      </w:r>
    </w:p>
    <w:p w:rsidR="00CA3C1B" w:rsidRDefault="00CA3C1B" w:rsidP="00CA3C1B">
      <w:pPr>
        <w:pStyle w:val="a0"/>
        <w:spacing w:line="560" w:lineRule="exact"/>
        <w:textAlignment w:val="auto"/>
        <w:rPr>
          <w:rFonts w:ascii="Times New Roman" w:eastAsia="仿宋_GB2312" w:hAnsi="Times New Roman" w:cs="Times New Roman"/>
          <w:sz w:val="32"/>
          <w:szCs w:val="32"/>
        </w:rPr>
      </w:pPr>
    </w:p>
    <w:p w:rsidR="00CA3C1B" w:rsidRDefault="00CA3C1B" w:rsidP="00CA3C1B">
      <w:pPr>
        <w:pStyle w:val="a7"/>
        <w:widowControl/>
        <w:spacing w:before="0" w:beforeAutospacing="0" w:after="0" w:afterAutospacing="0" w:line="560" w:lineRule="exact"/>
        <w:ind w:firstLineChars="200" w:firstLine="640"/>
        <w:jc w:val="both"/>
        <w:textAlignment w:val="auto"/>
        <w:rPr>
          <w:rFonts w:eastAsia="仿宋_GB2312" w:hint="eastAsia"/>
          <w:sz w:val="32"/>
          <w:szCs w:val="32"/>
        </w:rPr>
      </w:pPr>
    </w:p>
    <w:p w:rsidR="00CA3C1B" w:rsidRDefault="00CA3C1B" w:rsidP="00CA3C1B">
      <w:pPr>
        <w:pStyle w:val="a7"/>
        <w:widowControl/>
        <w:spacing w:before="0" w:beforeAutospacing="0" w:after="0" w:afterAutospacing="0" w:line="560" w:lineRule="exact"/>
        <w:ind w:firstLineChars="1400" w:firstLine="4480"/>
        <w:jc w:val="both"/>
        <w:textAlignment w:val="auto"/>
        <w:rPr>
          <w:rFonts w:eastAsia="仿宋_GB2312"/>
          <w:sz w:val="32"/>
          <w:szCs w:val="32"/>
        </w:rPr>
      </w:pPr>
      <w:r>
        <w:rPr>
          <w:rFonts w:eastAsia="仿宋_GB2312"/>
          <w:sz w:val="32"/>
          <w:szCs w:val="32"/>
        </w:rPr>
        <w:t>达拉特旗人民政府</w:t>
      </w:r>
      <w:r>
        <w:rPr>
          <w:rFonts w:eastAsia="仿宋_GB2312" w:hint="eastAsia"/>
          <w:sz w:val="32"/>
          <w:szCs w:val="32"/>
        </w:rPr>
        <w:t>办公室</w:t>
      </w:r>
    </w:p>
    <w:p w:rsidR="00CA3C1B" w:rsidRDefault="00CA3C1B" w:rsidP="00CA3C1B">
      <w:pPr>
        <w:pStyle w:val="a7"/>
        <w:widowControl/>
        <w:spacing w:before="0" w:beforeAutospacing="0" w:after="0" w:afterAutospacing="0" w:line="560" w:lineRule="exact"/>
        <w:ind w:firstLineChars="200" w:firstLine="640"/>
        <w:jc w:val="both"/>
        <w:textAlignment w:val="auto"/>
        <w:rPr>
          <w:rFonts w:eastAsia="仿宋_GB2312" w:hint="eastAsia"/>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202</w:t>
      </w:r>
      <w:r>
        <w:rPr>
          <w:rFonts w:eastAsia="仿宋_GB2312" w:hint="eastAsia"/>
          <w:sz w:val="32"/>
          <w:szCs w:val="32"/>
        </w:rPr>
        <w:t>3</w:t>
      </w:r>
      <w:r>
        <w:rPr>
          <w:rFonts w:eastAsia="仿宋_GB2312"/>
          <w:sz w:val="32"/>
          <w:szCs w:val="32"/>
        </w:rPr>
        <w:t>年</w:t>
      </w:r>
      <w:r>
        <w:rPr>
          <w:rFonts w:eastAsia="仿宋_GB2312" w:hint="eastAsia"/>
          <w:sz w:val="32"/>
          <w:szCs w:val="32"/>
        </w:rPr>
        <w:t>2</w:t>
      </w:r>
      <w:r>
        <w:rPr>
          <w:rFonts w:eastAsia="仿宋_GB2312"/>
          <w:sz w:val="32"/>
          <w:szCs w:val="32"/>
        </w:rPr>
        <w:t>月</w:t>
      </w:r>
      <w:r>
        <w:rPr>
          <w:rFonts w:eastAsia="仿宋_GB2312" w:hint="eastAsia"/>
          <w:sz w:val="32"/>
          <w:szCs w:val="32"/>
        </w:rPr>
        <w:t>27</w:t>
      </w:r>
      <w:r>
        <w:rPr>
          <w:rFonts w:eastAsia="仿宋_GB2312" w:hint="eastAsia"/>
          <w:sz w:val="32"/>
          <w:szCs w:val="32"/>
        </w:rPr>
        <w:t>日</w:t>
      </w:r>
    </w:p>
    <w:p w:rsidR="00CA3C1B" w:rsidRDefault="00CA3C1B" w:rsidP="00CA3C1B">
      <w:pPr>
        <w:spacing w:line="560" w:lineRule="exact"/>
        <w:ind w:left="0"/>
        <w:jc w:val="center"/>
        <w:rPr>
          <w:rFonts w:ascii="仿宋" w:eastAsia="仿宋" w:hAnsi="仿宋" w:hint="eastAsia"/>
          <w:sz w:val="32"/>
        </w:rPr>
        <w:sectPr w:rsidR="00CA3C1B">
          <w:headerReference w:type="even" r:id="rId6"/>
          <w:headerReference w:type="default" r:id="rId7"/>
          <w:footerReference w:type="even" r:id="rId8"/>
          <w:footerReference w:type="default" r:id="rId9"/>
          <w:footnotePr>
            <w:numFmt w:val="decimalHalfWidth"/>
          </w:footnotePr>
          <w:endnotePr>
            <w:numFmt w:val="chineseCounting"/>
          </w:endnotePr>
          <w:pgSz w:w="11905" w:h="16837"/>
          <w:pgMar w:top="2097" w:right="1474" w:bottom="1984" w:left="1587" w:header="566" w:footer="1133" w:gutter="0"/>
          <w:pgNumType w:fmt="numberInDash" w:start="1"/>
          <w:cols w:space="720"/>
        </w:sectPr>
      </w:pPr>
    </w:p>
    <w:p w:rsidR="00CA3C1B" w:rsidRDefault="00CA3C1B" w:rsidP="00CA3C1B">
      <w:pPr>
        <w:spacing w:line="560" w:lineRule="exact"/>
        <w:ind w:left="0"/>
        <w:jc w:val="center"/>
        <w:rPr>
          <w:rFonts w:ascii="方正小标宋简体" w:eastAsia="方正小标宋简体" w:hAnsi="方正小标宋简体" w:cs="方正小标宋简体" w:hint="eastAsia"/>
          <w:sz w:val="44"/>
        </w:rPr>
      </w:pPr>
      <w:r>
        <w:rPr>
          <w:rFonts w:ascii="仿宋" w:eastAsia="仿宋" w:hAnsi="仿宋" w:hint="eastAsia"/>
          <w:sz w:val="32"/>
        </w:rPr>
        <w:lastRenderedPageBreak/>
        <w:t xml:space="preserve"> </w:t>
      </w:r>
      <w:r>
        <w:rPr>
          <w:rFonts w:ascii="方正小标宋简体" w:eastAsia="方正小标宋简体" w:hAnsi="方正小标宋简体" w:cs="方正小标宋简体" w:hint="eastAsia"/>
          <w:bCs/>
          <w:sz w:val="44"/>
        </w:rPr>
        <w:t>达拉特旗2023年度国有建设用地供应计划</w:t>
      </w:r>
    </w:p>
    <w:p w:rsidR="00CA3C1B" w:rsidRDefault="00CA3C1B" w:rsidP="00CA3C1B">
      <w:pPr>
        <w:spacing w:line="560" w:lineRule="exact"/>
        <w:ind w:left="0" w:firstLineChars="200" w:firstLine="640"/>
        <w:rPr>
          <w:rFonts w:ascii="仿宋_GB2312" w:eastAsia="仿宋_GB2312" w:hAnsi="仿宋_GB2312" w:cs="仿宋_GB2312" w:hint="eastAsia"/>
          <w:sz w:val="32"/>
          <w:szCs w:val="32"/>
        </w:rPr>
      </w:pPr>
    </w:p>
    <w:p w:rsidR="00CA3C1B" w:rsidRDefault="00CA3C1B" w:rsidP="00CA3C1B">
      <w:pPr>
        <w:spacing w:line="560" w:lineRule="exact"/>
        <w:ind w:left="0" w:firstLineChars="200" w:firstLine="640"/>
        <w:rPr>
          <w:rFonts w:ascii="仿宋_GB2312" w:eastAsia="仿宋_GB2312" w:hAnsi="仿宋_GB2312" w:cs="仿宋_GB2312" w:hint="eastAsia"/>
          <w:sz w:val="32"/>
        </w:rPr>
      </w:pPr>
      <w:r>
        <w:rPr>
          <w:rFonts w:ascii="仿宋_GB2312" w:eastAsia="仿宋_GB2312" w:hAnsi="仿宋_GB2312" w:cs="仿宋_GB2312" w:hint="eastAsia"/>
          <w:sz w:val="32"/>
          <w:szCs w:val="32"/>
        </w:rPr>
        <w:t>为科学调控土地市场，合理配置土地资源，积极发挥计划引导作用，切实加强国有建设用地供应管理，</w:t>
      </w:r>
      <w:r>
        <w:rPr>
          <w:rFonts w:ascii="仿宋_GB2312" w:eastAsia="仿宋_GB2312" w:hAnsi="仿宋_GB2312" w:cs="仿宋_GB2312" w:hint="eastAsia"/>
          <w:sz w:val="32"/>
        </w:rPr>
        <w:t>坚持节约集约、供需平衡和有保有压的原则，按照国土资源部《关于印发〈国有建设用地供应计划编制规范〉（试行）的通知》（国土资发〔2010〕117号）要求及正在编制的空间规划、国民经济和社会发展“十四五”规划和二〇三五年远景目标纲要，结合我旗2023年计划实施的重大项目、全旗土地供应能力和各区域经济社会发展对各类用地的需求，制定本计划。</w:t>
      </w:r>
    </w:p>
    <w:p w:rsidR="00CA3C1B" w:rsidRDefault="00CA3C1B" w:rsidP="00CA3C1B">
      <w:pPr>
        <w:spacing w:line="560" w:lineRule="exact"/>
        <w:ind w:left="0" w:firstLine="639"/>
        <w:rPr>
          <w:rFonts w:ascii="黑体" w:eastAsia="黑体" w:hAnsi="黑体" w:hint="eastAsia"/>
          <w:sz w:val="32"/>
        </w:rPr>
      </w:pPr>
      <w:r>
        <w:rPr>
          <w:rFonts w:ascii="黑体" w:eastAsia="黑体" w:hAnsi="黑体" w:hint="eastAsia"/>
          <w:sz w:val="32"/>
        </w:rPr>
        <w:t>一、指导思想及坚持原则</w:t>
      </w:r>
    </w:p>
    <w:p w:rsidR="00CA3C1B" w:rsidRDefault="00CA3C1B" w:rsidP="00CA3C1B">
      <w:pPr>
        <w:spacing w:line="560" w:lineRule="exact"/>
        <w:ind w:left="0" w:firstLineChars="200" w:firstLine="643"/>
        <w:rPr>
          <w:rFonts w:ascii="仿宋" w:eastAsia="仿宋" w:hAnsi="仿宋" w:hint="eastAsia"/>
          <w:sz w:val="32"/>
        </w:rPr>
      </w:pPr>
      <w:r>
        <w:rPr>
          <w:rFonts w:ascii="楷体_GB2312" w:eastAsia="楷体_GB2312" w:hAnsi="楷体_GB2312" w:hint="eastAsia"/>
          <w:b/>
          <w:bCs/>
          <w:sz w:val="32"/>
        </w:rPr>
        <w:t>（一）指导思想</w:t>
      </w:r>
    </w:p>
    <w:p w:rsidR="00CA3C1B" w:rsidRDefault="00CA3C1B" w:rsidP="00CA3C1B">
      <w:pPr>
        <w:spacing w:line="560" w:lineRule="exact"/>
        <w:ind w:left="0" w:firstLine="639"/>
        <w:rPr>
          <w:rFonts w:ascii="仿宋_GB2312" w:eastAsia="仿宋_GB2312" w:hAnsi="仿宋_GB2312" w:cs="仿宋_GB2312" w:hint="eastAsia"/>
          <w:sz w:val="32"/>
          <w:szCs w:val="32"/>
        </w:rPr>
      </w:pPr>
      <w:r>
        <w:rPr>
          <w:rFonts w:ascii="仿宋_GB2312" w:eastAsia="仿宋_GB2312" w:hint="eastAsia"/>
          <w:sz w:val="32"/>
          <w:szCs w:val="32"/>
        </w:rPr>
        <w:t>以习近平新时代中国特色社会主义思想为指引，</w:t>
      </w:r>
      <w:r>
        <w:rPr>
          <w:rFonts w:ascii="仿宋_GB2312" w:eastAsia="仿宋_GB2312" w:hAnsi="仿宋_GB2312" w:cs="仿宋_GB2312" w:hint="eastAsia"/>
          <w:sz w:val="32"/>
          <w:szCs w:val="32"/>
        </w:rPr>
        <w:t>紧紧围绕旗委、旗人民政府中心工作，坚定不移地大力推进土地资源节约、集约利用，充分挖掘存量土地潜力，强化土地市场管理，建立以供给引导需求的新机制，有效缓解用地矛盾，为全旗经济社会又好又快发展提供可靠保障。</w:t>
      </w:r>
    </w:p>
    <w:p w:rsidR="00CA3C1B" w:rsidRDefault="00CA3C1B" w:rsidP="00CA3C1B">
      <w:pPr>
        <w:spacing w:line="560" w:lineRule="exact"/>
        <w:ind w:firstLineChars="200" w:firstLine="643"/>
        <w:rPr>
          <w:rFonts w:ascii="楷体_GB2312" w:eastAsia="楷体_GB2312" w:hAnsi="楷体_GB2312" w:hint="eastAsia"/>
          <w:b/>
          <w:bCs/>
          <w:sz w:val="32"/>
        </w:rPr>
      </w:pPr>
      <w:r>
        <w:rPr>
          <w:rFonts w:ascii="楷体_GB2312" w:eastAsia="楷体_GB2312" w:hAnsi="楷体_GB2312" w:hint="eastAsia"/>
          <w:b/>
          <w:bCs/>
          <w:sz w:val="32"/>
        </w:rPr>
        <w:t>（二）基本原则</w:t>
      </w:r>
    </w:p>
    <w:p w:rsidR="00CA3C1B" w:rsidRDefault="00CA3C1B" w:rsidP="00CA3C1B">
      <w:pPr>
        <w:spacing w:line="560" w:lineRule="exact"/>
        <w:ind w:left="0" w:firstLine="639"/>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1.严控增量、撬动存量、控制总量原则。</w:t>
      </w:r>
      <w:r>
        <w:rPr>
          <w:rFonts w:ascii="仿宋_GB2312" w:eastAsia="仿宋_GB2312" w:hAnsi="仿宋_GB2312" w:cs="仿宋_GB2312" w:hint="eastAsia"/>
          <w:sz w:val="32"/>
          <w:szCs w:val="32"/>
        </w:rPr>
        <w:t>根据我旗经济社会发展要求，确定新增建设用地规模，合理确定土地供应总量，贯彻落实最严格的耕地保护制度，坚持“增存挂钩”，狠抓存量盘活，以增量撬动和激活存量。继续加大批而未供土地利用和供而</w:t>
      </w:r>
      <w:r>
        <w:rPr>
          <w:rFonts w:ascii="仿宋_GB2312" w:eastAsia="仿宋_GB2312" w:hAnsi="仿宋_GB2312" w:cs="仿宋_GB2312" w:hint="eastAsia"/>
          <w:sz w:val="32"/>
          <w:szCs w:val="32"/>
        </w:rPr>
        <w:lastRenderedPageBreak/>
        <w:t>未用土地开工力度，加大闲置土地处置力度，不断拓展存量建设用地空间。优先供应储备土地和政府收回的国有土地，既要保证土地供应计划指标的相对稳定，又要从实际出发，根据市场的变化情况对年度土地供应计划进行适度调整，切实提高土地资源利用效率。</w:t>
      </w:r>
    </w:p>
    <w:p w:rsidR="00CA3C1B" w:rsidRDefault="00CA3C1B" w:rsidP="00CA3C1B">
      <w:pPr>
        <w:spacing w:line="560" w:lineRule="exact"/>
        <w:ind w:left="0" w:firstLine="639"/>
        <w:rPr>
          <w:rFonts w:ascii="仿宋_GB2312" w:eastAsia="仿宋_GB2312" w:hAnsi="仿宋_GB2312" w:cs="仿宋_GB2312" w:hint="eastAsia"/>
          <w:sz w:val="32"/>
        </w:rPr>
      </w:pPr>
      <w:r>
        <w:rPr>
          <w:rFonts w:ascii="仿宋_GB2312" w:eastAsia="仿宋_GB2312" w:hAnsi="仿宋_GB2312" w:cs="仿宋_GB2312" w:hint="eastAsia"/>
          <w:b/>
          <w:sz w:val="32"/>
        </w:rPr>
        <w:t>2.布局合理、优化配置原则。</w:t>
      </w:r>
      <w:r>
        <w:rPr>
          <w:rFonts w:ascii="仿宋_GB2312" w:eastAsia="仿宋_GB2312" w:hAnsi="仿宋_GB2312" w:cs="仿宋_GB2312" w:hint="eastAsia"/>
          <w:sz w:val="32"/>
        </w:rPr>
        <w:t xml:space="preserve">2023年度土地供应计划以我旗整体环境的逐步改善、保障乡村振兴和民生为目标，增强土地对产业发展的支持和保障力度，加强已批准工业用地供应占比，优化产业准入。建立以工促农、以城带乡的长效机制，促进城乡协调发展。力争先做环境后开发，优化配置土地资源，实现国有土地收益最大化。　</w:t>
      </w:r>
    </w:p>
    <w:p w:rsidR="00CA3C1B" w:rsidRDefault="00CA3C1B" w:rsidP="00CA3C1B">
      <w:pPr>
        <w:spacing w:line="560" w:lineRule="exact"/>
        <w:ind w:left="0" w:firstLine="639"/>
        <w:rPr>
          <w:rFonts w:ascii="仿宋_GB2312" w:eastAsia="仿宋_GB2312" w:hAnsi="仿宋_GB2312" w:cs="仿宋_GB2312" w:hint="eastAsia"/>
          <w:sz w:val="32"/>
        </w:rPr>
      </w:pPr>
      <w:r>
        <w:rPr>
          <w:rFonts w:ascii="仿宋_GB2312" w:eastAsia="仿宋_GB2312" w:hAnsi="仿宋_GB2312" w:cs="仿宋_GB2312" w:hint="eastAsia"/>
          <w:b/>
          <w:sz w:val="32"/>
        </w:rPr>
        <w:t>3.宏观调控与土地市场发展状况相结合的原则。</w:t>
      </w:r>
      <w:r>
        <w:rPr>
          <w:rFonts w:ascii="仿宋_GB2312" w:eastAsia="仿宋_GB2312" w:hAnsi="仿宋_GB2312" w:cs="仿宋_GB2312" w:hint="eastAsia"/>
          <w:sz w:val="32"/>
        </w:rPr>
        <w:t>编制土地供应计划以市场调研结果与政府的指导政策相结合为原则。通过对近几年我旗土地供应和需求状况进行总结分析，并对今后几年土地的需求量、需求的层面结构进行预测，并充分考虑总体规划和旗人民政府在供地上的指导性方针政策。</w:t>
      </w:r>
      <w:r>
        <w:rPr>
          <w:rFonts w:ascii="仿宋_GB2312" w:eastAsia="仿宋_GB2312" w:hAnsi="仿宋_GB2312" w:cs="仿宋_GB2312" w:hint="eastAsia"/>
          <w:sz w:val="32"/>
        </w:rPr>
        <w:br/>
      </w:r>
      <w:r>
        <w:rPr>
          <w:rFonts w:ascii="仿宋" w:eastAsia="仿宋" w:hAnsi="仿宋" w:hint="eastAsia"/>
          <w:sz w:val="32"/>
        </w:rPr>
        <w:t xml:space="preserve">　</w:t>
      </w:r>
      <w:r>
        <w:rPr>
          <w:rFonts w:ascii="仿宋" w:eastAsia="仿宋" w:hAnsi="仿宋" w:hint="eastAsia"/>
          <w:b/>
          <w:sz w:val="32"/>
        </w:rPr>
        <w:t xml:space="preserve">　</w:t>
      </w:r>
      <w:r>
        <w:rPr>
          <w:rFonts w:ascii="仿宋_GB2312" w:eastAsia="仿宋_GB2312" w:hAnsi="仿宋_GB2312" w:cs="仿宋_GB2312" w:hint="eastAsia"/>
          <w:b/>
          <w:sz w:val="32"/>
        </w:rPr>
        <w:t>4.可行性原则。</w:t>
      </w:r>
      <w:r>
        <w:rPr>
          <w:rFonts w:ascii="仿宋_GB2312" w:eastAsia="仿宋_GB2312" w:hAnsi="仿宋_GB2312" w:cs="仿宋_GB2312" w:hint="eastAsia"/>
          <w:sz w:val="32"/>
        </w:rPr>
        <w:t>在供地计划中所推出的地块按照分布合理、价格合适的原则，并充分考虑社会各个层面对土地的需求，兼顾社会效益和经济效益。优先保障国家重点投资建设项目和我旗基础设施建设项目用地需要，落实国家产业政策，对不符合国家、地方产业政策、发展规划的项目，不予供地。推进未供即用土地供应，完善项目产权手续，化解社会矛盾。</w:t>
      </w:r>
    </w:p>
    <w:p w:rsidR="00CA3C1B" w:rsidRDefault="00CA3C1B" w:rsidP="00CA3C1B">
      <w:pPr>
        <w:spacing w:line="560" w:lineRule="exact"/>
        <w:ind w:left="0" w:firstLine="639"/>
        <w:rPr>
          <w:rFonts w:ascii="黑体" w:eastAsia="黑体" w:hAnsi="黑体" w:hint="eastAsia"/>
          <w:sz w:val="32"/>
        </w:rPr>
      </w:pPr>
      <w:r>
        <w:rPr>
          <w:rFonts w:ascii="黑体" w:eastAsia="黑体" w:hAnsi="黑体" w:hint="eastAsia"/>
          <w:sz w:val="32"/>
        </w:rPr>
        <w:lastRenderedPageBreak/>
        <w:t>二、计划指标</w:t>
      </w:r>
    </w:p>
    <w:p w:rsidR="00CA3C1B" w:rsidRDefault="00CA3C1B" w:rsidP="00CA3C1B">
      <w:pPr>
        <w:spacing w:line="560" w:lineRule="exact"/>
        <w:ind w:left="0" w:firstLine="639"/>
        <w:rPr>
          <w:rFonts w:ascii="仿宋" w:eastAsia="仿宋" w:hAnsi="仿宋" w:hint="eastAsia"/>
          <w:sz w:val="32"/>
        </w:rPr>
      </w:pPr>
      <w:r>
        <w:rPr>
          <w:rFonts w:ascii="楷体_GB2312" w:eastAsia="楷体_GB2312" w:hAnsi="楷体_GB2312" w:hint="eastAsia"/>
          <w:b/>
          <w:bCs/>
          <w:sz w:val="32"/>
        </w:rPr>
        <w:t>（一）国有建设用地供应总量。</w:t>
      </w:r>
      <w:r>
        <w:rPr>
          <w:rFonts w:ascii="仿宋_GB2312" w:eastAsia="仿宋_GB2312" w:hAnsi="仿宋_GB2312" w:cs="仿宋_GB2312" w:hint="eastAsia"/>
          <w:sz w:val="32"/>
        </w:rPr>
        <w:t>2023年度土地供应总量在488.7808公顷左右，其中新增建设用地控制在267.6170公顷以内，鼓励和引导利用存量建设用地221.1638顷左右</w:t>
      </w:r>
      <w:r>
        <w:rPr>
          <w:rFonts w:ascii="仿宋" w:eastAsia="仿宋" w:hAnsi="仿宋" w:hint="eastAsia"/>
          <w:sz w:val="32"/>
        </w:rPr>
        <w:t>。</w:t>
      </w:r>
    </w:p>
    <w:p w:rsidR="00CA3C1B" w:rsidRDefault="00CA3C1B" w:rsidP="00CA3C1B">
      <w:pPr>
        <w:spacing w:line="560" w:lineRule="exact"/>
        <w:ind w:left="0" w:firstLine="639"/>
        <w:rPr>
          <w:rFonts w:ascii="仿宋_GB2312" w:eastAsia="仿宋_GB2312" w:hAnsi="仿宋_GB2312" w:cs="仿宋_GB2312" w:hint="eastAsia"/>
          <w:sz w:val="32"/>
        </w:rPr>
      </w:pPr>
      <w:r>
        <w:rPr>
          <w:rFonts w:ascii="楷体_GB2312" w:eastAsia="楷体_GB2312" w:hAnsi="楷体_GB2312" w:hint="eastAsia"/>
          <w:b/>
          <w:bCs/>
          <w:sz w:val="32"/>
        </w:rPr>
        <w:t>（二）国有建设用地供地结构。</w:t>
      </w:r>
      <w:r>
        <w:rPr>
          <w:rFonts w:ascii="仿宋_GB2312" w:eastAsia="仿宋_GB2312" w:hAnsi="仿宋_GB2312" w:cs="仿宋_GB2312" w:hint="eastAsia"/>
          <w:sz w:val="32"/>
        </w:rPr>
        <w:t>在2023年度土地供应总量中，商服用地17.2687公顷左右，工矿仓储用地308.2797公顷左右，住宅用地23.5127公顷左右，公共管理与公共服务用地40.7598公顷左右，交通运输用地96.1116公顷左右，特殊用地2.8483公顷左右。</w:t>
      </w:r>
    </w:p>
    <w:p w:rsidR="00CA3C1B" w:rsidRDefault="00CA3C1B" w:rsidP="00CA3C1B">
      <w:pPr>
        <w:spacing w:line="560" w:lineRule="exact"/>
        <w:ind w:left="0" w:firstLine="639"/>
        <w:rPr>
          <w:rFonts w:ascii="仿宋_GB2312" w:eastAsia="仿宋_GB2312" w:hAnsi="仿宋_GB2312" w:cs="仿宋_GB2312" w:hint="eastAsia"/>
          <w:sz w:val="32"/>
        </w:rPr>
      </w:pPr>
      <w:r>
        <w:rPr>
          <w:rFonts w:ascii="楷体_GB2312" w:eastAsia="楷体_GB2312" w:hAnsi="楷体_GB2312" w:hint="eastAsia"/>
          <w:b/>
          <w:bCs/>
          <w:sz w:val="32"/>
        </w:rPr>
        <w:t>（三）国有建设用地供应布局。</w:t>
      </w:r>
      <w:r>
        <w:rPr>
          <w:rFonts w:ascii="仿宋_GB2312" w:eastAsia="仿宋_GB2312" w:hAnsi="仿宋_GB2312" w:cs="仿宋_GB2312" w:hint="eastAsia"/>
          <w:sz w:val="32"/>
        </w:rPr>
        <w:t>中心城区国有建设用地供应量约占全旗总量的5.4%，园区国有建设用地供应量占全旗总量的52.8%，各苏木镇国有建设用地供应量约占全旗总量的41.8%。</w:t>
      </w:r>
    </w:p>
    <w:p w:rsidR="00CA3C1B" w:rsidRDefault="00CA3C1B" w:rsidP="00CA3C1B">
      <w:pPr>
        <w:spacing w:line="560" w:lineRule="exact"/>
        <w:ind w:left="0" w:firstLine="639"/>
        <w:rPr>
          <w:rFonts w:ascii="黑体" w:eastAsia="黑体" w:hAnsi="黑体" w:hint="eastAsia"/>
          <w:sz w:val="32"/>
        </w:rPr>
      </w:pPr>
      <w:r>
        <w:rPr>
          <w:rFonts w:ascii="黑体" w:eastAsia="黑体" w:hAnsi="黑体" w:hint="eastAsia"/>
          <w:sz w:val="32"/>
        </w:rPr>
        <w:t>三、住宅用地供应计划</w:t>
      </w:r>
    </w:p>
    <w:p w:rsidR="00CA3C1B" w:rsidRDefault="00CA3C1B" w:rsidP="00CA3C1B">
      <w:pPr>
        <w:spacing w:line="560" w:lineRule="exact"/>
        <w:ind w:left="0" w:firstLineChars="200" w:firstLine="643"/>
        <w:rPr>
          <w:rFonts w:ascii="仿宋_GB2312" w:eastAsia="仿宋_GB2312"/>
          <w:sz w:val="32"/>
          <w:szCs w:val="32"/>
        </w:rPr>
      </w:pPr>
      <w:r>
        <w:rPr>
          <w:rFonts w:ascii="楷体_GB2312" w:eastAsia="楷体_GB2312" w:hAnsi="楷体_GB2312" w:hint="eastAsia"/>
          <w:b/>
          <w:bCs/>
          <w:sz w:val="32"/>
        </w:rPr>
        <w:t>（一）住宅用地总量和结构。</w:t>
      </w:r>
      <w:r>
        <w:rPr>
          <w:rFonts w:ascii="仿宋_GB2312" w:eastAsia="仿宋_GB2312" w:hint="eastAsia"/>
          <w:sz w:val="32"/>
          <w:szCs w:val="32"/>
        </w:rPr>
        <w:t>2023年度我旗住宅用地计划供应</w:t>
      </w:r>
      <w:r>
        <w:rPr>
          <w:rFonts w:ascii="仿宋_GB2312" w:eastAsia="仿宋_GB2312" w:hAnsi="仿宋_GB2312" w:cs="仿宋_GB2312" w:hint="eastAsia"/>
          <w:sz w:val="32"/>
        </w:rPr>
        <w:t>23.5127</w:t>
      </w:r>
      <w:r>
        <w:rPr>
          <w:rFonts w:ascii="仿宋_GB2312" w:eastAsia="仿宋_GB2312" w:hint="eastAsia"/>
          <w:sz w:val="32"/>
          <w:szCs w:val="32"/>
        </w:rPr>
        <w:t>公顷，其中产权住宅用地</w:t>
      </w:r>
      <w:r>
        <w:rPr>
          <w:rFonts w:ascii="仿宋_GB2312" w:eastAsia="仿宋_GB2312" w:hAnsi="仿宋_GB2312" w:cs="仿宋_GB2312" w:hint="eastAsia"/>
          <w:sz w:val="32"/>
        </w:rPr>
        <w:t>23.5127</w:t>
      </w:r>
      <w:r>
        <w:rPr>
          <w:rFonts w:ascii="仿宋_GB2312" w:eastAsia="仿宋_GB2312" w:hint="eastAsia"/>
          <w:sz w:val="32"/>
          <w:szCs w:val="32"/>
        </w:rPr>
        <w:t>公顷（商品住宅用地</w:t>
      </w:r>
      <w:r>
        <w:rPr>
          <w:rFonts w:ascii="仿宋_GB2312" w:eastAsia="仿宋_GB2312" w:hAnsi="仿宋_GB2312" w:cs="仿宋_GB2312" w:hint="eastAsia"/>
          <w:sz w:val="32"/>
        </w:rPr>
        <w:t>23.5127</w:t>
      </w:r>
      <w:r>
        <w:rPr>
          <w:rFonts w:ascii="仿宋_GB2312" w:eastAsia="仿宋_GB2312" w:hint="eastAsia"/>
          <w:sz w:val="32"/>
          <w:szCs w:val="32"/>
        </w:rPr>
        <w:t>公顷）。(详见附件5)</w:t>
      </w:r>
    </w:p>
    <w:p w:rsidR="00CA3C1B" w:rsidRDefault="00CA3C1B" w:rsidP="00CA3C1B">
      <w:pPr>
        <w:spacing w:line="560" w:lineRule="exact"/>
        <w:ind w:left="0" w:firstLineChars="200" w:firstLine="643"/>
        <w:rPr>
          <w:rFonts w:ascii="仿宋_GB2312" w:eastAsia="仿宋_GB2312" w:hint="eastAsia"/>
          <w:sz w:val="32"/>
          <w:szCs w:val="32"/>
        </w:rPr>
      </w:pPr>
      <w:r>
        <w:rPr>
          <w:rFonts w:ascii="楷体_GB2312" w:eastAsia="楷体_GB2312" w:hAnsi="楷体_GB2312" w:hint="eastAsia"/>
          <w:b/>
          <w:bCs/>
          <w:sz w:val="32"/>
        </w:rPr>
        <w:t>（二）住宅用地供应布局。</w:t>
      </w:r>
      <w:r>
        <w:rPr>
          <w:rFonts w:ascii="仿宋_GB2312" w:eastAsia="仿宋_GB2312" w:hint="eastAsia"/>
          <w:sz w:val="32"/>
          <w:szCs w:val="32"/>
        </w:rPr>
        <w:t>根据人口结构情况、居民住宅需求、房地产市场走势，合理确定计划供应的住宅用地规模。在区域分布上，城市建成区计划供应</w:t>
      </w:r>
      <w:r>
        <w:rPr>
          <w:rFonts w:ascii="仿宋_GB2312" w:eastAsia="仿宋_GB2312" w:hAnsi="仿宋_GB2312" w:cs="仿宋_GB2312" w:hint="eastAsia"/>
          <w:sz w:val="32"/>
        </w:rPr>
        <w:t>23.5127</w:t>
      </w:r>
      <w:r>
        <w:rPr>
          <w:rFonts w:ascii="仿宋_GB2312" w:eastAsia="仿宋_GB2312" w:hint="eastAsia"/>
          <w:sz w:val="32"/>
          <w:szCs w:val="32"/>
        </w:rPr>
        <w:t>公顷，保障性安居住房用地中棚户区改造用地19.0339公顷，可以达到均衡合理布局，有利于促进居住平衡。</w:t>
      </w:r>
    </w:p>
    <w:p w:rsidR="00CA3C1B" w:rsidRDefault="00CA3C1B" w:rsidP="00CA3C1B">
      <w:pPr>
        <w:spacing w:line="560" w:lineRule="exact"/>
        <w:ind w:left="0" w:firstLine="636"/>
        <w:textAlignment w:val="auto"/>
        <w:rPr>
          <w:rFonts w:ascii="仿宋_GB2312" w:eastAsia="仿宋_GB2312" w:hAnsi="仿宋_GB2312" w:cs="仿宋_GB2312" w:hint="eastAsia"/>
          <w:sz w:val="32"/>
          <w:szCs w:val="22"/>
        </w:rPr>
      </w:pPr>
      <w:r>
        <w:rPr>
          <w:rFonts w:ascii="楷体_GB2312" w:eastAsia="楷体_GB2312" w:hAnsi="楷体_GB2312" w:hint="eastAsia"/>
          <w:b/>
          <w:bCs/>
          <w:sz w:val="32"/>
        </w:rPr>
        <w:t>（三）住宅用地供应保障措施。</w:t>
      </w:r>
      <w:r>
        <w:rPr>
          <w:rFonts w:ascii="仿宋_GB2312" w:eastAsia="仿宋_GB2312" w:hAnsi="仿宋_GB2312" w:cs="仿宋_GB2312" w:hint="eastAsia"/>
          <w:sz w:val="32"/>
          <w:szCs w:val="22"/>
        </w:rPr>
        <w:t>组织领导方面，以我旗国有</w:t>
      </w:r>
      <w:r>
        <w:rPr>
          <w:rFonts w:ascii="仿宋_GB2312" w:eastAsia="仿宋_GB2312" w:hAnsi="仿宋_GB2312" w:cs="仿宋_GB2312" w:hint="eastAsia"/>
          <w:sz w:val="32"/>
          <w:szCs w:val="22"/>
        </w:rPr>
        <w:lastRenderedPageBreak/>
        <w:t>建设用地使用权供应决策工作领导小组为中心，统筹协调旗政府和各相关单位推进供应计划落实。发改委、住房和城乡建设局、税务局、自然资源局等部门进一步加强沟通合作，及时协调解决计划实施过程中的问题，加快审批、办理列入计划内的项目，支持旗政府推进计划实施;规</w:t>
      </w:r>
      <w:r>
        <w:rPr>
          <w:rFonts w:ascii="仿宋_GB2312" w:eastAsia="仿宋_GB2312" w:hAnsi="仿宋_GB2312" w:cs="仿宋_GB2312" w:hint="eastAsia"/>
          <w:sz w:val="32"/>
        </w:rPr>
        <w:t>划编制方面,强化发改、自然资源、住建、公共事业保障、人防等部门的联动，更加科学地确定混合用途比例、地下空间利用、容积率、绿地率、配套车位等内容，在上位规划指导下，细化建筑高度、建筑风貌、建筑色彩等方面管控要求，纳入地块规划条件，实施精细化</w:t>
      </w:r>
      <w:r>
        <w:rPr>
          <w:rFonts w:ascii="仿宋_GB2312" w:eastAsia="仿宋_GB2312" w:hAnsi="仿宋_GB2312" w:cs="仿宋_GB2312" w:hint="eastAsia"/>
          <w:sz w:val="32"/>
          <w:szCs w:val="22"/>
        </w:rPr>
        <w:t>管控；财政保障方面,积极落实土地供应相关配套资金，统筹推进全旗土地征收、拆迁和前期开发，稳步提升土地储备规模，有效应对市场变化，保障房地产市场供需平衡。信息公开方面，按照自然资源部《关于进一步规范存量住宅用地信息公开工作的函》（自然资办函[2021]1432号），进一步规范存量住宅用地信息公开工作，切实发挥充分信息对稳定市场预期的重要作用。</w:t>
      </w:r>
    </w:p>
    <w:p w:rsidR="00CA3C1B" w:rsidRDefault="00CA3C1B" w:rsidP="00CA3C1B">
      <w:pPr>
        <w:spacing w:line="560" w:lineRule="exact"/>
        <w:ind w:left="0" w:firstLine="639"/>
        <w:textAlignment w:val="auto"/>
        <w:rPr>
          <w:rFonts w:ascii="黑体" w:eastAsia="黑体" w:hAnsi="黑体" w:hint="eastAsia"/>
          <w:sz w:val="32"/>
        </w:rPr>
      </w:pPr>
      <w:r>
        <w:rPr>
          <w:rFonts w:ascii="黑体" w:eastAsia="黑体" w:hAnsi="黑体" w:hint="eastAsia"/>
          <w:sz w:val="32"/>
        </w:rPr>
        <w:t>四、政策导向</w:t>
      </w:r>
    </w:p>
    <w:p w:rsidR="00CA3C1B" w:rsidRDefault="00CA3C1B" w:rsidP="00CA3C1B">
      <w:pPr>
        <w:spacing w:line="560" w:lineRule="exact"/>
        <w:ind w:left="0" w:firstLineChars="150" w:firstLine="482"/>
        <w:rPr>
          <w:rFonts w:ascii="仿宋" w:eastAsia="仿宋" w:hAnsi="仿宋" w:hint="eastAsia"/>
          <w:sz w:val="32"/>
          <w:szCs w:val="22"/>
        </w:rPr>
      </w:pPr>
      <w:r>
        <w:rPr>
          <w:rFonts w:ascii="楷体_GB2312" w:eastAsia="楷体_GB2312" w:hAnsi="楷体_GB2312" w:hint="eastAsia"/>
          <w:b/>
          <w:bCs/>
          <w:sz w:val="32"/>
        </w:rPr>
        <w:t>（一）突出重点、有保有压。</w:t>
      </w:r>
      <w:r>
        <w:rPr>
          <w:rFonts w:ascii="仿宋_GB2312" w:eastAsia="仿宋_GB2312" w:hAnsi="仿宋_GB2312" w:cs="仿宋_GB2312" w:hint="eastAsia"/>
          <w:sz w:val="32"/>
        </w:rPr>
        <w:t>保障农牧民合理住房需求和乡村公共基础设施用地，稳定市场预期和</w:t>
      </w:r>
      <w:r>
        <w:rPr>
          <w:rFonts w:ascii="仿宋_GB2312" w:eastAsia="仿宋_GB2312" w:hAnsi="仿宋_GB2312" w:cs="仿宋_GB2312" w:hint="eastAsia"/>
          <w:sz w:val="32"/>
          <w:szCs w:val="22"/>
        </w:rPr>
        <w:t>市场调控能力，确保房地产市场平稳健康发展。</w:t>
      </w:r>
      <w:r>
        <w:rPr>
          <w:rFonts w:ascii="仿宋_GB2312" w:eastAsia="仿宋_GB2312" w:hAnsi="仿宋_GB2312" w:cs="仿宋_GB2312" w:hint="eastAsia"/>
          <w:sz w:val="32"/>
        </w:rPr>
        <w:t>加快完善工业、加油加气、房地产等</w:t>
      </w:r>
      <w:r>
        <w:rPr>
          <w:rFonts w:ascii="仿宋_GB2312" w:eastAsia="仿宋_GB2312" w:hAnsi="仿宋_GB2312" w:cs="仿宋_GB2312" w:hint="eastAsia"/>
          <w:sz w:val="32"/>
          <w:szCs w:val="22"/>
        </w:rPr>
        <w:t>未供即用、未批先建项目遗留问题土地供应手续，维护社会和谐稳定。</w:t>
      </w:r>
    </w:p>
    <w:p w:rsidR="00CA3C1B" w:rsidRDefault="00CA3C1B" w:rsidP="00CA3C1B">
      <w:pPr>
        <w:spacing w:line="560" w:lineRule="exact"/>
        <w:ind w:left="0" w:firstLineChars="150" w:firstLine="482"/>
        <w:rPr>
          <w:rFonts w:ascii="仿宋" w:eastAsia="仿宋" w:hAnsi="仿宋" w:hint="eastAsia"/>
          <w:sz w:val="32"/>
        </w:rPr>
      </w:pPr>
      <w:r>
        <w:rPr>
          <w:rFonts w:ascii="楷体_GB2312" w:eastAsia="楷体_GB2312" w:hAnsi="楷体_GB2312" w:hint="eastAsia"/>
          <w:b/>
          <w:bCs/>
          <w:sz w:val="32"/>
        </w:rPr>
        <w:t>（二）存量为主、新增为辅。</w:t>
      </w:r>
      <w:r>
        <w:rPr>
          <w:rFonts w:ascii="仿宋_GB2312" w:eastAsia="仿宋_GB2312" w:hAnsi="宋体" w:hint="eastAsia"/>
          <w:sz w:val="32"/>
          <w:szCs w:val="32"/>
          <w:shd w:val="clear" w:color="auto" w:fill="FFFFFF"/>
        </w:rPr>
        <w:t>在编制国有建设用地供应计划时，项目安排的用地规模在参照往年供应量的基础上，以项目实</w:t>
      </w:r>
      <w:r>
        <w:rPr>
          <w:rFonts w:ascii="仿宋_GB2312" w:eastAsia="仿宋_GB2312" w:hAnsi="宋体" w:hint="eastAsia"/>
          <w:sz w:val="32"/>
          <w:szCs w:val="32"/>
          <w:shd w:val="clear" w:color="auto" w:fill="FFFFFF"/>
        </w:rPr>
        <w:lastRenderedPageBreak/>
        <w:t xml:space="preserve">施为重点，合理控制供地规模，土地来源立足以消化批而未供、盘活存量土地为主，以新增建设用地为辅，加大挖掘存量土地力度、切实提高土地利用水平。 </w:t>
      </w:r>
    </w:p>
    <w:p w:rsidR="00CA3C1B" w:rsidRDefault="00CA3C1B" w:rsidP="00CA3C1B">
      <w:pPr>
        <w:spacing w:line="560" w:lineRule="exact"/>
        <w:ind w:left="0" w:firstLineChars="150" w:firstLine="482"/>
        <w:rPr>
          <w:rFonts w:ascii="仿宋_GB2312" w:eastAsia="仿宋_GB2312" w:hAnsi="仿宋_GB2312" w:cs="仿宋_GB2312" w:hint="eastAsia"/>
          <w:sz w:val="32"/>
        </w:rPr>
      </w:pPr>
      <w:r>
        <w:rPr>
          <w:rFonts w:ascii="楷体_GB2312" w:eastAsia="楷体_GB2312" w:hAnsi="楷体_GB2312" w:hint="eastAsia"/>
          <w:b/>
          <w:bCs/>
          <w:sz w:val="32"/>
        </w:rPr>
        <w:t>（三）园区为主、苏木镇为辅。</w:t>
      </w:r>
      <w:r>
        <w:rPr>
          <w:rFonts w:ascii="仿宋_GB2312" w:eastAsia="仿宋_GB2312" w:hAnsi="仿宋_GB2312" w:cs="仿宋_GB2312" w:hint="eastAsia"/>
          <w:sz w:val="32"/>
        </w:rPr>
        <w:t>重点支持达拉特经济开发区园区，推进一批带动力强的产业项目用地供应；壮大高新技术产业集群用地规模，以建设特色工业体系、产业多元发展、多极支撑产业体系聚集区为主导，提高产业发展水平，全力保障我旗2023年春季重点项目按时落地开工。苏木镇方面在加快推进村庄规划的前提下，重点保障乡村振兴工程中公共基础设施建设用地和宅基地供应。</w:t>
      </w:r>
    </w:p>
    <w:p w:rsidR="00CA3C1B" w:rsidRDefault="00CA3C1B" w:rsidP="00CA3C1B">
      <w:pPr>
        <w:spacing w:line="560" w:lineRule="exact"/>
        <w:ind w:left="0" w:firstLineChars="150" w:firstLine="482"/>
        <w:rPr>
          <w:rFonts w:ascii="仿宋_GB2312" w:eastAsia="仿宋_GB2312" w:hAnsi="仿宋_GB2312" w:cs="仿宋_GB2312" w:hint="eastAsia"/>
          <w:sz w:val="32"/>
        </w:rPr>
      </w:pPr>
      <w:r>
        <w:rPr>
          <w:rFonts w:ascii="楷体_GB2312" w:eastAsia="楷体_GB2312" w:hAnsi="楷体_GB2312" w:hint="eastAsia"/>
          <w:b/>
          <w:bCs/>
          <w:sz w:val="32"/>
        </w:rPr>
        <w:t>（四）严格标准、节约集约。</w:t>
      </w:r>
      <w:r>
        <w:rPr>
          <w:rFonts w:ascii="仿宋_GB2312" w:eastAsia="仿宋_GB2312" w:hAnsi="仿宋_GB2312" w:cs="仿宋_GB2312" w:hint="eastAsia"/>
          <w:sz w:val="32"/>
        </w:rPr>
        <w:t>严格按照土地利用标准确定用地规模，促进土地资源有效利用和可持续利用。不断扩大国有土地有偿使用范围，积极探索实施有竞争性的基础设施、公共设施用地招标拍卖挂牌方式出让，依法有序推进集体经营性建设用地入市，建立城乡统一的建设用地市场，不断深化市场配置资源的决定性作用。鼓励盘活利用存量土地和闲置土地，加强土地批后监管，严格执行房地产项目开竣工申报制度，依托土地市场动态监测与监管系统，及时清理开工、竣工的房地产项目，定期进行实地巡查。</w:t>
      </w:r>
    </w:p>
    <w:p w:rsidR="00CA3C1B" w:rsidRDefault="00CA3C1B" w:rsidP="00CA3C1B">
      <w:pPr>
        <w:spacing w:line="560" w:lineRule="exact"/>
        <w:ind w:left="0" w:firstLine="639"/>
        <w:rPr>
          <w:rFonts w:ascii="黑体" w:eastAsia="黑体" w:hAnsi="黑体" w:hint="eastAsia"/>
          <w:sz w:val="32"/>
        </w:rPr>
      </w:pPr>
      <w:r>
        <w:rPr>
          <w:rFonts w:ascii="黑体" w:eastAsia="黑体" w:hAnsi="黑体" w:hint="eastAsia"/>
          <w:sz w:val="32"/>
        </w:rPr>
        <w:t>五、保障措施</w:t>
      </w:r>
    </w:p>
    <w:p w:rsidR="00CA3C1B" w:rsidRDefault="00CA3C1B" w:rsidP="00CA3C1B">
      <w:pPr>
        <w:spacing w:line="560" w:lineRule="exact"/>
        <w:ind w:left="0" w:firstLineChars="150" w:firstLine="482"/>
        <w:rPr>
          <w:rFonts w:ascii="仿宋" w:eastAsia="仿宋" w:hAnsi="仿宋" w:hint="eastAsia"/>
          <w:sz w:val="32"/>
          <w:szCs w:val="22"/>
        </w:rPr>
      </w:pPr>
      <w:r>
        <w:rPr>
          <w:rFonts w:ascii="楷体_GB2312" w:eastAsia="楷体_GB2312" w:hAnsi="楷体_GB2312" w:hint="eastAsia"/>
          <w:b/>
          <w:bCs/>
          <w:sz w:val="32"/>
        </w:rPr>
        <w:t>（一）建立部门协调配合的有效机制，保障土地供应计划的有效执行。</w:t>
      </w:r>
      <w:r>
        <w:rPr>
          <w:rFonts w:ascii="仿宋_GB2312" w:eastAsia="仿宋_GB2312" w:hAnsi="仿宋_GB2312" w:cs="仿宋_GB2312" w:hint="eastAsia"/>
          <w:sz w:val="32"/>
          <w:szCs w:val="22"/>
        </w:rPr>
        <w:t>为保障2023年度土地供应计划的有效实施，旗国有</w:t>
      </w:r>
      <w:r>
        <w:rPr>
          <w:rFonts w:ascii="仿宋_GB2312" w:eastAsia="仿宋_GB2312" w:hAnsi="仿宋_GB2312" w:cs="仿宋_GB2312" w:hint="eastAsia"/>
          <w:sz w:val="32"/>
          <w:szCs w:val="22"/>
        </w:rPr>
        <w:lastRenderedPageBreak/>
        <w:t>建设用地供应决策委员会不定期召开计划执行情况协调会，研究土地供应情况，与旗重点建设项目责任单位沟通计划执行情况，协调解决计划执行过程中出现的问题和困难，各有关部门对项目办理土地供应相关手续应予以充分支持。旗人民政府将对列入旗级指标安排使用计划的项目进行跟踪管理，协调项目实施中出现的征地、拆迁等问题，以保障年度土地供应计划的顺利完成。</w:t>
      </w:r>
    </w:p>
    <w:p w:rsidR="00CA3C1B" w:rsidRDefault="00CA3C1B" w:rsidP="00CA3C1B">
      <w:pPr>
        <w:spacing w:line="560" w:lineRule="exact"/>
        <w:ind w:left="0" w:firstLineChars="150" w:firstLine="482"/>
        <w:rPr>
          <w:rFonts w:ascii="仿宋" w:eastAsia="仿宋" w:hAnsi="仿宋" w:hint="eastAsia"/>
          <w:sz w:val="32"/>
          <w:szCs w:val="22"/>
        </w:rPr>
      </w:pPr>
      <w:r>
        <w:rPr>
          <w:rFonts w:ascii="楷体_GB2312" w:eastAsia="楷体_GB2312" w:hAnsi="楷体_GB2312" w:hint="eastAsia"/>
          <w:b/>
          <w:bCs/>
          <w:sz w:val="32"/>
        </w:rPr>
        <w:t>（二）健全公众参与管理机制，加强对计划实施的动态跟踪管理。</w:t>
      </w:r>
      <w:r>
        <w:rPr>
          <w:rFonts w:ascii="仿宋_GB2312" w:eastAsia="仿宋_GB2312" w:hAnsi="仿宋_GB2312" w:cs="仿宋_GB2312" w:hint="eastAsia"/>
          <w:sz w:val="32"/>
          <w:szCs w:val="22"/>
        </w:rPr>
        <w:t>供地计划编制过程中，充分征求各苏木镇政府、开发区管委会、职能部门以及用地单位的意见。供地计划批准后，按照国家自治区市要求，通过政府（部门）门户网站向社会公布，接受社会监督，稳定土地市场预期。及时开展总结计划执行情况，对因特殊原因影响供应计划的，及时报旗国有建设用地供应决策委员会对计划进行适当调整。完善土地批后跟踪监管措施，强化项目履约监管，严防建设用地闲置，切实提升土地集约利用水平。</w:t>
      </w:r>
    </w:p>
    <w:p w:rsidR="00CA3C1B" w:rsidRDefault="00CA3C1B" w:rsidP="00CA3C1B">
      <w:pPr>
        <w:spacing w:line="580" w:lineRule="exact"/>
        <w:rPr>
          <w:rFonts w:ascii="仿宋" w:eastAsia="仿宋" w:hAnsi="仿宋" w:hint="eastAsia"/>
          <w:sz w:val="32"/>
        </w:rPr>
      </w:pPr>
    </w:p>
    <w:p w:rsidR="00CA3C1B" w:rsidRDefault="00CA3C1B" w:rsidP="00CA3C1B">
      <w:pPr>
        <w:spacing w:line="580" w:lineRule="exact"/>
        <w:ind w:firstLine="639"/>
        <w:rPr>
          <w:rFonts w:ascii="仿宋_GB2312" w:eastAsia="仿宋_GB2312" w:hAnsi="仿宋" w:hint="eastAsia"/>
          <w:sz w:val="32"/>
        </w:rPr>
      </w:pPr>
      <w:r>
        <w:rPr>
          <w:rFonts w:ascii="仿宋_GB2312" w:eastAsia="仿宋_GB2312" w:hAnsi="仿宋" w:hint="eastAsia"/>
          <w:sz w:val="32"/>
        </w:rPr>
        <w:t>附件：1.2023年达拉特旗国有建设用地供应宗地表</w:t>
      </w:r>
    </w:p>
    <w:p w:rsidR="00CA3C1B" w:rsidRDefault="00CA3C1B" w:rsidP="00CA3C1B">
      <w:pPr>
        <w:spacing w:line="580" w:lineRule="exact"/>
        <w:ind w:firstLine="639"/>
        <w:rPr>
          <w:rFonts w:ascii="仿宋_GB2312" w:eastAsia="仿宋_GB2312" w:hAnsi="仿宋" w:hint="eastAsia"/>
          <w:sz w:val="32"/>
        </w:rPr>
      </w:pPr>
      <w:r>
        <w:rPr>
          <w:rFonts w:ascii="仿宋_GB2312" w:eastAsia="仿宋_GB2312" w:hAnsi="仿宋" w:hint="eastAsia"/>
          <w:sz w:val="32"/>
        </w:rPr>
        <w:t xml:space="preserve">      2.2023年达拉特旗国有建设用地供应计划汇总表</w:t>
      </w:r>
    </w:p>
    <w:p w:rsidR="00CA3C1B" w:rsidRDefault="00CA3C1B" w:rsidP="00CA3C1B">
      <w:pPr>
        <w:spacing w:line="580" w:lineRule="exact"/>
        <w:ind w:firstLine="639"/>
        <w:rPr>
          <w:rFonts w:ascii="仿宋_GB2312" w:eastAsia="仿宋_GB2312" w:hAnsi="仿宋" w:hint="eastAsia"/>
          <w:sz w:val="32"/>
        </w:rPr>
      </w:pPr>
      <w:r>
        <w:rPr>
          <w:rFonts w:ascii="仿宋_GB2312" w:eastAsia="仿宋_GB2312" w:hAnsi="仿宋" w:hint="eastAsia"/>
          <w:sz w:val="32"/>
        </w:rPr>
        <w:t xml:space="preserve">      3.2023年达拉特旗住房供应计划汇总表</w:t>
      </w:r>
    </w:p>
    <w:p w:rsidR="00CA3C1B" w:rsidRDefault="00CA3C1B" w:rsidP="00CA3C1B">
      <w:pPr>
        <w:spacing w:line="580" w:lineRule="exact"/>
        <w:ind w:firstLine="639"/>
        <w:rPr>
          <w:rFonts w:ascii="仿宋_GB2312" w:eastAsia="仿宋_GB2312" w:hAnsi="仿宋" w:hint="eastAsia"/>
          <w:sz w:val="32"/>
        </w:rPr>
      </w:pPr>
      <w:r>
        <w:rPr>
          <w:rFonts w:ascii="仿宋_GB2312" w:eastAsia="仿宋_GB2312" w:hAnsi="仿宋" w:hint="eastAsia"/>
          <w:sz w:val="32"/>
        </w:rPr>
        <w:t xml:space="preserve">      4.2023年达拉特旗保障性安居工程项目用地计划统</w:t>
      </w:r>
    </w:p>
    <w:p w:rsidR="00CA3C1B" w:rsidRDefault="00CA3C1B" w:rsidP="00CA3C1B">
      <w:pPr>
        <w:spacing w:line="580" w:lineRule="exact"/>
        <w:ind w:firstLine="639"/>
        <w:rPr>
          <w:rFonts w:ascii="仿宋_GB2312" w:eastAsia="仿宋_GB2312" w:hAnsi="仿宋" w:hint="eastAsia"/>
          <w:sz w:val="32"/>
        </w:rPr>
      </w:pPr>
      <w:r>
        <w:rPr>
          <w:rFonts w:ascii="仿宋_GB2312" w:eastAsia="仿宋_GB2312" w:hAnsi="仿宋" w:hint="eastAsia"/>
          <w:sz w:val="32"/>
        </w:rPr>
        <w:t xml:space="preserve">        计表</w:t>
      </w:r>
    </w:p>
    <w:p w:rsidR="00CA3C1B" w:rsidRDefault="00CA3C1B" w:rsidP="00CA3C1B">
      <w:pPr>
        <w:spacing w:line="580" w:lineRule="exact"/>
        <w:ind w:firstLine="639"/>
        <w:rPr>
          <w:rFonts w:ascii="仿宋_GB2312" w:eastAsia="仿宋_GB2312" w:hAnsi="仿宋"/>
          <w:sz w:val="32"/>
        </w:rPr>
      </w:pPr>
      <w:r>
        <w:rPr>
          <w:rFonts w:ascii="仿宋_GB2312" w:eastAsia="仿宋_GB2312" w:hAnsi="仿宋" w:hint="eastAsia"/>
          <w:sz w:val="32"/>
        </w:rPr>
        <w:t xml:space="preserve">      5.2023年达拉特旗度住宅用地供应计划表</w:t>
      </w:r>
    </w:p>
    <w:p w:rsidR="00CA3C1B" w:rsidRDefault="00CA3C1B" w:rsidP="00CA3C1B">
      <w:pPr>
        <w:spacing w:line="360" w:lineRule="auto"/>
        <w:ind w:left="0"/>
        <w:rPr>
          <w:rFonts w:ascii="黑体" w:eastAsia="黑体" w:hAnsi="黑体" w:cs="黑体" w:hint="eastAsia"/>
          <w:color w:val="000000"/>
          <w:sz w:val="36"/>
        </w:rPr>
      </w:pPr>
    </w:p>
    <w:p w:rsidR="00CA3C1B" w:rsidRDefault="00CA3C1B" w:rsidP="00CA3C1B">
      <w:pPr>
        <w:spacing w:line="360" w:lineRule="auto"/>
        <w:ind w:left="0"/>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附件1</w:t>
      </w:r>
    </w:p>
    <w:p w:rsidR="00CA3C1B" w:rsidRDefault="00CA3C1B" w:rsidP="00CA3C1B">
      <w:pPr>
        <w:spacing w:line="360" w:lineRule="auto"/>
        <w:ind w:firstLine="639"/>
        <w:jc w:val="center"/>
        <w:rPr>
          <w:rFonts w:ascii="方正小标宋简体" w:eastAsia="方正小标宋简体" w:hAnsi="方正小标宋简体" w:cs="方正小标宋简体" w:hint="eastAsia"/>
          <w:bCs/>
          <w:sz w:val="36"/>
          <w:szCs w:val="36"/>
        </w:rPr>
      </w:pPr>
      <w:r>
        <w:rPr>
          <w:rFonts w:ascii="方正小标宋简体" w:eastAsia="方正小标宋简体" w:hAnsi="方正小标宋简体" w:cs="方正小标宋简体" w:hint="eastAsia"/>
          <w:bCs/>
          <w:color w:val="000000"/>
          <w:sz w:val="36"/>
          <w:szCs w:val="36"/>
          <w:lang/>
        </w:rPr>
        <w:t>2023年达拉特旗国有建设用地供应宗地表</w:t>
      </w:r>
    </w:p>
    <w:p w:rsidR="00CA3C1B" w:rsidRDefault="00CA3C1B" w:rsidP="00CA3C1B">
      <w:pPr>
        <w:spacing w:line="360" w:lineRule="auto"/>
        <w:ind w:firstLine="639"/>
        <w:jc w:val="right"/>
        <w:rPr>
          <w:rFonts w:ascii="仿宋" w:eastAsia="仿宋" w:hAnsi="仿宋" w:hint="eastAsia"/>
          <w:sz w:val="21"/>
          <w:szCs w:val="21"/>
        </w:rPr>
      </w:pPr>
      <w:r>
        <w:rPr>
          <w:rFonts w:ascii="仿宋" w:eastAsia="仿宋" w:hAnsi="仿宋" w:hint="eastAsia"/>
          <w:sz w:val="21"/>
          <w:szCs w:val="21"/>
        </w:rPr>
        <w:t>单位：公顷</w:t>
      </w:r>
    </w:p>
    <w:tbl>
      <w:tblPr>
        <w:tblW w:w="10020" w:type="dxa"/>
        <w:tblInd w:w="-574" w:type="dxa"/>
        <w:tblLayout w:type="fixed"/>
        <w:tblLook w:val="0000"/>
      </w:tblPr>
      <w:tblGrid>
        <w:gridCol w:w="690"/>
        <w:gridCol w:w="2265"/>
        <w:gridCol w:w="1380"/>
        <w:gridCol w:w="1290"/>
        <w:gridCol w:w="1275"/>
        <w:gridCol w:w="1200"/>
        <w:gridCol w:w="975"/>
        <w:gridCol w:w="945"/>
      </w:tblGrid>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b/>
                <w:bCs/>
                <w:color w:val="000000"/>
              </w:rPr>
            </w:pPr>
            <w:r>
              <w:rPr>
                <w:rFonts w:ascii="仿宋_GB2312" w:eastAsia="仿宋_GB2312" w:hAnsi="宋体" w:cs="仿宋_GB2312" w:hint="eastAsia"/>
                <w:b/>
                <w:bCs/>
                <w:color w:val="000000"/>
                <w:lang/>
              </w:rPr>
              <w:t>序号</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宗地位置</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宗地面积（公顷）</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宗地用途</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供地方式</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供地时间</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布局</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备注</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合计</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left"/>
              <w:rPr>
                <w:rFonts w:ascii="仿宋_GB2312" w:eastAsia="仿宋_GB2312" w:hAnsi="宋体" w:cs="仿宋_GB2312" w:hint="eastAsia"/>
                <w:color w:val="000000"/>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b/>
                <w:bCs/>
                <w:color w:val="000000"/>
                <w:lang/>
              </w:rPr>
              <w:t xml:space="preserve">488.7808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小计</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left"/>
              <w:rPr>
                <w:rFonts w:ascii="仿宋_GB2312" w:eastAsia="仿宋_GB2312" w:hAnsi="宋体" w:cs="仿宋_GB2312" w:hint="eastAsia"/>
                <w:color w:val="000000"/>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 xml:space="preserve">17.2687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 xml:space="preserve">商服服务业用地　</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0.73986</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0.13078</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展旦召苏木展旦召嘎查</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0.19984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2023年5月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白泥井镇柴登村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0.5391</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王爱召镇德胜营村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0.4491</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吉格斯太镇张义成窑子村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0.1138</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展旦召苏木展旦召嘎查关展线与解柴线交汇处</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0.322</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8</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展旦召苏木展旦召嘎查</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2.2403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2023年4月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9</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恩格贝生态园区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4.2585</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2023年3月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10</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树林召镇关碾房村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0.5</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11</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展旦召苏木黄木独村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0.5</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12</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白泥井镇盐店村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0.2914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13</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王爱召镇西社村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0.4355</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14</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白泥井镇大纳林村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0.3137</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15</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白泥井镇盐店村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0.8592</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16</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树林召镇哈什拉村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1.7932</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17</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吉格斯太镇马场壕村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0.3061</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18</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展旦召镇展旦召嘎查</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0.1705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19</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白泥井镇柴登村柴</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0.5333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lastRenderedPageBreak/>
              <w:t>20</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风水梁镇大纳林村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0.3737</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21</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吉格斯太镇三眼井村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0.5333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22</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吉格斯太镇三眼井村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0.4804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23</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风水梁镇大纳林村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0.5265</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24</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风水梁镇大纳林村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0.6586</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商业用地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小计</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left"/>
              <w:rPr>
                <w:rFonts w:ascii="仿宋_GB2312" w:eastAsia="仿宋_GB2312" w:hAnsi="宋体" w:cs="仿宋_GB2312" w:hint="eastAsia"/>
                <w:color w:val="000000"/>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 xml:space="preserve">308.2797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24</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3.3333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25</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5.0713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2023年3月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26</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7.306</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27</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0.853165</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28</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21.66106</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2023年12月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66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29</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127.6198</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2023年12月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144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30</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67</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2023年12月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31</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树林召镇草原村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4.6674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2023年10月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32</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昭君镇吴四圪堵村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0.4353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33</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恩格贝镇乌兰村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0.5147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34</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展旦召苏木展旦召嘎查</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1.0000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35</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昭君镇吴四圪堵村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13.3334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36</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白泥井镇七份子村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0.5287</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37</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白泥井镇鄂尔多斯市机械化造林总厂白泥井分场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6.2948</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38</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树林召镇五股地村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11.6676</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工业用地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2023年11月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lastRenderedPageBreak/>
              <w:t>39</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展旦召苏木和合成村　</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3.0294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2023年7月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40</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树林召镇沙坝子村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5.0797</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2023年7月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41</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树林召镇沙坝子村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3.7642</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2023年7月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42</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风水梁镇石匠窑村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2.8</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2023年7月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43</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树林召镇沙坝子村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3.6308</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2023年8月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44</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树林召镇沙坝子村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1.9895</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2023年8月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45</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树林召镇沙坝子村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2.7494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2023年8月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46</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树林召镇沙坝子村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2.718</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2023年8月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47</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风水梁镇敖包梁村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0.1401</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2023年9月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48</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树林召镇沙坝子村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2.4273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2023年9月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49</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树林召镇沙坝子村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3.9982</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2023年9月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50</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树林召镇沙坝子村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4.6666</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工矿仓储用地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2023年9月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50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小计</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left"/>
              <w:rPr>
                <w:rFonts w:ascii="仿宋_GB2312" w:eastAsia="仿宋_GB2312" w:hAnsi="宋体" w:cs="仿宋_GB2312" w:hint="eastAsia"/>
                <w:color w:val="000000"/>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 xml:space="preserve">23.5127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住宅用地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r>
      <w:tr w:rsidR="00CA3C1B" w:rsidTr="0094470E">
        <w:trPr>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51</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达拉特旗树林召镇达拉特路西、金鹏路东、南园街南</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5.1888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住宅用地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2023年12月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中心城区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52</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树镇教育街北、安答街南、和平路西、长胜路东</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0.5000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住宅用地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2023年9月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中心城区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53</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达拉特旗树林召镇建设路东、教育街南、昭君路西</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3.6667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住宅用地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2023年5月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中心城区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lastRenderedPageBreak/>
              <w:t>54</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达拉特旗树林召镇锡尼街北、新华路西、树林召大街南、召西路东</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4.1286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住宅用地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2023年9月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中心城区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55</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达拉特旗树林召和平路东、建设路西、德胜大街北</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4.4788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住宅用地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2023年5月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中心城区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56</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达拉特旗树林召镇树林召大街北、市府街南、新华路西</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3.2831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住宅用地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2023年12月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中心城区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57</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达拉特旗树林召镇建设路东、迎宾大街南、昭君路西</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1.2667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住宅用地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2023年9月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中心城区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58</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达拉特旗树林召镇平原大街北、福宁街南、校园路东</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1.0000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住宅用地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2023年12月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中心城区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小计</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left"/>
              <w:rPr>
                <w:rFonts w:ascii="仿宋_GB2312" w:eastAsia="仿宋_GB2312" w:hAnsi="宋体" w:cs="仿宋_GB2312" w:hint="eastAsia"/>
                <w:color w:val="000000"/>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 xml:space="preserve">40.7598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公共管理与公共服务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59</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树林召镇树林召村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0.8413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公共设施用地 </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2023年3月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中心城区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60</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树林召镇中心城区（陶瓷广场西）</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0.3944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公共设施用地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中心城区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72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61</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0.607</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道路绿化用地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62</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lang/>
              </w:rPr>
              <w:t>7.5639</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交通服务站场用地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2023年10月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63</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lang/>
              </w:rPr>
              <w:t>0.9348</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公共设施用地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2023年10月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64</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1.7483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公共管理与公共服务用地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2023年9月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65</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2.8249</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公共管理与公共服务用地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2023年11月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577"/>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lastRenderedPageBreak/>
              <w:t>66</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3.3561</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公共管理与公共服务用地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2023年11月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67</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0.15</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公共管理与公共服务用地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2023年10月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68</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lang/>
              </w:rPr>
              <w:t>0.092</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公共管理与公共服务用地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2023年12月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827"/>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69</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树林召镇大树湾村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0.1201</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公共设施用地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867"/>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70</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昭君镇高头窑村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0.5016</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医卫慈善用地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71</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树林召镇靴铺窑子村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6.6667</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公共设施用地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617"/>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72</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吉格斯太镇三眼井村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0.4081</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办公用地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2023年8月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725"/>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73</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树林召镇关碾房村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5.3091</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公共管理与公共服务用地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74</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树林召镇草原村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0.8354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公共设施用地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858"/>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75</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恩格贝生态园区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7.6659</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公共管理与公共服务用地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2023年3月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8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76</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王爱召镇王爱召村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0.6241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风景名胜设施用地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1192"/>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77</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展旦召苏木青达门村　</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0.1161</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公共管理与公共服务用地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2023年4月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683"/>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小计</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left"/>
              <w:rPr>
                <w:rFonts w:ascii="仿宋_GB2312" w:eastAsia="仿宋_GB2312" w:hAnsi="宋体" w:cs="仿宋_GB2312" w:hint="eastAsia"/>
                <w:color w:val="000000"/>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 xml:space="preserve">96.1116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交通运输用地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r>
      <w:tr w:rsidR="00CA3C1B" w:rsidTr="0094470E">
        <w:trPr>
          <w:trHeight w:val="1537"/>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lastRenderedPageBreak/>
              <w:t>78</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树林召镇中心城区（达拉特旗南园街南第三条规划街（公园路-新华路）</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1.647485</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市政道路</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2023年5月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中心城区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625"/>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79</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lang/>
              </w:rPr>
              <w:t>2.8375</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市政道路</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2023年5月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608"/>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80</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lang/>
              </w:rPr>
              <w:t>0.3631</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市政道路</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45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81</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lang/>
              </w:rPr>
              <w:t>1.9185</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市政道路</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2023年10月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2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82</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lang/>
              </w:rPr>
              <w:t>0.807</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市政道路</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2023年10月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45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83</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达拉特经济开发区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宋体" w:hAnsi="宋体" w:cs="宋体" w:hint="eastAsia"/>
                <w:color w:val="000000"/>
                <w:sz w:val="18"/>
                <w:szCs w:val="18"/>
              </w:rPr>
            </w:pPr>
            <w:r>
              <w:rPr>
                <w:rFonts w:ascii="宋体" w:hAnsi="宋体" w:cs="宋体" w:hint="eastAsia"/>
                <w:color w:val="000000"/>
                <w:sz w:val="18"/>
                <w:szCs w:val="18"/>
                <w:lang/>
              </w:rPr>
              <w:t>1.2663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市政道路</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2023年10月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开发区</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608"/>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84</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马兰湖物流园区</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0.34214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市政道路</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120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85</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恩格贝镇、中和西镇、昭君镇、展旦召苏木、树林召镇、王爱召镇、吉格斯太镇、风水梁镇、白泥井镇</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76.1823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公路用地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568"/>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86</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left"/>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达拉特旗昭君镇</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10.7473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公路用地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划拨</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2023年9月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新增</w:t>
            </w:r>
          </w:p>
        </w:tc>
      </w:tr>
      <w:tr w:rsidR="00CA3C1B" w:rsidTr="0094470E">
        <w:trPr>
          <w:trHeight w:val="677"/>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000000"/>
              </w:rPr>
            </w:pPr>
            <w:r>
              <w:rPr>
                <w:rFonts w:ascii="仿宋_GB2312" w:eastAsia="仿宋_GB2312" w:hAnsi="宋体" w:cs="仿宋_GB2312" w:hint="eastAsia"/>
                <w:b/>
                <w:bCs/>
                <w:color w:val="000000"/>
                <w:lang/>
              </w:rPr>
              <w:t>小计</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left"/>
              <w:rPr>
                <w:rFonts w:ascii="仿宋_GB2312" w:eastAsia="仿宋_GB2312" w:hAnsi="宋体" w:cs="仿宋_GB2312" w:hint="eastAsia"/>
                <w:color w:val="000000"/>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 xml:space="preserve">2.8483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b/>
                <w:bCs/>
                <w:color w:val="FF0000"/>
              </w:rPr>
            </w:pPr>
            <w:r>
              <w:rPr>
                <w:rFonts w:ascii="仿宋_GB2312" w:eastAsia="仿宋_GB2312" w:hAnsi="宋体" w:cs="仿宋_GB2312" w:hint="eastAsia"/>
                <w:b/>
                <w:bCs/>
                <w:color w:val="000000"/>
                <w:lang/>
              </w:rPr>
              <w:t>特殊用地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jc w:val="center"/>
              <w:rPr>
                <w:rFonts w:ascii="仿宋_GB2312" w:eastAsia="仿宋_GB2312" w:hAnsi="宋体" w:cs="仿宋_GB2312" w:hint="eastAsia"/>
                <w:color w:val="000000"/>
              </w:rPr>
            </w:pPr>
          </w:p>
        </w:tc>
      </w:tr>
      <w:tr w:rsidR="00CA3C1B" w:rsidTr="0094470E">
        <w:trPr>
          <w:trHeight w:val="614"/>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87</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树林召镇草原村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0.8354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宗教用地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627"/>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88</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王爱召镇生成永村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 xml:space="preserve">0.5000 </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特殊用地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657"/>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89</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王爱召镇生成永村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0.9212</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特殊用地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670"/>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90</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树林召镇关碾房村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0.1643</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特殊用地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r w:rsidR="00CA3C1B" w:rsidTr="0094470E">
        <w:trPr>
          <w:trHeight w:val="628"/>
        </w:trPr>
        <w:tc>
          <w:tcPr>
            <w:tcW w:w="6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91</w:t>
            </w:r>
          </w:p>
        </w:tc>
        <w:tc>
          <w:tcPr>
            <w:tcW w:w="226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树林召镇关碾房村</w:t>
            </w:r>
          </w:p>
        </w:tc>
        <w:tc>
          <w:tcPr>
            <w:tcW w:w="138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0.4274</w:t>
            </w:r>
          </w:p>
        </w:tc>
        <w:tc>
          <w:tcPr>
            <w:tcW w:w="129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特殊用地</w:t>
            </w:r>
          </w:p>
        </w:tc>
        <w:tc>
          <w:tcPr>
            <w:tcW w:w="12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出让</w:t>
            </w:r>
          </w:p>
        </w:tc>
        <w:tc>
          <w:tcPr>
            <w:tcW w:w="12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2023年6月</w:t>
            </w:r>
          </w:p>
        </w:tc>
        <w:tc>
          <w:tcPr>
            <w:tcW w:w="9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乡镇</w:t>
            </w:r>
          </w:p>
        </w:tc>
        <w:tc>
          <w:tcPr>
            <w:tcW w:w="94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widowControl/>
              <w:jc w:val="center"/>
              <w:textAlignment w:val="center"/>
              <w:rPr>
                <w:rFonts w:ascii="仿宋_GB2312" w:eastAsia="仿宋_GB2312" w:hAnsi="宋体" w:cs="仿宋_GB2312" w:hint="eastAsia"/>
                <w:color w:val="000000"/>
              </w:rPr>
            </w:pPr>
            <w:r>
              <w:rPr>
                <w:rFonts w:ascii="仿宋_GB2312" w:eastAsia="仿宋_GB2312" w:hAnsi="宋体" w:cs="仿宋_GB2312" w:hint="eastAsia"/>
                <w:color w:val="000000"/>
                <w:lang/>
              </w:rPr>
              <w:t>存量</w:t>
            </w:r>
          </w:p>
        </w:tc>
      </w:tr>
    </w:tbl>
    <w:p w:rsidR="00CA3C1B" w:rsidRDefault="00CA3C1B" w:rsidP="00CA3C1B">
      <w:pPr>
        <w:spacing w:line="360" w:lineRule="auto"/>
        <w:rPr>
          <w:rFonts w:ascii="仿宋" w:eastAsia="仿宋" w:hAnsi="仿宋" w:hint="eastAsia"/>
          <w:sz w:val="21"/>
          <w:szCs w:val="21"/>
        </w:rPr>
      </w:pPr>
    </w:p>
    <w:p w:rsidR="00CA3C1B" w:rsidRDefault="00CA3C1B" w:rsidP="00CA3C1B">
      <w:pPr>
        <w:spacing w:line="360" w:lineRule="auto"/>
        <w:ind w:firstLine="639"/>
        <w:jc w:val="right"/>
        <w:rPr>
          <w:rFonts w:ascii="仿宋" w:eastAsia="仿宋" w:hAnsi="仿宋" w:hint="eastAsia"/>
          <w:sz w:val="21"/>
          <w:szCs w:val="21"/>
        </w:rPr>
      </w:pPr>
    </w:p>
    <w:p w:rsidR="00CA3C1B" w:rsidRDefault="00CA3C1B" w:rsidP="00CA3C1B">
      <w:pPr>
        <w:spacing w:line="360" w:lineRule="auto"/>
        <w:ind w:left="0"/>
        <w:rPr>
          <w:rFonts w:ascii="宋体" w:hAnsi="宋体" w:cs="宋体" w:hint="eastAsia"/>
          <w:sz w:val="18"/>
          <w:szCs w:val="18"/>
        </w:rPr>
        <w:sectPr w:rsidR="00CA3C1B">
          <w:footerReference w:type="even" r:id="rId10"/>
          <w:footerReference w:type="default" r:id="rId11"/>
          <w:footnotePr>
            <w:numFmt w:val="decimalHalfWidth"/>
          </w:footnotePr>
          <w:endnotePr>
            <w:numFmt w:val="chineseCounting"/>
          </w:endnotePr>
          <w:pgSz w:w="11905" w:h="16837"/>
          <w:pgMar w:top="2097" w:right="1474" w:bottom="1984" w:left="1587" w:header="566" w:footer="1133" w:gutter="0"/>
          <w:pgNumType w:fmt="numberInDash" w:start="2"/>
          <w:cols w:space="720"/>
        </w:sectPr>
      </w:pPr>
    </w:p>
    <w:p w:rsidR="00CA3C1B" w:rsidRDefault="00CA3C1B" w:rsidP="00CA3C1B">
      <w:pPr>
        <w:spacing w:line="360" w:lineRule="auto"/>
        <w:ind w:left="0"/>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附件2</w:t>
      </w:r>
    </w:p>
    <w:p w:rsidR="00CA3C1B" w:rsidRDefault="00CA3C1B" w:rsidP="00CA3C1B">
      <w:pPr>
        <w:spacing w:line="360" w:lineRule="auto"/>
        <w:ind w:left="0"/>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2023年达拉特旗国有建设用地供应计划汇总表</w:t>
      </w:r>
    </w:p>
    <w:p w:rsidR="00CA3C1B" w:rsidRDefault="00CA3C1B" w:rsidP="00CA3C1B">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责任人：王峰                                                                                     单位：公顷</w:t>
      </w:r>
    </w:p>
    <w:tbl>
      <w:tblPr>
        <w:tblW w:w="13653" w:type="dxa"/>
        <w:tblInd w:w="-93" w:type="dxa"/>
        <w:tblLayout w:type="fixed"/>
        <w:tblCellMar>
          <w:left w:w="15" w:type="dxa"/>
          <w:right w:w="15" w:type="dxa"/>
        </w:tblCellMar>
        <w:tblLook w:val="0000"/>
      </w:tblPr>
      <w:tblGrid>
        <w:gridCol w:w="1568"/>
        <w:gridCol w:w="1251"/>
        <w:gridCol w:w="1021"/>
        <w:gridCol w:w="1223"/>
        <w:gridCol w:w="1151"/>
        <w:gridCol w:w="1538"/>
        <w:gridCol w:w="1151"/>
        <w:gridCol w:w="1240"/>
        <w:gridCol w:w="1047"/>
        <w:gridCol w:w="978"/>
        <w:gridCol w:w="1485"/>
      </w:tblGrid>
      <w:tr w:rsidR="00CA3C1B" w:rsidTr="0094470E">
        <w:trPr>
          <w:trHeight w:val="534"/>
        </w:trPr>
        <w:tc>
          <w:tcPr>
            <w:tcW w:w="1568"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旗县（市区）</w:t>
            </w:r>
          </w:p>
        </w:tc>
        <w:tc>
          <w:tcPr>
            <w:tcW w:w="1251"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合计</w:t>
            </w:r>
          </w:p>
        </w:tc>
        <w:tc>
          <w:tcPr>
            <w:tcW w:w="1021"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商服用地</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工矿仓储用地</w:t>
            </w:r>
          </w:p>
        </w:tc>
        <w:tc>
          <w:tcPr>
            <w:tcW w:w="3840" w:type="dxa"/>
            <w:gridSpan w:val="3"/>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住房用地</w:t>
            </w:r>
          </w:p>
        </w:tc>
        <w:tc>
          <w:tcPr>
            <w:tcW w:w="1240"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公共管理与服务用地</w:t>
            </w:r>
          </w:p>
        </w:tc>
        <w:tc>
          <w:tcPr>
            <w:tcW w:w="1047"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交通运输用地</w:t>
            </w:r>
          </w:p>
        </w:tc>
        <w:tc>
          <w:tcPr>
            <w:tcW w:w="978"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水域及水利设施用地</w:t>
            </w:r>
          </w:p>
        </w:tc>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特殊用地</w:t>
            </w:r>
          </w:p>
        </w:tc>
      </w:tr>
      <w:tr w:rsidR="00CA3C1B" w:rsidTr="0094470E">
        <w:trPr>
          <w:trHeight w:val="739"/>
        </w:trPr>
        <w:tc>
          <w:tcPr>
            <w:tcW w:w="1568"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spacing w:line="360" w:lineRule="auto"/>
              <w:rPr>
                <w:rFonts w:ascii="仿宋_GB2312" w:eastAsia="仿宋_GB2312" w:hAnsi="仿宋_GB2312" w:cs="仿宋_GB2312" w:hint="eastAsia"/>
                <w:bCs/>
                <w:sz w:val="24"/>
                <w:szCs w:val="24"/>
              </w:rPr>
            </w:pPr>
          </w:p>
        </w:tc>
        <w:tc>
          <w:tcPr>
            <w:tcW w:w="1251"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textAlignment w:val="auto"/>
              <w:rPr>
                <w:rFonts w:ascii="仿宋_GB2312" w:eastAsia="仿宋_GB2312" w:hAnsi="仿宋_GB2312" w:cs="仿宋_GB2312" w:hint="eastAsia"/>
                <w:bCs/>
                <w:sz w:val="24"/>
                <w:szCs w:val="24"/>
              </w:rPr>
            </w:pPr>
          </w:p>
        </w:tc>
        <w:tc>
          <w:tcPr>
            <w:tcW w:w="1021"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spacing w:line="360" w:lineRule="auto"/>
              <w:rPr>
                <w:rFonts w:ascii="仿宋_GB2312" w:eastAsia="仿宋_GB2312" w:hAnsi="仿宋_GB2312" w:cs="仿宋_GB2312" w:hint="eastAsia"/>
                <w:bCs/>
                <w:sz w:val="24"/>
                <w:szCs w:val="24"/>
              </w:rPr>
            </w:pPr>
          </w:p>
        </w:tc>
        <w:tc>
          <w:tcPr>
            <w:tcW w:w="1223"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spacing w:line="360" w:lineRule="auto"/>
              <w:rPr>
                <w:rFonts w:ascii="仿宋_GB2312" w:eastAsia="仿宋_GB2312" w:hAnsi="仿宋_GB2312" w:cs="仿宋_GB2312" w:hint="eastAsia"/>
                <w:bCs/>
                <w:sz w:val="24"/>
                <w:szCs w:val="24"/>
              </w:rPr>
            </w:pPr>
          </w:p>
        </w:tc>
        <w:tc>
          <w:tcPr>
            <w:tcW w:w="1151"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小计</w:t>
            </w:r>
          </w:p>
        </w:tc>
        <w:tc>
          <w:tcPr>
            <w:tcW w:w="153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保障性安居工程用地</w:t>
            </w:r>
          </w:p>
        </w:tc>
        <w:tc>
          <w:tcPr>
            <w:tcW w:w="1151"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商品住房用地</w:t>
            </w:r>
          </w:p>
        </w:tc>
        <w:tc>
          <w:tcPr>
            <w:tcW w:w="1240"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sz w:val="24"/>
                <w:szCs w:val="24"/>
              </w:rPr>
            </w:pPr>
          </w:p>
        </w:tc>
        <w:tc>
          <w:tcPr>
            <w:tcW w:w="1047"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sz w:val="24"/>
                <w:szCs w:val="24"/>
              </w:rPr>
            </w:pPr>
          </w:p>
        </w:tc>
        <w:tc>
          <w:tcPr>
            <w:tcW w:w="978"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sz w:val="24"/>
                <w:szCs w:val="24"/>
              </w:rPr>
            </w:pPr>
          </w:p>
        </w:tc>
        <w:tc>
          <w:tcPr>
            <w:tcW w:w="1485"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sz w:val="24"/>
                <w:szCs w:val="24"/>
              </w:rPr>
            </w:pPr>
          </w:p>
        </w:tc>
      </w:tr>
      <w:tr w:rsidR="00CA3C1B" w:rsidTr="0094470E">
        <w:trPr>
          <w:trHeight w:val="1104"/>
        </w:trPr>
        <w:tc>
          <w:tcPr>
            <w:tcW w:w="156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达拉特旗</w:t>
            </w:r>
          </w:p>
        </w:tc>
        <w:tc>
          <w:tcPr>
            <w:tcW w:w="1251"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t xml:space="preserve">488.7808 </w:t>
            </w:r>
          </w:p>
        </w:tc>
        <w:tc>
          <w:tcPr>
            <w:tcW w:w="1021"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t>17.2687</w:t>
            </w:r>
          </w:p>
        </w:tc>
        <w:tc>
          <w:tcPr>
            <w:tcW w:w="122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t>308.2797</w:t>
            </w:r>
          </w:p>
        </w:tc>
        <w:tc>
          <w:tcPr>
            <w:tcW w:w="1151"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t>23.5127</w:t>
            </w:r>
          </w:p>
        </w:tc>
        <w:tc>
          <w:tcPr>
            <w:tcW w:w="153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19.0339</w:t>
            </w:r>
          </w:p>
        </w:tc>
        <w:tc>
          <w:tcPr>
            <w:tcW w:w="1151"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4.4788</w:t>
            </w:r>
          </w:p>
        </w:tc>
        <w:tc>
          <w:tcPr>
            <w:tcW w:w="124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t>40.7598</w:t>
            </w:r>
          </w:p>
        </w:tc>
        <w:tc>
          <w:tcPr>
            <w:tcW w:w="104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t>96.1116</w:t>
            </w:r>
          </w:p>
        </w:tc>
        <w:tc>
          <w:tcPr>
            <w:tcW w:w="97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0</w:t>
            </w:r>
          </w:p>
        </w:tc>
        <w:tc>
          <w:tcPr>
            <w:tcW w:w="148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t>2.8483</w:t>
            </w:r>
          </w:p>
        </w:tc>
      </w:tr>
    </w:tbl>
    <w:p w:rsidR="00CA3C1B" w:rsidRDefault="00CA3C1B" w:rsidP="00CA3C1B">
      <w:pPr>
        <w:spacing w:line="360" w:lineRule="auto"/>
        <w:rPr>
          <w:rFonts w:ascii="仿宋_GB2312" w:eastAsia="仿宋_GB2312" w:hAnsi="仿宋_GB2312" w:cs="仿宋_GB2312" w:hint="eastAsia"/>
          <w:sz w:val="21"/>
          <w:szCs w:val="21"/>
        </w:rPr>
      </w:pPr>
    </w:p>
    <w:p w:rsidR="00CA3C1B" w:rsidRDefault="00CA3C1B" w:rsidP="00CA3C1B">
      <w:pPr>
        <w:spacing w:line="360" w:lineRule="auto"/>
        <w:rPr>
          <w:rFonts w:ascii="黑体" w:eastAsia="黑体" w:hAnsi="黑体" w:cs="黑体" w:hint="eastAsia"/>
          <w:color w:val="000000"/>
          <w:sz w:val="36"/>
        </w:rPr>
        <w:sectPr w:rsidR="00CA3C1B">
          <w:footerReference w:type="even" r:id="rId12"/>
          <w:footerReference w:type="default" r:id="rId13"/>
          <w:footnotePr>
            <w:numFmt w:val="decimalHalfWidth"/>
          </w:footnotePr>
          <w:endnotePr>
            <w:numFmt w:val="chineseCounting"/>
          </w:endnotePr>
          <w:pgSz w:w="16837" w:h="11905" w:orient="landscape"/>
          <w:pgMar w:top="2098" w:right="1474" w:bottom="1984" w:left="1587" w:header="566" w:footer="1134" w:gutter="0"/>
          <w:pgNumType w:fmt="numberInDash"/>
          <w:cols w:space="720"/>
        </w:sectPr>
      </w:pPr>
      <w:r>
        <w:rPr>
          <w:rFonts w:ascii="仿宋_GB2312" w:eastAsia="仿宋_GB2312" w:hAnsi="仿宋_GB2312" w:cs="仿宋_GB2312" w:hint="eastAsia"/>
          <w:sz w:val="21"/>
          <w:szCs w:val="21"/>
        </w:rPr>
        <w:t>注：保障性安居工程用地=保障性住房用地中的"廉租房"和"经济适用房" + 各类棚户区改造用地的"总量" + 公共租赁房中的"划拨"和"出让" + "限价商品房"。</w:t>
      </w:r>
    </w:p>
    <w:p w:rsidR="00CA3C1B" w:rsidRDefault="00CA3C1B" w:rsidP="00CA3C1B">
      <w:pPr>
        <w:spacing w:line="360" w:lineRule="auto"/>
        <w:ind w:left="0"/>
        <w:rPr>
          <w:rFonts w:ascii="黑体" w:eastAsia="黑体" w:hAnsi="黑体" w:cs="黑体" w:hint="eastAsia"/>
          <w:color w:val="000000"/>
          <w:sz w:val="32"/>
          <w:szCs w:val="32"/>
        </w:rPr>
      </w:pPr>
      <w:r>
        <w:rPr>
          <w:rFonts w:ascii="黑体" w:eastAsia="黑体" w:hAnsi="黑体" w:cs="黑体" w:hint="eastAsia"/>
          <w:color w:val="000000"/>
          <w:sz w:val="32"/>
          <w:szCs w:val="32"/>
        </w:rPr>
        <w:lastRenderedPageBreak/>
        <w:t>附件3</w:t>
      </w:r>
    </w:p>
    <w:p w:rsidR="00CA3C1B" w:rsidRDefault="00CA3C1B" w:rsidP="00CA3C1B">
      <w:pPr>
        <w:spacing w:line="360" w:lineRule="auto"/>
        <w:ind w:left="0"/>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2023年达拉特旗住房供应计划汇总表</w:t>
      </w:r>
    </w:p>
    <w:p w:rsidR="00CA3C1B" w:rsidRDefault="00CA3C1B" w:rsidP="00CA3C1B">
      <w:pPr>
        <w:spacing w:line="360" w:lineRule="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责任人：王峰                                                                                  单位：公顷、%</w:t>
      </w:r>
    </w:p>
    <w:tbl>
      <w:tblPr>
        <w:tblW w:w="13325" w:type="dxa"/>
        <w:tblInd w:w="-93" w:type="dxa"/>
        <w:tblLayout w:type="fixed"/>
        <w:tblCellMar>
          <w:left w:w="15" w:type="dxa"/>
          <w:right w:w="15" w:type="dxa"/>
        </w:tblCellMar>
        <w:tblLook w:val="0000"/>
      </w:tblPr>
      <w:tblGrid>
        <w:gridCol w:w="1081"/>
        <w:gridCol w:w="1018"/>
        <w:gridCol w:w="888"/>
        <w:gridCol w:w="1005"/>
        <w:gridCol w:w="507"/>
        <w:gridCol w:w="676"/>
        <w:gridCol w:w="924"/>
        <w:gridCol w:w="576"/>
        <w:gridCol w:w="800"/>
        <w:gridCol w:w="1100"/>
        <w:gridCol w:w="512"/>
        <w:gridCol w:w="737"/>
        <w:gridCol w:w="713"/>
        <w:gridCol w:w="887"/>
        <w:gridCol w:w="988"/>
        <w:gridCol w:w="913"/>
      </w:tblGrid>
      <w:tr w:rsidR="00CA3C1B" w:rsidTr="0094470E">
        <w:trPr>
          <w:trHeight w:val="450"/>
        </w:trPr>
        <w:tc>
          <w:tcPr>
            <w:tcW w:w="1081"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旗县（市区）</w:t>
            </w:r>
          </w:p>
        </w:tc>
        <w:tc>
          <w:tcPr>
            <w:tcW w:w="2911" w:type="dxa"/>
            <w:gridSpan w:val="3"/>
            <w:vMerge w:val="restart"/>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供地总量</w:t>
            </w:r>
          </w:p>
        </w:tc>
        <w:tc>
          <w:tcPr>
            <w:tcW w:w="6545" w:type="dxa"/>
            <w:gridSpan w:val="9"/>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保障性安居工程用地</w:t>
            </w:r>
          </w:p>
        </w:tc>
        <w:tc>
          <w:tcPr>
            <w:tcW w:w="1875" w:type="dxa"/>
            <w:gridSpan w:val="2"/>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商品住房用地</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保障性安居工程和中小套型商品房用地占比(%)</w:t>
            </w:r>
          </w:p>
        </w:tc>
      </w:tr>
      <w:tr w:rsidR="00CA3C1B" w:rsidTr="0094470E">
        <w:trPr>
          <w:trHeight w:val="717"/>
        </w:trPr>
        <w:tc>
          <w:tcPr>
            <w:tcW w:w="1081"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spacing w:line="360" w:lineRule="auto"/>
              <w:rPr>
                <w:rFonts w:ascii="仿宋_GB2312" w:eastAsia="仿宋_GB2312" w:hAnsi="仿宋_GB2312" w:cs="仿宋_GB2312" w:hint="eastAsia"/>
                <w:bCs/>
                <w:sz w:val="24"/>
                <w:szCs w:val="24"/>
              </w:rPr>
            </w:pPr>
          </w:p>
        </w:tc>
        <w:tc>
          <w:tcPr>
            <w:tcW w:w="2911" w:type="dxa"/>
            <w:gridSpan w:val="3"/>
            <w:vMerge/>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textAlignment w:val="auto"/>
              <w:rPr>
                <w:rFonts w:ascii="仿宋_GB2312" w:eastAsia="仿宋_GB2312" w:hAnsi="仿宋_GB2312" w:cs="仿宋_GB2312" w:hint="eastAsia"/>
                <w:bCs/>
                <w:sz w:val="24"/>
                <w:szCs w:val="24"/>
              </w:rPr>
            </w:pPr>
          </w:p>
        </w:tc>
        <w:tc>
          <w:tcPr>
            <w:tcW w:w="1183" w:type="dxa"/>
            <w:gridSpan w:val="2"/>
            <w:tcBorders>
              <w:top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保障性住房用地</w:t>
            </w:r>
          </w:p>
        </w:tc>
        <w:tc>
          <w:tcPr>
            <w:tcW w:w="3400" w:type="dxa"/>
            <w:gridSpan w:val="4"/>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各类棚户区改造用地</w:t>
            </w:r>
          </w:p>
        </w:tc>
        <w:tc>
          <w:tcPr>
            <w:tcW w:w="1249" w:type="dxa"/>
            <w:gridSpan w:val="2"/>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公共租赁房</w:t>
            </w:r>
          </w:p>
        </w:tc>
        <w:tc>
          <w:tcPr>
            <w:tcW w:w="713"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限价商品房</w:t>
            </w:r>
          </w:p>
        </w:tc>
        <w:tc>
          <w:tcPr>
            <w:tcW w:w="887" w:type="dxa"/>
            <w:vMerge w:val="restart"/>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p>
        </w:tc>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中小套商品住房</w:t>
            </w:r>
          </w:p>
        </w:tc>
        <w:tc>
          <w:tcPr>
            <w:tcW w:w="913"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sz w:val="24"/>
                <w:szCs w:val="24"/>
              </w:rPr>
            </w:pPr>
          </w:p>
        </w:tc>
      </w:tr>
      <w:tr w:rsidR="00CA3C1B" w:rsidTr="0094470E">
        <w:trPr>
          <w:trHeight w:val="525"/>
        </w:trPr>
        <w:tc>
          <w:tcPr>
            <w:tcW w:w="1081" w:type="dxa"/>
            <w:vMerge/>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spacing w:line="360" w:lineRule="auto"/>
              <w:rPr>
                <w:rFonts w:ascii="仿宋_GB2312" w:eastAsia="仿宋_GB2312" w:hAnsi="仿宋_GB2312" w:cs="仿宋_GB2312" w:hint="eastAsia"/>
                <w:bCs/>
                <w:sz w:val="24"/>
                <w:szCs w:val="24"/>
              </w:rPr>
            </w:pPr>
          </w:p>
        </w:tc>
        <w:tc>
          <w:tcPr>
            <w:tcW w:w="1018" w:type="dxa"/>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合计</w:t>
            </w:r>
          </w:p>
        </w:tc>
        <w:tc>
          <w:tcPr>
            <w:tcW w:w="888" w:type="dxa"/>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存量</w:t>
            </w:r>
          </w:p>
        </w:tc>
        <w:tc>
          <w:tcPr>
            <w:tcW w:w="1005" w:type="dxa"/>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增量</w:t>
            </w:r>
          </w:p>
        </w:tc>
        <w:tc>
          <w:tcPr>
            <w:tcW w:w="507" w:type="dxa"/>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廉租房</w:t>
            </w:r>
          </w:p>
        </w:tc>
        <w:tc>
          <w:tcPr>
            <w:tcW w:w="676" w:type="dxa"/>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经济适用房</w:t>
            </w:r>
          </w:p>
        </w:tc>
        <w:tc>
          <w:tcPr>
            <w:tcW w:w="924" w:type="dxa"/>
            <w:tcBorders>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p>
        </w:tc>
        <w:tc>
          <w:tcPr>
            <w:tcW w:w="576" w:type="dxa"/>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廉租房</w:t>
            </w:r>
          </w:p>
        </w:tc>
        <w:tc>
          <w:tcPr>
            <w:tcW w:w="800" w:type="dxa"/>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经济适用房</w:t>
            </w:r>
          </w:p>
        </w:tc>
        <w:tc>
          <w:tcPr>
            <w:tcW w:w="1100" w:type="dxa"/>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中小套商品住房</w:t>
            </w:r>
          </w:p>
        </w:tc>
        <w:tc>
          <w:tcPr>
            <w:tcW w:w="512" w:type="dxa"/>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划拨</w:t>
            </w:r>
          </w:p>
        </w:tc>
        <w:tc>
          <w:tcPr>
            <w:tcW w:w="737" w:type="dxa"/>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出让</w:t>
            </w:r>
          </w:p>
        </w:tc>
        <w:tc>
          <w:tcPr>
            <w:tcW w:w="713" w:type="dxa"/>
            <w:vMerge/>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sz w:val="24"/>
                <w:szCs w:val="24"/>
              </w:rPr>
            </w:pPr>
          </w:p>
        </w:tc>
        <w:tc>
          <w:tcPr>
            <w:tcW w:w="887" w:type="dxa"/>
            <w:vMerge/>
            <w:tcBorders>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sz w:val="24"/>
                <w:szCs w:val="24"/>
              </w:rPr>
            </w:pPr>
          </w:p>
        </w:tc>
        <w:tc>
          <w:tcPr>
            <w:tcW w:w="988" w:type="dxa"/>
            <w:vMerge/>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sz w:val="24"/>
                <w:szCs w:val="24"/>
              </w:rPr>
            </w:pPr>
          </w:p>
        </w:tc>
        <w:tc>
          <w:tcPr>
            <w:tcW w:w="913" w:type="dxa"/>
            <w:vMerge/>
            <w:tcBorders>
              <w:top w:val="single" w:sz="4" w:space="0" w:color="000000"/>
              <w:left w:val="single" w:sz="4" w:space="0" w:color="000000"/>
              <w:bottom w:val="single" w:sz="4" w:space="0" w:color="auto"/>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sz w:val="24"/>
                <w:szCs w:val="24"/>
              </w:rPr>
            </w:pPr>
          </w:p>
        </w:tc>
      </w:tr>
      <w:tr w:rsidR="00CA3C1B" w:rsidTr="0094470E">
        <w:trPr>
          <w:trHeight w:val="1312"/>
        </w:trPr>
        <w:tc>
          <w:tcPr>
            <w:tcW w:w="1081"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达拉特旗</w:t>
            </w:r>
          </w:p>
        </w:tc>
        <w:tc>
          <w:tcPr>
            <w:tcW w:w="1018"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t>23.5127</w:t>
            </w:r>
          </w:p>
        </w:tc>
        <w:tc>
          <w:tcPr>
            <w:tcW w:w="888"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bCs/>
                <w:color w:val="000000"/>
                <w:sz w:val="24"/>
                <w:szCs w:val="24"/>
              </w:rPr>
              <w:t>23.5127</w:t>
            </w:r>
          </w:p>
        </w:tc>
        <w:tc>
          <w:tcPr>
            <w:tcW w:w="1005"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0</w:t>
            </w:r>
          </w:p>
        </w:tc>
        <w:tc>
          <w:tcPr>
            <w:tcW w:w="507"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0</w:t>
            </w:r>
          </w:p>
        </w:tc>
        <w:tc>
          <w:tcPr>
            <w:tcW w:w="676"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0</w:t>
            </w:r>
          </w:p>
        </w:tc>
        <w:tc>
          <w:tcPr>
            <w:tcW w:w="924"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19.0339</w:t>
            </w:r>
          </w:p>
        </w:tc>
        <w:tc>
          <w:tcPr>
            <w:tcW w:w="576"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0</w:t>
            </w:r>
          </w:p>
        </w:tc>
        <w:tc>
          <w:tcPr>
            <w:tcW w:w="800"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0</w:t>
            </w:r>
          </w:p>
        </w:tc>
        <w:tc>
          <w:tcPr>
            <w:tcW w:w="1100"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FF0000"/>
                <w:sz w:val="24"/>
                <w:szCs w:val="24"/>
              </w:rPr>
            </w:pPr>
            <w:r>
              <w:rPr>
                <w:rFonts w:ascii="仿宋_GB2312" w:eastAsia="仿宋_GB2312" w:hAnsi="仿宋_GB2312" w:cs="仿宋_GB2312" w:hint="eastAsia"/>
                <w:bCs/>
                <w:color w:val="000000"/>
                <w:sz w:val="24"/>
                <w:szCs w:val="24"/>
              </w:rPr>
              <w:t>7.6136</w:t>
            </w:r>
          </w:p>
        </w:tc>
        <w:tc>
          <w:tcPr>
            <w:tcW w:w="512"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0</w:t>
            </w:r>
          </w:p>
        </w:tc>
        <w:tc>
          <w:tcPr>
            <w:tcW w:w="737"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bCs/>
                <w:color w:val="000000"/>
                <w:sz w:val="24"/>
                <w:szCs w:val="24"/>
              </w:rPr>
            </w:pPr>
            <w:r>
              <w:rPr>
                <w:rFonts w:ascii="仿宋_GB2312" w:eastAsia="仿宋_GB2312" w:hAnsi="仿宋_GB2312" w:cs="仿宋_GB2312" w:hint="eastAsia"/>
                <w:bCs/>
                <w:color w:val="000000"/>
                <w:sz w:val="24"/>
                <w:szCs w:val="24"/>
              </w:rPr>
              <w:t>0</w:t>
            </w:r>
          </w:p>
        </w:tc>
        <w:tc>
          <w:tcPr>
            <w:tcW w:w="887"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4.4788</w:t>
            </w:r>
          </w:p>
        </w:tc>
        <w:tc>
          <w:tcPr>
            <w:tcW w:w="988"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000000"/>
                <w:sz w:val="24"/>
                <w:szCs w:val="24"/>
              </w:rPr>
            </w:pPr>
            <w:r>
              <w:rPr>
                <w:rFonts w:ascii="仿宋_GB2312" w:eastAsia="仿宋_GB2312" w:hAnsi="仿宋_GB2312" w:cs="仿宋_GB2312" w:hint="eastAsia"/>
                <w:bCs/>
                <w:color w:val="000000"/>
                <w:sz w:val="24"/>
                <w:szCs w:val="24"/>
              </w:rPr>
              <w:t>1.7915</w:t>
            </w:r>
          </w:p>
        </w:tc>
        <w:tc>
          <w:tcPr>
            <w:tcW w:w="913" w:type="dxa"/>
            <w:tcBorders>
              <w:top w:val="single" w:sz="4" w:space="0" w:color="auto"/>
              <w:left w:val="single" w:sz="4" w:space="0" w:color="auto"/>
              <w:bottom w:val="single" w:sz="4" w:space="0" w:color="auto"/>
              <w:right w:val="single" w:sz="4" w:space="0" w:color="auto"/>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bCs/>
                <w:color w:val="FF0000"/>
                <w:sz w:val="24"/>
                <w:szCs w:val="24"/>
              </w:rPr>
            </w:pPr>
            <w:r>
              <w:rPr>
                <w:rFonts w:ascii="仿宋_GB2312" w:eastAsia="仿宋_GB2312" w:hAnsi="仿宋_GB2312" w:cs="仿宋_GB2312" w:hint="eastAsia"/>
                <w:bCs/>
                <w:sz w:val="24"/>
                <w:szCs w:val="24"/>
              </w:rPr>
              <w:t>88</w:t>
            </w:r>
          </w:p>
        </w:tc>
      </w:tr>
    </w:tbl>
    <w:p w:rsidR="00CA3C1B" w:rsidRDefault="00CA3C1B" w:rsidP="00CA3C1B">
      <w:pPr>
        <w:spacing w:line="360" w:lineRule="auto"/>
        <w:ind w:left="0"/>
        <w:rPr>
          <w:rFonts w:ascii="黑体" w:eastAsia="黑体" w:hAnsi="黑体" w:cs="黑体" w:hint="eastAsia"/>
          <w:color w:val="000000"/>
          <w:sz w:val="32"/>
          <w:szCs w:val="32"/>
        </w:rPr>
      </w:pPr>
    </w:p>
    <w:p w:rsidR="00CA3C1B" w:rsidRDefault="00CA3C1B" w:rsidP="00CA3C1B">
      <w:pPr>
        <w:spacing w:line="360" w:lineRule="auto"/>
        <w:ind w:left="0"/>
        <w:rPr>
          <w:rFonts w:ascii="黑体" w:eastAsia="黑体" w:hAnsi="黑体" w:cs="黑体" w:hint="eastAsia"/>
          <w:color w:val="000000"/>
          <w:sz w:val="32"/>
          <w:szCs w:val="32"/>
        </w:rPr>
      </w:pPr>
    </w:p>
    <w:p w:rsidR="00CA3C1B" w:rsidRDefault="00CA3C1B" w:rsidP="00CA3C1B">
      <w:pPr>
        <w:pStyle w:val="a0"/>
        <w:rPr>
          <w:rFonts w:hint="eastAsia"/>
        </w:rPr>
      </w:pPr>
    </w:p>
    <w:p w:rsidR="00CA3C1B" w:rsidRDefault="00CA3C1B" w:rsidP="00CA3C1B">
      <w:pPr>
        <w:spacing w:line="360" w:lineRule="auto"/>
        <w:ind w:left="0"/>
        <w:rPr>
          <w:rFonts w:ascii="黑体" w:eastAsia="黑体" w:hAnsi="黑体" w:cs="黑体" w:hint="eastAsia"/>
          <w:color w:val="000000"/>
          <w:sz w:val="36"/>
        </w:rPr>
      </w:pPr>
      <w:r>
        <w:rPr>
          <w:rFonts w:ascii="黑体" w:eastAsia="黑体" w:hAnsi="黑体" w:cs="黑体" w:hint="eastAsia"/>
          <w:color w:val="000000"/>
          <w:sz w:val="32"/>
          <w:szCs w:val="32"/>
        </w:rPr>
        <w:t xml:space="preserve">附件4 </w:t>
      </w:r>
      <w:r>
        <w:rPr>
          <w:rFonts w:ascii="黑体" w:eastAsia="黑体" w:hAnsi="黑体" w:cs="黑体" w:hint="eastAsia"/>
          <w:color w:val="000000"/>
          <w:sz w:val="36"/>
        </w:rPr>
        <w:t xml:space="preserve">   </w:t>
      </w:r>
    </w:p>
    <w:p w:rsidR="00CA3C1B" w:rsidRDefault="00CA3C1B" w:rsidP="00CA3C1B">
      <w:pPr>
        <w:spacing w:line="360" w:lineRule="auto"/>
        <w:ind w:left="0"/>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2023年达拉特旗保障性安居工程项目用地计划统计表</w:t>
      </w:r>
    </w:p>
    <w:tbl>
      <w:tblPr>
        <w:tblpPr w:leftFromText="180" w:rightFromText="180" w:vertAnchor="text" w:horzAnchor="page" w:tblpX="1347" w:tblpY="672"/>
        <w:tblOverlap w:val="never"/>
        <w:tblW w:w="13570" w:type="dxa"/>
        <w:tblLayout w:type="fixed"/>
        <w:tblCellMar>
          <w:left w:w="15" w:type="dxa"/>
          <w:right w:w="15" w:type="dxa"/>
        </w:tblCellMar>
        <w:tblLook w:val="0000"/>
      </w:tblPr>
      <w:tblGrid>
        <w:gridCol w:w="995"/>
        <w:gridCol w:w="433"/>
        <w:gridCol w:w="579"/>
        <w:gridCol w:w="847"/>
        <w:gridCol w:w="653"/>
        <w:gridCol w:w="925"/>
        <w:gridCol w:w="700"/>
        <w:gridCol w:w="475"/>
        <w:gridCol w:w="600"/>
        <w:gridCol w:w="900"/>
        <w:gridCol w:w="937"/>
        <w:gridCol w:w="388"/>
        <w:gridCol w:w="613"/>
        <w:gridCol w:w="550"/>
        <w:gridCol w:w="687"/>
        <w:gridCol w:w="588"/>
        <w:gridCol w:w="625"/>
        <w:gridCol w:w="737"/>
        <w:gridCol w:w="488"/>
        <w:gridCol w:w="850"/>
      </w:tblGrid>
      <w:tr w:rsidR="00CA3C1B" w:rsidTr="0094470E">
        <w:trPr>
          <w:trHeight w:val="284"/>
        </w:trPr>
        <w:tc>
          <w:tcPr>
            <w:tcW w:w="995"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盟市  旗县（市区）</w:t>
            </w:r>
          </w:p>
        </w:tc>
        <w:tc>
          <w:tcPr>
            <w:tcW w:w="2512" w:type="dxa"/>
            <w:gridSpan w:val="4"/>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保障性住房用地</w:t>
            </w:r>
          </w:p>
        </w:tc>
        <w:tc>
          <w:tcPr>
            <w:tcW w:w="6775" w:type="dxa"/>
            <w:gridSpan w:val="10"/>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各类棚户区改造用地</w:t>
            </w:r>
          </w:p>
        </w:tc>
        <w:tc>
          <w:tcPr>
            <w:tcW w:w="1950" w:type="dxa"/>
            <w:gridSpan w:val="3"/>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公共租赁房</w:t>
            </w:r>
          </w:p>
        </w:tc>
        <w:tc>
          <w:tcPr>
            <w:tcW w:w="1338" w:type="dxa"/>
            <w:gridSpan w:val="2"/>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限价商品房</w:t>
            </w:r>
          </w:p>
        </w:tc>
      </w:tr>
      <w:tr w:rsidR="00CA3C1B" w:rsidTr="0094470E">
        <w:trPr>
          <w:trHeight w:val="599"/>
        </w:trPr>
        <w:tc>
          <w:tcPr>
            <w:tcW w:w="995"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spacing w:line="360" w:lineRule="auto"/>
              <w:rPr>
                <w:rFonts w:ascii="仿宋_GB2312" w:eastAsia="仿宋_GB2312" w:hAnsi="仿宋_GB2312" w:cs="仿宋_GB2312" w:hint="eastAsia"/>
                <w:sz w:val="24"/>
                <w:szCs w:val="24"/>
              </w:rPr>
            </w:pPr>
          </w:p>
        </w:tc>
        <w:tc>
          <w:tcPr>
            <w:tcW w:w="1012" w:type="dxa"/>
            <w:gridSpan w:val="2"/>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廉租住房</w:t>
            </w:r>
          </w:p>
        </w:tc>
        <w:tc>
          <w:tcPr>
            <w:tcW w:w="1500" w:type="dxa"/>
            <w:gridSpan w:val="2"/>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经济适用住房</w:t>
            </w:r>
          </w:p>
        </w:tc>
        <w:tc>
          <w:tcPr>
            <w:tcW w:w="1625" w:type="dxa"/>
            <w:gridSpan w:val="2"/>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城市棚户区</w:t>
            </w:r>
          </w:p>
        </w:tc>
        <w:tc>
          <w:tcPr>
            <w:tcW w:w="1075" w:type="dxa"/>
            <w:gridSpan w:val="2"/>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工矿棚户区</w:t>
            </w:r>
          </w:p>
        </w:tc>
        <w:tc>
          <w:tcPr>
            <w:tcW w:w="1837" w:type="dxa"/>
            <w:gridSpan w:val="2"/>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林区棚户区</w:t>
            </w:r>
          </w:p>
        </w:tc>
        <w:tc>
          <w:tcPr>
            <w:tcW w:w="1001" w:type="dxa"/>
            <w:gridSpan w:val="2"/>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垦区危房</w:t>
            </w:r>
          </w:p>
        </w:tc>
        <w:tc>
          <w:tcPr>
            <w:tcW w:w="1237" w:type="dxa"/>
            <w:gridSpan w:val="2"/>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煤矿棚户区</w:t>
            </w:r>
          </w:p>
        </w:tc>
        <w:tc>
          <w:tcPr>
            <w:tcW w:w="588" w:type="dxa"/>
            <w:vMerge w:val="restart"/>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1362" w:type="dxa"/>
            <w:gridSpan w:val="2"/>
            <w:tcBorders>
              <w:top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1338" w:type="dxa"/>
            <w:gridSpan w:val="2"/>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限价商品房</w:t>
            </w:r>
          </w:p>
        </w:tc>
      </w:tr>
      <w:tr w:rsidR="00CA3C1B" w:rsidTr="0094470E">
        <w:trPr>
          <w:trHeight w:val="568"/>
        </w:trPr>
        <w:tc>
          <w:tcPr>
            <w:tcW w:w="995"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spacing w:line="360" w:lineRule="auto"/>
              <w:rPr>
                <w:rFonts w:ascii="仿宋_GB2312" w:eastAsia="仿宋_GB2312" w:hAnsi="仿宋_GB2312" w:cs="仿宋_GB2312" w:hint="eastAsia"/>
                <w:sz w:val="24"/>
                <w:szCs w:val="24"/>
              </w:rPr>
            </w:pPr>
          </w:p>
        </w:tc>
        <w:tc>
          <w:tcPr>
            <w:tcW w:w="433" w:type="dxa"/>
            <w:tcBorders>
              <w:left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579"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其中：</w:t>
            </w:r>
          </w:p>
        </w:tc>
        <w:tc>
          <w:tcPr>
            <w:tcW w:w="847" w:type="dxa"/>
            <w:tcBorders>
              <w:left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653"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其中：</w:t>
            </w:r>
          </w:p>
        </w:tc>
        <w:tc>
          <w:tcPr>
            <w:tcW w:w="925" w:type="dxa"/>
            <w:tcBorders>
              <w:left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700"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其中：</w:t>
            </w:r>
          </w:p>
        </w:tc>
        <w:tc>
          <w:tcPr>
            <w:tcW w:w="475" w:type="dxa"/>
            <w:tcBorders>
              <w:left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600"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其中：</w:t>
            </w:r>
          </w:p>
        </w:tc>
        <w:tc>
          <w:tcPr>
            <w:tcW w:w="900" w:type="dxa"/>
            <w:tcBorders>
              <w:left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937"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其中：</w:t>
            </w:r>
          </w:p>
        </w:tc>
        <w:tc>
          <w:tcPr>
            <w:tcW w:w="388" w:type="dxa"/>
            <w:tcBorders>
              <w:left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613"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其中：</w:t>
            </w:r>
          </w:p>
        </w:tc>
        <w:tc>
          <w:tcPr>
            <w:tcW w:w="550" w:type="dxa"/>
            <w:tcBorders>
              <w:left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687"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其中：</w:t>
            </w:r>
          </w:p>
        </w:tc>
        <w:tc>
          <w:tcPr>
            <w:tcW w:w="588"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spacing w:line="360" w:lineRule="auto"/>
              <w:rPr>
                <w:rFonts w:ascii="仿宋_GB2312" w:eastAsia="仿宋_GB2312" w:hAnsi="仿宋_GB2312" w:cs="仿宋_GB2312" w:hint="eastAsia"/>
                <w:sz w:val="24"/>
                <w:szCs w:val="24"/>
              </w:rPr>
            </w:pPr>
          </w:p>
        </w:tc>
        <w:tc>
          <w:tcPr>
            <w:tcW w:w="625"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其中：</w:t>
            </w:r>
          </w:p>
        </w:tc>
        <w:tc>
          <w:tcPr>
            <w:tcW w:w="737"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其中：</w:t>
            </w:r>
          </w:p>
        </w:tc>
        <w:tc>
          <w:tcPr>
            <w:tcW w:w="488" w:type="dxa"/>
            <w:tcBorders>
              <w:left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850"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其中：</w:t>
            </w:r>
          </w:p>
        </w:tc>
      </w:tr>
      <w:tr w:rsidR="00CA3C1B" w:rsidTr="0094470E">
        <w:trPr>
          <w:trHeight w:val="348"/>
        </w:trPr>
        <w:tc>
          <w:tcPr>
            <w:tcW w:w="995"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spacing w:line="360" w:lineRule="auto"/>
              <w:rPr>
                <w:rFonts w:ascii="仿宋_GB2312" w:eastAsia="仿宋_GB2312" w:hAnsi="仿宋_GB2312" w:cs="仿宋_GB2312" w:hint="eastAsia"/>
                <w:sz w:val="24"/>
                <w:szCs w:val="24"/>
              </w:rPr>
            </w:pPr>
          </w:p>
        </w:tc>
        <w:tc>
          <w:tcPr>
            <w:tcW w:w="433" w:type="dxa"/>
            <w:tcBorders>
              <w:left w:val="single" w:sz="4" w:space="0" w:color="000000"/>
              <w:bottom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579"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新增</w:t>
            </w:r>
          </w:p>
        </w:tc>
        <w:tc>
          <w:tcPr>
            <w:tcW w:w="847" w:type="dxa"/>
            <w:tcBorders>
              <w:left w:val="single" w:sz="4" w:space="0" w:color="000000"/>
              <w:bottom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653"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新增</w:t>
            </w:r>
          </w:p>
        </w:tc>
        <w:tc>
          <w:tcPr>
            <w:tcW w:w="925" w:type="dxa"/>
            <w:tcBorders>
              <w:left w:val="single" w:sz="4" w:space="0" w:color="000000"/>
              <w:bottom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700"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新增</w:t>
            </w:r>
          </w:p>
        </w:tc>
        <w:tc>
          <w:tcPr>
            <w:tcW w:w="475" w:type="dxa"/>
            <w:tcBorders>
              <w:left w:val="single" w:sz="4" w:space="0" w:color="000000"/>
              <w:bottom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600"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新增</w:t>
            </w:r>
          </w:p>
        </w:tc>
        <w:tc>
          <w:tcPr>
            <w:tcW w:w="900" w:type="dxa"/>
            <w:tcBorders>
              <w:left w:val="single" w:sz="4" w:space="0" w:color="000000"/>
              <w:bottom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937"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新增</w:t>
            </w:r>
          </w:p>
        </w:tc>
        <w:tc>
          <w:tcPr>
            <w:tcW w:w="388" w:type="dxa"/>
            <w:tcBorders>
              <w:left w:val="single" w:sz="4" w:space="0" w:color="000000"/>
              <w:bottom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613"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新增</w:t>
            </w:r>
          </w:p>
        </w:tc>
        <w:tc>
          <w:tcPr>
            <w:tcW w:w="550" w:type="dxa"/>
            <w:tcBorders>
              <w:left w:val="single" w:sz="4" w:space="0" w:color="000000"/>
              <w:bottom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687"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新增</w:t>
            </w:r>
          </w:p>
        </w:tc>
        <w:tc>
          <w:tcPr>
            <w:tcW w:w="588" w:type="dxa"/>
            <w:vMerge/>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spacing w:line="360" w:lineRule="auto"/>
              <w:rPr>
                <w:rFonts w:ascii="仿宋_GB2312" w:eastAsia="仿宋_GB2312" w:hAnsi="仿宋_GB2312" w:cs="仿宋_GB2312" w:hint="eastAsia"/>
                <w:sz w:val="24"/>
                <w:szCs w:val="24"/>
              </w:rPr>
            </w:pPr>
          </w:p>
        </w:tc>
        <w:tc>
          <w:tcPr>
            <w:tcW w:w="625"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新增</w:t>
            </w:r>
          </w:p>
        </w:tc>
        <w:tc>
          <w:tcPr>
            <w:tcW w:w="737"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划拨</w:t>
            </w:r>
          </w:p>
        </w:tc>
        <w:tc>
          <w:tcPr>
            <w:tcW w:w="488" w:type="dxa"/>
            <w:tcBorders>
              <w:left w:val="single" w:sz="4" w:space="0" w:color="000000"/>
              <w:bottom w:val="single" w:sz="4" w:space="0" w:color="000000"/>
            </w:tcBorders>
            <w:vAlign w:val="center"/>
          </w:tcPr>
          <w:p w:rsidR="00CA3C1B" w:rsidRDefault="00CA3C1B" w:rsidP="0094470E">
            <w:pPr>
              <w:autoSpaceDN w:val="0"/>
              <w:spacing w:line="360" w:lineRule="auto"/>
              <w:jc w:val="left"/>
              <w:textAlignment w:val="center"/>
              <w:rPr>
                <w:rFonts w:ascii="仿宋_GB2312" w:eastAsia="仿宋_GB2312" w:hAnsi="仿宋_GB2312" w:cs="仿宋_GB2312" w:hint="eastAsia"/>
                <w:color w:val="000000"/>
                <w:sz w:val="24"/>
                <w:szCs w:val="24"/>
              </w:rPr>
            </w:pPr>
          </w:p>
        </w:tc>
        <w:tc>
          <w:tcPr>
            <w:tcW w:w="850" w:type="dxa"/>
            <w:tcBorders>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新增</w:t>
            </w:r>
          </w:p>
        </w:tc>
      </w:tr>
      <w:tr w:rsidR="00CA3C1B" w:rsidTr="0094470E">
        <w:trPr>
          <w:trHeight w:val="284"/>
        </w:trPr>
        <w:tc>
          <w:tcPr>
            <w:tcW w:w="99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w:t>
            </w:r>
          </w:p>
        </w:tc>
        <w:tc>
          <w:tcPr>
            <w:tcW w:w="579"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2</w:t>
            </w:r>
          </w:p>
        </w:tc>
        <w:tc>
          <w:tcPr>
            <w:tcW w:w="84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3</w:t>
            </w:r>
          </w:p>
        </w:tc>
        <w:tc>
          <w:tcPr>
            <w:tcW w:w="65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4</w:t>
            </w:r>
          </w:p>
        </w:tc>
        <w:tc>
          <w:tcPr>
            <w:tcW w:w="92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5</w:t>
            </w:r>
          </w:p>
        </w:tc>
        <w:tc>
          <w:tcPr>
            <w:tcW w:w="7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6</w:t>
            </w:r>
          </w:p>
        </w:tc>
        <w:tc>
          <w:tcPr>
            <w:tcW w:w="4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7</w:t>
            </w:r>
          </w:p>
        </w:tc>
        <w:tc>
          <w:tcPr>
            <w:tcW w:w="6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8</w:t>
            </w:r>
          </w:p>
        </w:tc>
        <w:tc>
          <w:tcPr>
            <w:tcW w:w="9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9</w:t>
            </w:r>
          </w:p>
        </w:tc>
        <w:tc>
          <w:tcPr>
            <w:tcW w:w="93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10</w:t>
            </w:r>
          </w:p>
        </w:tc>
        <w:tc>
          <w:tcPr>
            <w:tcW w:w="3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11</w:t>
            </w:r>
          </w:p>
        </w:tc>
        <w:tc>
          <w:tcPr>
            <w:tcW w:w="61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12</w:t>
            </w:r>
          </w:p>
        </w:tc>
        <w:tc>
          <w:tcPr>
            <w:tcW w:w="55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13</w:t>
            </w:r>
          </w:p>
        </w:tc>
        <w:tc>
          <w:tcPr>
            <w:tcW w:w="68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14</w:t>
            </w:r>
          </w:p>
        </w:tc>
        <w:tc>
          <w:tcPr>
            <w:tcW w:w="5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15</w:t>
            </w:r>
          </w:p>
        </w:tc>
        <w:tc>
          <w:tcPr>
            <w:tcW w:w="62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16</w:t>
            </w:r>
          </w:p>
        </w:tc>
        <w:tc>
          <w:tcPr>
            <w:tcW w:w="73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17</w:t>
            </w:r>
          </w:p>
        </w:tc>
        <w:tc>
          <w:tcPr>
            <w:tcW w:w="4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19</w:t>
            </w:r>
          </w:p>
        </w:tc>
      </w:tr>
      <w:tr w:rsidR="00CA3C1B" w:rsidTr="0094470E">
        <w:trPr>
          <w:trHeight w:val="560"/>
        </w:trPr>
        <w:tc>
          <w:tcPr>
            <w:tcW w:w="99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达拉特旗</w:t>
            </w:r>
          </w:p>
        </w:tc>
        <w:tc>
          <w:tcPr>
            <w:tcW w:w="43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579"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84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65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92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bCs/>
                <w:color w:val="000000"/>
                <w:sz w:val="24"/>
                <w:szCs w:val="24"/>
              </w:rPr>
              <w:t>19.0339</w:t>
            </w:r>
          </w:p>
        </w:tc>
        <w:tc>
          <w:tcPr>
            <w:tcW w:w="7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4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6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93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3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61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55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68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5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62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73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4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0</w:t>
            </w:r>
          </w:p>
        </w:tc>
      </w:tr>
      <w:tr w:rsidR="00CA3C1B" w:rsidTr="0094470E">
        <w:trPr>
          <w:trHeight w:val="284"/>
        </w:trPr>
        <w:tc>
          <w:tcPr>
            <w:tcW w:w="99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579"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5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r>
      <w:tr w:rsidR="00CA3C1B" w:rsidTr="0094470E">
        <w:trPr>
          <w:trHeight w:val="284"/>
        </w:trPr>
        <w:tc>
          <w:tcPr>
            <w:tcW w:w="99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43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579"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5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7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47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3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8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5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r>
      <w:tr w:rsidR="00CA3C1B" w:rsidTr="0094470E">
        <w:trPr>
          <w:trHeight w:val="560"/>
        </w:trPr>
        <w:tc>
          <w:tcPr>
            <w:tcW w:w="995"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lastRenderedPageBreak/>
              <w:t>盟市合计</w:t>
            </w:r>
          </w:p>
        </w:tc>
        <w:tc>
          <w:tcPr>
            <w:tcW w:w="433"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579"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847"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53"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925"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700"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475"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00"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900"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937"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388"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13"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550"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87"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588"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625"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737"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488"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c>
          <w:tcPr>
            <w:tcW w:w="850" w:type="dxa"/>
            <w:tcBorders>
              <w:top w:val="single" w:sz="4" w:space="0" w:color="000000"/>
              <w:left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p>
        </w:tc>
      </w:tr>
      <w:tr w:rsidR="00CA3C1B" w:rsidTr="0094470E">
        <w:trPr>
          <w:trHeight w:val="363"/>
        </w:trPr>
        <w:tc>
          <w:tcPr>
            <w:tcW w:w="5132" w:type="dxa"/>
            <w:gridSpan w:val="7"/>
            <w:tcBorders>
              <w:top w:val="single" w:sz="4" w:space="0" w:color="000000"/>
              <w:left w:val="single" w:sz="4" w:space="0" w:color="000000"/>
              <w:bottom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填表日期：2023-1-30</w:t>
            </w:r>
          </w:p>
        </w:tc>
        <w:tc>
          <w:tcPr>
            <w:tcW w:w="3913" w:type="dxa"/>
            <w:gridSpan w:val="6"/>
            <w:tcBorders>
              <w:top w:val="single" w:sz="4" w:space="0" w:color="000000"/>
              <w:bottom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责任人：王峰</w:t>
            </w:r>
          </w:p>
        </w:tc>
        <w:tc>
          <w:tcPr>
            <w:tcW w:w="4525" w:type="dxa"/>
            <w:gridSpan w:val="7"/>
            <w:tcBorders>
              <w:top w:val="single" w:sz="4" w:space="0" w:color="000000"/>
              <w:bottom w:val="single" w:sz="4" w:space="0" w:color="000000"/>
              <w:right w:val="single" w:sz="4" w:space="0" w:color="000000"/>
            </w:tcBorders>
            <w:vAlign w:val="center"/>
          </w:tcPr>
          <w:p w:rsidR="00CA3C1B" w:rsidRDefault="00CA3C1B" w:rsidP="0094470E">
            <w:pPr>
              <w:autoSpaceDN w:val="0"/>
              <w:spacing w:line="360" w:lineRule="auto"/>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联系方式：0477-5189687</w:t>
            </w:r>
          </w:p>
        </w:tc>
      </w:tr>
    </w:tbl>
    <w:p w:rsidR="00CA3C1B" w:rsidRDefault="00CA3C1B" w:rsidP="00CA3C1B">
      <w:pPr>
        <w:spacing w:line="360" w:lineRule="auto"/>
        <w:rPr>
          <w:rFonts w:ascii="黑体" w:eastAsia="黑体" w:hAnsi="黑体" w:cs="黑体" w:hint="eastAsia"/>
          <w:color w:val="000000"/>
          <w:sz w:val="36"/>
        </w:rPr>
      </w:pPr>
      <w:r>
        <w:rPr>
          <w:rFonts w:ascii="仿宋_GB2312" w:eastAsia="仿宋_GB2312" w:hAnsi="仿宋_GB2312" w:cs="仿宋_GB2312" w:hint="eastAsia"/>
          <w:sz w:val="24"/>
          <w:szCs w:val="24"/>
        </w:rPr>
        <w:t xml:space="preserve">                                                                                            单位：公顷</w:t>
      </w:r>
    </w:p>
    <w:p w:rsidR="00CA3C1B" w:rsidRDefault="00CA3C1B" w:rsidP="00CA3C1B">
      <w:pPr>
        <w:spacing w:line="360" w:lineRule="auto"/>
        <w:rPr>
          <w:rFonts w:ascii="黑体" w:eastAsia="黑体" w:hAnsi="黑体" w:cs="黑体" w:hint="eastAsia"/>
          <w:color w:val="000000"/>
          <w:sz w:val="36"/>
        </w:rPr>
        <w:sectPr w:rsidR="00CA3C1B">
          <w:footerReference w:type="even" r:id="rId14"/>
          <w:footerReference w:type="default" r:id="rId15"/>
          <w:footnotePr>
            <w:numFmt w:val="decimalHalfWidth"/>
          </w:footnotePr>
          <w:endnotePr>
            <w:numFmt w:val="chineseCounting"/>
          </w:endnotePr>
          <w:pgSz w:w="16837" w:h="11905" w:orient="landscape"/>
          <w:pgMar w:top="1587" w:right="2097" w:bottom="1474" w:left="1984" w:header="566" w:footer="1134" w:gutter="0"/>
          <w:pgNumType w:fmt="numberInDash"/>
          <w:cols w:space="720"/>
        </w:sectPr>
      </w:pPr>
    </w:p>
    <w:p w:rsidR="00CA3C1B" w:rsidRDefault="00CA3C1B" w:rsidP="00CA3C1B">
      <w:pPr>
        <w:rPr>
          <w:rFonts w:ascii="黑体" w:eastAsia="黑体" w:hAnsi="黑体" w:cs="黑体" w:hint="eastAsia"/>
          <w:sz w:val="36"/>
        </w:rPr>
      </w:pPr>
      <w:r>
        <w:rPr>
          <w:rFonts w:ascii="黑体" w:eastAsia="黑体" w:hAnsi="黑体" w:hint="eastAsia"/>
          <w:sz w:val="28"/>
          <w:szCs w:val="28"/>
        </w:rPr>
        <w:lastRenderedPageBreak/>
        <w:t xml:space="preserve"> </w:t>
      </w:r>
      <w:r>
        <w:rPr>
          <w:rFonts w:ascii="黑体" w:eastAsia="黑体" w:hAnsi="黑体" w:cs="黑体" w:hint="eastAsia"/>
          <w:sz w:val="32"/>
          <w:szCs w:val="32"/>
        </w:rPr>
        <w:t>附件5</w:t>
      </w:r>
    </w:p>
    <w:p w:rsidR="00CA3C1B" w:rsidRDefault="00CA3C1B" w:rsidP="00CA3C1B">
      <w:pPr>
        <w:spacing w:line="360" w:lineRule="auto"/>
        <w:jc w:val="center"/>
        <w:rPr>
          <w:rFonts w:ascii="方正小标宋简体" w:eastAsia="方正小标宋简体" w:hAnsi="方正小标宋简体" w:cs="方正小标宋简体" w:hint="eastAsia"/>
          <w:sz w:val="36"/>
        </w:rPr>
      </w:pPr>
      <w:r>
        <w:rPr>
          <w:rFonts w:ascii="方正小标宋简体" w:eastAsia="方正小标宋简体" w:hAnsi="方正小标宋简体" w:cs="方正小标宋简体" w:hint="eastAsia"/>
          <w:sz w:val="36"/>
        </w:rPr>
        <w:t>2023达拉特旗年度住宅用地供应计划表</w:t>
      </w:r>
    </w:p>
    <w:p w:rsidR="00CA3C1B" w:rsidRDefault="00CA3C1B" w:rsidP="00CA3C1B">
      <w:pPr>
        <w:ind w:firstLine="636"/>
        <w:jc w:val="right"/>
        <w:rPr>
          <w:rFonts w:ascii="仿宋_GB2312" w:eastAsia="仿宋_GB2312" w:hint="eastAsia"/>
          <w:sz w:val="24"/>
        </w:rPr>
      </w:pPr>
      <w:r>
        <w:rPr>
          <w:rFonts w:ascii="仿宋_GB2312" w:eastAsia="仿宋_GB2312" w:hint="eastAsia"/>
          <w:sz w:val="24"/>
        </w:rPr>
        <w:t>单位：公顷</w:t>
      </w:r>
    </w:p>
    <w:p w:rsidR="00CA3C1B" w:rsidRDefault="00CA3C1B" w:rsidP="00CA3C1B">
      <w:pPr>
        <w:rPr>
          <w:rFonts w:ascii="仿宋_GB2312" w:eastAsia="仿宋_GB2312" w:hint="eastAsia"/>
          <w:sz w:val="24"/>
        </w:rPr>
      </w:pPr>
    </w:p>
    <w:tbl>
      <w:tblPr>
        <w:tblW w:w="13891" w:type="dxa"/>
        <w:tblInd w:w="95" w:type="dxa"/>
        <w:tblLook w:val="0000"/>
      </w:tblPr>
      <w:tblGrid>
        <w:gridCol w:w="1455"/>
        <w:gridCol w:w="1455"/>
        <w:gridCol w:w="1455"/>
        <w:gridCol w:w="1455"/>
        <w:gridCol w:w="1455"/>
        <w:gridCol w:w="1558"/>
        <w:gridCol w:w="1440"/>
        <w:gridCol w:w="1367"/>
        <w:gridCol w:w="2251"/>
      </w:tblGrid>
      <w:tr w:rsidR="00CA3C1B" w:rsidTr="0094470E">
        <w:trPr>
          <w:trHeight w:val="375"/>
        </w:trPr>
        <w:tc>
          <w:tcPr>
            <w:tcW w:w="1455" w:type="dxa"/>
            <w:vMerge w:val="restart"/>
            <w:tcBorders>
              <w:top w:val="single" w:sz="4" w:space="0" w:color="auto"/>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市（县）</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总量</w:t>
            </w:r>
          </w:p>
        </w:tc>
        <w:tc>
          <w:tcPr>
            <w:tcW w:w="4365" w:type="dxa"/>
            <w:gridSpan w:val="3"/>
            <w:tcBorders>
              <w:top w:val="single" w:sz="4" w:space="0" w:color="auto"/>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产权住宅用地</w:t>
            </w:r>
          </w:p>
        </w:tc>
        <w:tc>
          <w:tcPr>
            <w:tcW w:w="4365" w:type="dxa"/>
            <w:gridSpan w:val="3"/>
            <w:tcBorders>
              <w:top w:val="single" w:sz="4" w:space="0" w:color="auto"/>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租赁住宅用地</w:t>
            </w:r>
          </w:p>
        </w:tc>
        <w:tc>
          <w:tcPr>
            <w:tcW w:w="2251" w:type="dxa"/>
            <w:vMerge w:val="restart"/>
            <w:tcBorders>
              <w:top w:val="single" w:sz="4" w:space="0" w:color="auto"/>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其他住宅用地</w:t>
            </w:r>
          </w:p>
        </w:tc>
      </w:tr>
      <w:tr w:rsidR="00CA3C1B" w:rsidTr="0094470E">
        <w:trPr>
          <w:trHeight w:val="365"/>
        </w:trPr>
        <w:tc>
          <w:tcPr>
            <w:tcW w:w="1455" w:type="dxa"/>
            <w:vMerge/>
            <w:tcBorders>
              <w:top w:val="single" w:sz="4" w:space="0" w:color="auto"/>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c>
          <w:tcPr>
            <w:tcW w:w="1455" w:type="dxa"/>
            <w:vMerge w:val="restart"/>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hint="eastAsia"/>
                <w:sz w:val="24"/>
              </w:rPr>
            </w:pPr>
            <w:r>
              <w:rPr>
                <w:rFonts w:ascii="仿宋_GB2312" w:eastAsia="仿宋_GB2312" w:hAnsi="宋体" w:cs="宋体" w:hint="eastAsia"/>
                <w:sz w:val="24"/>
              </w:rPr>
              <w:t>商品</w:t>
            </w:r>
          </w:p>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住宅用地</w:t>
            </w:r>
          </w:p>
        </w:tc>
        <w:tc>
          <w:tcPr>
            <w:tcW w:w="1455" w:type="dxa"/>
            <w:vMerge w:val="restart"/>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hint="eastAsia"/>
                <w:sz w:val="24"/>
              </w:rPr>
            </w:pPr>
            <w:r>
              <w:rPr>
                <w:rFonts w:ascii="仿宋_GB2312" w:eastAsia="仿宋_GB2312" w:hAnsi="宋体" w:cs="宋体" w:hint="eastAsia"/>
                <w:sz w:val="24"/>
              </w:rPr>
              <w:t>共有产权</w:t>
            </w:r>
          </w:p>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住宅用地</w:t>
            </w:r>
          </w:p>
        </w:tc>
        <w:tc>
          <w:tcPr>
            <w:tcW w:w="1455" w:type="dxa"/>
            <w:vMerge w:val="restart"/>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小计</w:t>
            </w:r>
          </w:p>
        </w:tc>
        <w:tc>
          <w:tcPr>
            <w:tcW w:w="1558" w:type="dxa"/>
            <w:vMerge w:val="restart"/>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保障性租赁住宅用地</w:t>
            </w:r>
          </w:p>
        </w:tc>
        <w:tc>
          <w:tcPr>
            <w:tcW w:w="1440" w:type="dxa"/>
            <w:vMerge w:val="restart"/>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市场化租赁住宅用地</w:t>
            </w:r>
          </w:p>
        </w:tc>
        <w:tc>
          <w:tcPr>
            <w:tcW w:w="1367" w:type="dxa"/>
            <w:vMerge w:val="restart"/>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小计</w:t>
            </w:r>
          </w:p>
        </w:tc>
        <w:tc>
          <w:tcPr>
            <w:tcW w:w="2251" w:type="dxa"/>
            <w:vMerge/>
            <w:tcBorders>
              <w:top w:val="single" w:sz="4" w:space="0" w:color="auto"/>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r>
      <w:tr w:rsidR="00CA3C1B" w:rsidTr="0094470E">
        <w:trPr>
          <w:trHeight w:val="365"/>
        </w:trPr>
        <w:tc>
          <w:tcPr>
            <w:tcW w:w="1455" w:type="dxa"/>
            <w:vMerge/>
            <w:tcBorders>
              <w:top w:val="single" w:sz="4" w:space="0" w:color="auto"/>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c>
          <w:tcPr>
            <w:tcW w:w="1455" w:type="dxa"/>
            <w:vMerge/>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c>
          <w:tcPr>
            <w:tcW w:w="1455" w:type="dxa"/>
            <w:vMerge/>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c>
          <w:tcPr>
            <w:tcW w:w="1455" w:type="dxa"/>
            <w:vMerge/>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c>
          <w:tcPr>
            <w:tcW w:w="1558" w:type="dxa"/>
            <w:vMerge/>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c>
          <w:tcPr>
            <w:tcW w:w="1440" w:type="dxa"/>
            <w:vMerge/>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c>
          <w:tcPr>
            <w:tcW w:w="1367" w:type="dxa"/>
            <w:vMerge/>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c>
          <w:tcPr>
            <w:tcW w:w="2251" w:type="dxa"/>
            <w:vMerge/>
            <w:tcBorders>
              <w:top w:val="single" w:sz="4" w:space="0" w:color="auto"/>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r>
      <w:tr w:rsidR="00CA3C1B" w:rsidTr="0094470E">
        <w:trPr>
          <w:trHeight w:val="361"/>
        </w:trPr>
        <w:tc>
          <w:tcPr>
            <w:tcW w:w="1455" w:type="dxa"/>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①</w:t>
            </w: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②</w:t>
            </w: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③</w:t>
            </w: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④</w:t>
            </w:r>
          </w:p>
        </w:tc>
        <w:tc>
          <w:tcPr>
            <w:tcW w:w="1558"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⑤</w:t>
            </w:r>
          </w:p>
        </w:tc>
        <w:tc>
          <w:tcPr>
            <w:tcW w:w="1440"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⑥</w:t>
            </w:r>
          </w:p>
        </w:tc>
        <w:tc>
          <w:tcPr>
            <w:tcW w:w="1367"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⑦</w:t>
            </w:r>
          </w:p>
        </w:tc>
        <w:tc>
          <w:tcPr>
            <w:tcW w:w="2251"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⑧</w:t>
            </w:r>
          </w:p>
        </w:tc>
      </w:tr>
      <w:tr w:rsidR="00CA3C1B" w:rsidTr="0094470E">
        <w:trPr>
          <w:trHeight w:val="361"/>
        </w:trPr>
        <w:tc>
          <w:tcPr>
            <w:tcW w:w="1455" w:type="dxa"/>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宋体" w:cs="宋体" w:hint="eastAsia"/>
                <w:sz w:val="24"/>
              </w:rPr>
              <w:t>合计</w:t>
            </w: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仿宋_GB2312" w:cs="仿宋_GB2312"/>
                <w:bCs/>
                <w:color w:val="000000"/>
                <w:sz w:val="24"/>
                <w:szCs w:val="24"/>
              </w:rPr>
              <w:t>23.5127</w:t>
            </w: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仿宋_GB2312" w:cs="仿宋_GB2312"/>
                <w:bCs/>
                <w:color w:val="000000"/>
                <w:sz w:val="24"/>
                <w:szCs w:val="24"/>
              </w:rPr>
              <w:t>23.5127</w:t>
            </w: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hint="eastAsia"/>
                <w:sz w:val="24"/>
              </w:rPr>
            </w:pPr>
            <w:r>
              <w:rPr>
                <w:rFonts w:ascii="仿宋_GB2312" w:eastAsia="仿宋_GB2312" w:hAnsi="宋体" w:cs="宋体" w:hint="eastAsia"/>
                <w:sz w:val="24"/>
              </w:rPr>
              <w:t>0</w:t>
            </w: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仿宋_GB2312" w:cs="仿宋_GB2312"/>
                <w:bCs/>
                <w:color w:val="000000"/>
                <w:sz w:val="24"/>
                <w:szCs w:val="24"/>
              </w:rPr>
              <w:t>23.5127</w:t>
            </w:r>
          </w:p>
        </w:tc>
        <w:tc>
          <w:tcPr>
            <w:tcW w:w="1558"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hint="eastAsia"/>
                <w:sz w:val="24"/>
              </w:rPr>
            </w:pPr>
            <w:r>
              <w:rPr>
                <w:rFonts w:ascii="仿宋_GB2312" w:eastAsia="仿宋_GB2312" w:hAnsi="宋体" w:cs="宋体" w:hint="eastAsia"/>
                <w:sz w:val="24"/>
              </w:rPr>
              <w:t>0</w:t>
            </w:r>
          </w:p>
        </w:tc>
        <w:tc>
          <w:tcPr>
            <w:tcW w:w="1440"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hint="eastAsia"/>
                <w:sz w:val="24"/>
              </w:rPr>
            </w:pPr>
            <w:r>
              <w:rPr>
                <w:rFonts w:ascii="仿宋_GB2312" w:eastAsia="仿宋_GB2312" w:hAnsi="宋体" w:cs="宋体" w:hint="eastAsia"/>
                <w:sz w:val="24"/>
              </w:rPr>
              <w:t>0</w:t>
            </w:r>
          </w:p>
        </w:tc>
        <w:tc>
          <w:tcPr>
            <w:tcW w:w="1367"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hint="eastAsia"/>
                <w:sz w:val="24"/>
              </w:rPr>
            </w:pPr>
            <w:r>
              <w:rPr>
                <w:rFonts w:ascii="仿宋_GB2312" w:eastAsia="仿宋_GB2312" w:hAnsi="宋体" w:cs="宋体" w:hint="eastAsia"/>
                <w:sz w:val="24"/>
              </w:rPr>
              <w:t>0</w:t>
            </w:r>
          </w:p>
        </w:tc>
        <w:tc>
          <w:tcPr>
            <w:tcW w:w="2251"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rPr>
            </w:pPr>
            <w:r>
              <w:rPr>
                <w:rFonts w:ascii="仿宋_GB2312" w:eastAsia="仿宋_GB2312" w:hAnsi="仿宋_GB2312" w:cs="仿宋_GB2312" w:hint="eastAsia"/>
                <w:bCs/>
                <w:color w:val="000000"/>
                <w:sz w:val="24"/>
                <w:szCs w:val="24"/>
              </w:rPr>
              <w:t>0</w:t>
            </w:r>
          </w:p>
        </w:tc>
      </w:tr>
      <w:tr w:rsidR="00CA3C1B" w:rsidTr="0094470E">
        <w:trPr>
          <w:trHeight w:val="708"/>
        </w:trPr>
        <w:tc>
          <w:tcPr>
            <w:tcW w:w="1455" w:type="dxa"/>
            <w:tcBorders>
              <w:top w:val="nil"/>
              <w:left w:val="single" w:sz="4" w:space="0" w:color="auto"/>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hint="eastAsia"/>
                <w:sz w:val="24"/>
              </w:rPr>
            </w:pPr>
            <w:r>
              <w:rPr>
                <w:rFonts w:ascii="仿宋_GB2312" w:eastAsia="仿宋_GB2312" w:hAnsi="宋体" w:cs="宋体" w:hint="eastAsia"/>
                <w:sz w:val="24"/>
              </w:rPr>
              <w:t>达拉特旗</w:t>
            </w: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szCs w:val="24"/>
              </w:rPr>
            </w:pPr>
            <w:r>
              <w:rPr>
                <w:rFonts w:ascii="仿宋_GB2312" w:eastAsia="仿宋_GB2312" w:hAnsi="仿宋_GB2312" w:cs="仿宋_GB2312"/>
                <w:bCs/>
                <w:color w:val="000000"/>
                <w:sz w:val="24"/>
                <w:szCs w:val="24"/>
              </w:rPr>
              <w:t>23.5127</w:t>
            </w: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szCs w:val="24"/>
              </w:rPr>
            </w:pPr>
            <w:r>
              <w:rPr>
                <w:rFonts w:ascii="仿宋_GB2312" w:eastAsia="仿宋_GB2312" w:hAnsi="仿宋_GB2312" w:cs="仿宋_GB2312"/>
                <w:bCs/>
                <w:color w:val="000000"/>
                <w:sz w:val="24"/>
                <w:szCs w:val="24"/>
              </w:rPr>
              <w:t>23.5127</w:t>
            </w: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hint="eastAsia"/>
                <w:sz w:val="24"/>
                <w:szCs w:val="24"/>
              </w:rPr>
            </w:pPr>
            <w:r>
              <w:rPr>
                <w:rFonts w:ascii="仿宋_GB2312" w:eastAsia="仿宋_GB2312" w:hAnsi="宋体" w:cs="宋体" w:hint="eastAsia"/>
                <w:sz w:val="24"/>
              </w:rPr>
              <w:t>0</w:t>
            </w:r>
          </w:p>
        </w:tc>
        <w:tc>
          <w:tcPr>
            <w:tcW w:w="1455"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szCs w:val="24"/>
              </w:rPr>
            </w:pPr>
            <w:r>
              <w:rPr>
                <w:rFonts w:ascii="仿宋_GB2312" w:eastAsia="仿宋_GB2312" w:hAnsi="仿宋_GB2312" w:cs="仿宋_GB2312"/>
                <w:bCs/>
                <w:color w:val="000000"/>
                <w:sz w:val="24"/>
                <w:szCs w:val="24"/>
              </w:rPr>
              <w:t>23.5127</w:t>
            </w:r>
          </w:p>
        </w:tc>
        <w:tc>
          <w:tcPr>
            <w:tcW w:w="1558"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hint="eastAsia"/>
                <w:sz w:val="24"/>
                <w:szCs w:val="24"/>
              </w:rPr>
            </w:pPr>
            <w:r>
              <w:rPr>
                <w:rFonts w:ascii="仿宋_GB2312" w:eastAsia="仿宋_GB2312" w:hAnsi="宋体" w:cs="宋体" w:hint="eastAsia"/>
                <w:sz w:val="24"/>
              </w:rPr>
              <w:t>0</w:t>
            </w:r>
          </w:p>
        </w:tc>
        <w:tc>
          <w:tcPr>
            <w:tcW w:w="1440"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hint="eastAsia"/>
                <w:sz w:val="24"/>
                <w:szCs w:val="24"/>
              </w:rPr>
            </w:pPr>
            <w:r>
              <w:rPr>
                <w:rFonts w:ascii="仿宋_GB2312" w:eastAsia="仿宋_GB2312" w:hAnsi="宋体" w:cs="宋体" w:hint="eastAsia"/>
                <w:sz w:val="24"/>
              </w:rPr>
              <w:t>0</w:t>
            </w:r>
          </w:p>
        </w:tc>
        <w:tc>
          <w:tcPr>
            <w:tcW w:w="1367"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hint="eastAsia"/>
                <w:sz w:val="24"/>
                <w:szCs w:val="24"/>
              </w:rPr>
            </w:pPr>
            <w:r>
              <w:rPr>
                <w:rFonts w:ascii="仿宋_GB2312" w:eastAsia="仿宋_GB2312" w:hAnsi="宋体" w:cs="宋体" w:hint="eastAsia"/>
                <w:sz w:val="24"/>
              </w:rPr>
              <w:t>0</w:t>
            </w:r>
          </w:p>
        </w:tc>
        <w:tc>
          <w:tcPr>
            <w:tcW w:w="2251" w:type="dxa"/>
            <w:tcBorders>
              <w:top w:val="nil"/>
              <w:left w:val="nil"/>
              <w:bottom w:val="single" w:sz="4" w:space="0" w:color="auto"/>
              <w:right w:val="single" w:sz="4" w:space="0" w:color="auto"/>
            </w:tcBorders>
            <w:vAlign w:val="center"/>
          </w:tcPr>
          <w:p w:rsidR="00CA3C1B" w:rsidRDefault="00CA3C1B" w:rsidP="0094470E">
            <w:pPr>
              <w:widowControl/>
              <w:jc w:val="center"/>
              <w:rPr>
                <w:rFonts w:ascii="仿宋_GB2312" w:eastAsia="仿宋_GB2312" w:hAnsi="宋体" w:cs="宋体"/>
                <w:sz w:val="24"/>
                <w:szCs w:val="24"/>
              </w:rPr>
            </w:pPr>
            <w:r>
              <w:rPr>
                <w:rFonts w:ascii="仿宋_GB2312" w:eastAsia="仿宋_GB2312" w:hAnsi="仿宋_GB2312" w:cs="仿宋_GB2312" w:hint="eastAsia"/>
                <w:bCs/>
                <w:color w:val="000000"/>
                <w:sz w:val="24"/>
                <w:szCs w:val="24"/>
              </w:rPr>
              <w:t>0</w:t>
            </w:r>
          </w:p>
        </w:tc>
      </w:tr>
    </w:tbl>
    <w:p w:rsidR="00CA3C1B" w:rsidRDefault="00CA3C1B" w:rsidP="00CA3C1B">
      <w:pPr>
        <w:rPr>
          <w:rFonts w:ascii="仿宋_GB2312" w:eastAsia="仿宋_GB2312" w:hint="eastAsia"/>
          <w:sz w:val="21"/>
          <w:szCs w:val="21"/>
        </w:rPr>
      </w:pPr>
      <w:r>
        <w:rPr>
          <w:rFonts w:ascii="仿宋_GB2312" w:eastAsia="仿宋_GB2312" w:hint="eastAsia"/>
          <w:sz w:val="21"/>
          <w:szCs w:val="21"/>
        </w:rPr>
        <w:t>注： 1.本示范文本及样式表格，是对《国土资源部关于印发&lt;国有建设用地供应计划编制规范&gt;（试行）的通知》（国土资发〔2010〕117号）的补充，住宅用地的土地性质为国有建设用地。</w:t>
      </w:r>
    </w:p>
    <w:p w:rsidR="00CA3C1B" w:rsidRDefault="00CA3C1B" w:rsidP="00CA3C1B">
      <w:pPr>
        <w:ind w:firstLine="564"/>
        <w:rPr>
          <w:rFonts w:ascii="仿宋_GB2312" w:eastAsia="仿宋_GB2312" w:hint="eastAsia"/>
          <w:sz w:val="21"/>
          <w:szCs w:val="21"/>
        </w:rPr>
      </w:pPr>
      <w:r>
        <w:rPr>
          <w:rFonts w:ascii="仿宋_GB2312" w:eastAsia="仿宋_GB2312" w:hint="eastAsia"/>
          <w:sz w:val="21"/>
          <w:szCs w:val="21"/>
        </w:rPr>
        <w:t>2.住宅用地类型按照产权性质，划分为产权住宅用地、租赁住宅用地、其他住宅用地。其中，其他住宅用地是指无法归类到前两大类的住宅用地，如回迁安置房用地等。</w:t>
      </w:r>
    </w:p>
    <w:p w:rsidR="00CA3C1B" w:rsidRDefault="00CA3C1B" w:rsidP="00CA3C1B">
      <w:pPr>
        <w:ind w:firstLine="564"/>
        <w:rPr>
          <w:rFonts w:ascii="仿宋_GB2312" w:eastAsia="仿宋_GB2312" w:hint="eastAsia"/>
          <w:sz w:val="21"/>
          <w:szCs w:val="21"/>
        </w:rPr>
      </w:pPr>
      <w:r>
        <w:rPr>
          <w:rFonts w:ascii="仿宋_GB2312" w:eastAsia="仿宋_GB2312" w:hint="eastAsia"/>
          <w:sz w:val="21"/>
          <w:szCs w:val="21"/>
        </w:rPr>
        <w:t>3.租赁住宅用地分为保障性租赁住宅用地和市场化租赁住宅用地，其中保障性租赁住宅用地包括用于建设公租房等带有保障性质的租赁住宅用地，其余为市场化租赁住宅用地。在土地来源上，包括通过集中建设或者配建方式新增供应的土地，不含通过改建等方式盘活的存量土地。</w:t>
      </w:r>
    </w:p>
    <w:p w:rsidR="00CA3C1B" w:rsidRDefault="00CA3C1B" w:rsidP="00CA3C1B">
      <w:pPr>
        <w:ind w:firstLineChars="300" w:firstLine="630"/>
        <w:rPr>
          <w:rFonts w:ascii="仿宋_GB2312" w:eastAsia="仿宋_GB2312" w:hint="eastAsia"/>
          <w:sz w:val="21"/>
          <w:szCs w:val="21"/>
        </w:rPr>
        <w:sectPr w:rsidR="00CA3C1B">
          <w:pgSz w:w="16838" w:h="11906" w:orient="landscape"/>
          <w:pgMar w:top="2098" w:right="1474" w:bottom="1984" w:left="1587" w:header="851" w:footer="992" w:gutter="0"/>
          <w:pgNumType w:fmt="numberInDash"/>
          <w:cols w:space="720"/>
          <w:docGrid w:type="lines" w:linePitch="312"/>
        </w:sectPr>
      </w:pPr>
      <w:r>
        <w:rPr>
          <w:rFonts w:ascii="仿宋_GB2312" w:eastAsia="仿宋_GB2312" w:hint="eastAsia"/>
          <w:sz w:val="21"/>
          <w:szCs w:val="21"/>
        </w:rPr>
        <w:t>4.大城市供应的租赁住宅用地一般不低于住宅用地总面积的10%。即⑦=⑤+⑥，且⑦≥①*10%。</w:t>
      </w:r>
    </w:p>
    <w:p w:rsidR="00997300" w:rsidRPr="00CA3C1B" w:rsidRDefault="00997300"/>
    <w:sectPr w:rsidR="00997300" w:rsidRPr="00CA3C1B">
      <w:footerReference w:type="even" r:id="rId16"/>
      <w:footerReference w:type="default" r:id="rId17"/>
      <w:pgSz w:w="11906" w:h="16838"/>
      <w:pgMar w:top="2098" w:right="1474" w:bottom="1984" w:left="1587" w:header="851" w:footer="147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BC2" w:rsidRDefault="00820BC2" w:rsidP="00CA3C1B">
      <w:pPr>
        <w:spacing w:line="240" w:lineRule="auto"/>
      </w:pPr>
      <w:r>
        <w:separator/>
      </w:r>
    </w:p>
  </w:endnote>
  <w:endnote w:type="continuationSeparator" w:id="0">
    <w:p w:rsidR="00820BC2" w:rsidRDefault="00820BC2" w:rsidP="00CA3C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1B" w:rsidRDefault="00CA3C1B">
    <w:pPr>
      <w:spacing w:line="1" w:lineRule="atLeas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0BC2">
    <w:pPr>
      <w:pStyle w:val="a6"/>
      <w:tabs>
        <w:tab w:val="right" w:pos="7952"/>
      </w:tabs>
      <w:ind w:right="360" w:firstLine="360"/>
      <w:jc w:val="both"/>
      <w:rPr>
        <w:rFonts w:hint="eastAsia"/>
      </w:rPr>
    </w:pPr>
    <w:r>
      <w:rPr>
        <w:sz w:val="28"/>
      </w:rPr>
      <w:pict>
        <v:shapetype id="_x0000_t202" coordsize="21600,21600" o:spt="202" path="m,l,21600r21600,l21600,xe">
          <v:stroke joinstyle="miter"/>
          <v:path gradientshapeok="t" o:connecttype="rect"/>
        </v:shapetype>
        <v:shape id="_x0000_s1040"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820BC2">
                <w:pPr>
                  <w:pStyle w:val="a6"/>
                  <w:ind w:firstLineChars="100" w:firstLine="280"/>
                  <w:rPr>
                    <w:rStyle w:val="aa"/>
                    <w:rFonts w:ascii="仿宋_GB2312" w:eastAsia="仿宋_GB2312" w:hAnsi="仿宋_GB2312" w:cs="仿宋_GB2312" w:hint="eastAsia"/>
                    <w:sz w:val="28"/>
                    <w:szCs w:val="28"/>
                  </w:rPr>
                </w:pPr>
                <w:r>
                  <w:rPr>
                    <w:rStyle w:val="aa"/>
                    <w:rFonts w:ascii="仿宋_GB2312" w:eastAsia="仿宋_GB2312" w:hAnsi="仿宋_GB2312" w:cs="仿宋_GB2312" w:hint="eastAsia"/>
                    <w:sz w:val="28"/>
                    <w:szCs w:val="28"/>
                  </w:rPr>
                  <w:fldChar w:fldCharType="begin"/>
                </w:r>
                <w:r>
                  <w:rPr>
                    <w:rStyle w:val="aa"/>
                    <w:rFonts w:ascii="仿宋_GB2312" w:eastAsia="仿宋_GB2312" w:hAnsi="仿宋_GB2312" w:cs="仿宋_GB2312" w:hint="eastAsia"/>
                    <w:sz w:val="28"/>
                    <w:szCs w:val="28"/>
                  </w:rPr>
                  <w:instrText xml:space="preserve"> PAGE  \* MERGEFORMAT </w:instrText>
                </w:r>
                <w:r>
                  <w:rPr>
                    <w:rStyle w:val="aa"/>
                    <w:rFonts w:ascii="仿宋_GB2312" w:eastAsia="仿宋_GB2312" w:hAnsi="仿宋_GB2312" w:cs="仿宋_GB2312" w:hint="eastAsia"/>
                    <w:sz w:val="28"/>
                    <w:szCs w:val="28"/>
                  </w:rPr>
                  <w:fldChar w:fldCharType="separate"/>
                </w:r>
                <w:r w:rsidR="00CA3C1B">
                  <w:rPr>
                    <w:rStyle w:val="aa"/>
                    <w:rFonts w:ascii="仿宋_GB2312" w:eastAsia="仿宋_GB2312" w:hAnsi="仿宋_GB2312" w:cs="仿宋_GB2312"/>
                    <w:noProof/>
                    <w:sz w:val="28"/>
                    <w:szCs w:val="28"/>
                  </w:rPr>
                  <w:t>- 19 -</w:t>
                </w:r>
                <w:r>
                  <w:rPr>
                    <w:rStyle w:val="aa"/>
                    <w:rFonts w:ascii="仿宋_GB2312" w:eastAsia="仿宋_GB2312" w:hAnsi="仿宋_GB2312" w:cs="仿宋_GB2312" w:hint="eastAsia"/>
                    <w:sz w:val="28"/>
                    <w:szCs w:val="28"/>
                  </w:rPr>
                  <w:fldChar w:fldCharType="end"/>
                </w:r>
              </w:p>
            </w:txbxContent>
          </v:textbox>
          <w10:wrap anchorx="margin"/>
        </v:shape>
      </w:pict>
    </w:r>
    <w:r>
      <w:rPr>
        <w:rStyle w:val="aa"/>
      </w:rPr>
      <w:tab/>
    </w:r>
    <w:r>
      <w:rPr>
        <w:rStyle w:val="a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1B" w:rsidRDefault="00CA3C1B">
    <w:pPr>
      <w:spacing w:line="1" w:lineRule="atLeast"/>
    </w:pPr>
    <w:r>
      <w:pict>
        <v:shapetype id="_x0000_t202" coordsize="21600,21600" o:spt="202" path="m,l,21600r21600,l21600,xe">
          <v:stroke joinstyle="miter"/>
          <v:path gradientshapeok="t" o:connecttype="rect"/>
        </v:shapetype>
        <v:shape id="_x0000_s1029" type="#_x0000_t202" style="width:442.2pt;height:42.5pt;mso-wrap-distance-left:0;mso-wrap-distance-right:0;mso-position-horizontal-relative:char;mso-position-vertical-relative:line" filled="f" stroked="f">
          <v:fill o:detectmouseclick="t"/>
          <v:textbox inset="0,0,0,0">
            <w:txbxContent>
              <w:p w:rsidR="00CA3C1B" w:rsidRDefault="00CA3C1B">
                <w:pPr>
                  <w:spacing w:line="439" w:lineRule="atLeast"/>
                  <w:jc w:val="right"/>
                  <w:rPr>
                    <w:rFonts w:ascii="宋体" w:hAnsi="宋体" w:hint="eastAsia"/>
                    <w:sz w:val="28"/>
                  </w:rPr>
                </w:pPr>
              </w:p>
            </w:txbxContent>
          </v:textbox>
          <w10:wrap type="non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1B" w:rsidRDefault="00CA3C1B">
    <w:pPr>
      <w:spacing w:line="1" w:lineRule="atLeast"/>
      <w:ind w:left="0"/>
    </w:pPr>
    <w:r>
      <w:pict>
        <v:shapetype id="_x0000_t202" coordsize="21600,21600" o:spt="202" path="m,l,21600r21600,l21600,xe">
          <v:stroke joinstyle="miter"/>
          <v:path gradientshapeok="t" o:connecttype="rect"/>
        </v:shapetype>
        <v:shape id="Text Box 3" o:spid="_x0000_s1039" type="#_x0000_t202" style="position:absolute;left:0;text-align:left;margin-left:0;margin-top:-27.75pt;width:58.5pt;height:70.05pt;z-index:251669504;mso-position-horizontal-relative:margin" filled="f" stroked="f">
          <v:fill o:detectmouseclick="t"/>
          <v:textbox inset="0,0,0,0">
            <w:txbxContent>
              <w:p w:rsidR="00CA3C1B" w:rsidRDefault="00CA3C1B">
                <w:pPr>
                  <w:spacing w:line="439" w:lineRule="atLeas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1B" w:rsidRDefault="00CA3C1B">
    <w:pPr>
      <w:spacing w:line="1" w:lineRule="atLeast"/>
    </w:pPr>
    <w:r>
      <w:pict>
        <v:shapetype id="_x0000_t202" coordsize="21600,21600" o:spt="202" path="m,l,21600r21600,l21600,xe">
          <v:stroke joinstyle="miter"/>
          <v:path gradientshapeok="t" o:connecttype="rect"/>
        </v:shapetype>
        <v:shape id="文本框5" o:spid="_x0000_s1038" type="#_x0000_t202" style="position:absolute;left:0;text-align:left;margin-left:400.35pt;margin-top:6.65pt;width:51.6pt;height:34.35pt;z-index:251668480;mso-position-horizontal-relative:margin" filled="f" stroked="f">
          <v:fill o:detectmouseclick="t"/>
          <v:textbox inset="0,0,0,0">
            <w:txbxContent>
              <w:p w:rsidR="00CA3C1B" w:rsidRDefault="00CA3C1B">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- 13 -</w:t>
                </w:r>
                <w:r>
                  <w:rPr>
                    <w:rFonts w:ascii="仿宋_GB2312" w:eastAsia="仿宋_GB2312" w:hAnsi="仿宋_GB2312" w:cs="仿宋_GB2312" w:hint="eastAsia"/>
                    <w:sz w:val="28"/>
                    <w:szCs w:val="28"/>
                  </w:rPr>
                  <w:fldChar w:fldCharType="end"/>
                </w:r>
              </w:p>
            </w:txbxContent>
          </v:textbox>
          <w10:wrap anchorx="margin"/>
        </v:shape>
      </w:pict>
    </w:r>
    <w:r>
      <w:pict>
        <v:shape id="Text Box 5" o:spid="_x0000_s1025" type="#_x0000_t202" style="width:442.2pt;height:42.5pt;mso-position-horizontal-relative:char;mso-position-vertical-relative:line" filled="f" stroked="f">
          <v:textbox inset="0,0,0,0">
            <w:txbxContent>
              <w:p w:rsidR="00CA3C1B" w:rsidRDefault="00CA3C1B">
                <w:pPr>
                  <w:spacing w:line="439" w:lineRule="atLeast"/>
                  <w:jc w:val="right"/>
                  <w:rPr>
                    <w:rFonts w:ascii="宋体" w:hAnsi="宋体" w:hint="eastAsia"/>
                    <w:sz w:val="28"/>
                  </w:rPr>
                </w:pPr>
              </w:p>
            </w:txbxContent>
          </v:textbox>
          <w10:wrap type="none"/>
          <w10:anchorlock/>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1B" w:rsidRDefault="00CA3C1B">
    <w:pPr>
      <w:spacing w:line="1" w:lineRule="atLeast"/>
    </w:pPr>
    <w:r>
      <w:pict>
        <v:shapetype id="_x0000_t202" coordsize="21600,21600" o:spt="202" path="m,l,21600r21600,l21600,xe">
          <v:stroke joinstyle="miter"/>
          <v:path gradientshapeok="t" o:connecttype="rect"/>
        </v:shapetype>
        <v:shape id="文本框 13" o:spid="_x0000_s1035" type="#_x0000_t202" style="position:absolute;left:0;text-align:left;margin-left:0;margin-top:-24pt;width:42.05pt;height:42.25pt;z-index:251665408;mso-position-horizontal-relative:margin" filled="f" stroked="f" strokeweight="1.25pt">
          <v:fill o:detectmouseclick="t"/>
          <v:textbox inset="0,0,0,0">
            <w:txbxContent>
              <w:p w:rsidR="00CA3C1B" w:rsidRDefault="00CA3C1B">
                <w:pPr>
                  <w:pStyle w:val="a6"/>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- 14 -</w:t>
                </w:r>
                <w:r>
                  <w:rPr>
                    <w:rFonts w:ascii="仿宋_GB2312" w:eastAsia="仿宋_GB2312" w:hAnsi="仿宋_GB2312" w:cs="仿宋_GB2312" w:hint="eastAsia"/>
                    <w:sz w:val="28"/>
                    <w:szCs w:val="28"/>
                  </w:rPr>
                  <w:fldChar w:fldCharType="end"/>
                </w:r>
              </w:p>
            </w:txbxContent>
          </v:textbox>
          <w10:wrap anchorx="margin"/>
        </v:shape>
      </w:pict>
    </w:r>
    <w:r>
      <w:pict>
        <v:shape id="文本框 54" o:spid="_x0000_s1031" type="#_x0000_t202" style="position:absolute;left:0;text-align:left;margin-left:-33.75pt;margin-top:-15.65pt;width:6pt;height:7.55pt;flip:x;z-index:251661312" stroked="f">
          <v:fill angle="-90" type="gradient">
            <o:fill v:ext="view" type="gradientUnscaled"/>
          </v:fill>
          <v:textbox style="layout-flow:vertical-ideographic">
            <w:txbxContent>
              <w:p w:rsidR="00CA3C1B" w:rsidRDefault="00CA3C1B">
                <w:pPr>
                  <w:rPr>
                    <w:rFonts w:ascii="宋体" w:hAnsi="宋体" w:cs="宋体" w:hint="eastAsia"/>
                    <w:sz w:val="24"/>
                    <w:szCs w:val="24"/>
                  </w:rPr>
                </w:pPr>
              </w:p>
            </w:txbxContent>
          </v:textbox>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1B" w:rsidRDefault="00CA3C1B">
    <w:pPr>
      <w:spacing w:line="1" w:lineRule="atLeast"/>
    </w:pPr>
    <w:r>
      <w:pict>
        <v:shapetype id="_x0000_t202" coordsize="21600,21600" o:spt="202" path="m,l,21600r21600,l21600,xe">
          <v:stroke joinstyle="miter"/>
          <v:path gradientshapeok="t" o:connecttype="rect"/>
        </v:shapetype>
        <v:shape id="文本框 12" o:spid="_x0000_s1034" type="#_x0000_t202" style="position:absolute;left:0;text-align:left;margin-left:104pt;margin-top:0;width:2in;height:2in;z-index:251664384;mso-wrap-style:none;mso-position-horizontal:outside;mso-position-horizontal-relative:margin" filled="f" stroked="f" strokeweight="1.25pt">
          <v:fill o:detectmouseclick="t"/>
          <v:textbox style="mso-fit-shape-to-text:t" inset="0,0,0,0">
            <w:txbxContent>
              <w:p w:rsidR="00CA3C1B" w:rsidRDefault="00CA3C1B">
                <w:pPr>
                  <w:pStyle w:val="a6"/>
                </w:pPr>
                <w:fldSimple w:instr=" PAGE  \* MERGEFORMAT ">
                  <w:r>
                    <w:rPr>
                      <w:noProof/>
                    </w:rPr>
                    <w:t>- 14 -</w:t>
                  </w:r>
                </w:fldSimple>
              </w:p>
            </w:txbxContent>
          </v:textbox>
          <w10:wrap anchorx="margin"/>
        </v:shape>
      </w:pict>
    </w:r>
    <w:r>
      <w:pict>
        <v:shape id="_x0000_s1026" type="#_x0000_t202" style="width:57.85pt;height:45pt;mso-position-horizontal-relative:char;mso-position-vertical-relative:line" filled="f" stroked="f">
          <v:fill o:detectmouseclick="t"/>
          <v:textbox inset="0,0,0,0">
            <w:txbxContent>
              <w:p w:rsidR="00CA3C1B" w:rsidRDefault="00CA3C1B">
                <w:pPr>
                  <w:spacing w:line="439" w:lineRule="atLeast"/>
                  <w:jc w:val="right"/>
                  <w:rPr>
                    <w:rFonts w:ascii="宋体" w:hAnsi="宋体" w:hint="eastAsia"/>
                    <w:sz w:val="28"/>
                  </w:rPr>
                </w:pPr>
              </w:p>
            </w:txbxContent>
          </v:textbox>
          <w10:wrap type="none"/>
          <w10:anchorlock/>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1B" w:rsidRDefault="00CA3C1B">
    <w:pPr>
      <w:spacing w:line="1" w:lineRule="atLeast"/>
      <w:ind w:left="0"/>
    </w:pPr>
    <w:r>
      <w:pict>
        <v:shapetype id="_x0000_t202" coordsize="21600,21600" o:spt="202" path="m,l,21600r21600,l21600,xe">
          <v:stroke joinstyle="miter"/>
          <v:path gradientshapeok="t" o:connecttype="rect"/>
        </v:shapetype>
        <v:shape id="文本框 15" o:spid="_x0000_s1037" type="#_x0000_t202" style="position:absolute;left:0;text-align:left;margin-left:104pt;margin-top:0;width:2in;height:2in;z-index:251667456;mso-wrap-style:none;mso-position-horizontal:outside;mso-position-horizontal-relative:margin" filled="f" stroked="f" strokeweight="1.25pt">
          <v:fill o:detectmouseclick="t"/>
          <v:textbox style="mso-fit-shape-to-text:t" inset="0,0,0,0">
            <w:txbxContent>
              <w:p w:rsidR="00CA3C1B" w:rsidRDefault="00CA3C1B">
                <w:pPr>
                  <w:pStyle w:val="a6"/>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- 16 -</w:t>
                </w:r>
                <w:r>
                  <w:rPr>
                    <w:rFonts w:ascii="仿宋_GB2312" w:eastAsia="仿宋_GB2312" w:hAnsi="仿宋_GB2312" w:cs="仿宋_GB2312" w:hint="eastAsia"/>
                    <w:sz w:val="28"/>
                    <w:szCs w:val="28"/>
                  </w:rPr>
                  <w:fldChar w:fldCharType="end"/>
                </w:r>
              </w:p>
            </w:txbxContent>
          </v:textbox>
          <w10:wrap anchorx="margin"/>
        </v:shape>
      </w:pict>
    </w:r>
    <w:r>
      <w:pict>
        <v:shape id="文本框 56" o:spid="_x0000_s1032" type="#_x0000_t202" style="position:absolute;left:0;text-align:left;margin-left:-44.55pt;margin-top:-10.65pt;width:1in;height:1in;z-index:251662336" stroked="f">
          <v:fill angle="-90" type="gradient">
            <o:fill v:ext="view" type="gradientUnscaled"/>
          </v:fill>
          <v:textbox style="layout-flow:vertical-ideographic">
            <w:txbxContent>
              <w:p w:rsidR="00CA3C1B" w:rsidRDefault="00CA3C1B">
                <w:pPr>
                  <w:rPr>
                    <w:rFonts w:ascii="宋体" w:hAnsi="宋体" w:cs="宋体" w:hint="eastAsia"/>
                    <w:sz w:val="28"/>
                    <w:szCs w:val="28"/>
                  </w:rPr>
                </w:pP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1B" w:rsidRDefault="00CA3C1B">
    <w:pPr>
      <w:spacing w:line="1" w:lineRule="atLeast"/>
    </w:pPr>
    <w:r>
      <w:pict>
        <v:shapetype id="_x0000_t202" coordsize="21600,21600" o:spt="202" path="m,l,21600r21600,l21600,xe">
          <v:stroke joinstyle="miter"/>
          <v:path gradientshapeok="t" o:connecttype="rect"/>
        </v:shapetype>
        <v:shape id="文本框 14" o:spid="_x0000_s1036" type="#_x0000_t202" style="position:absolute;left:0;text-align:left;margin-left:590.9pt;margin-top:527.85pt;width:43.65pt;height:36.5pt;z-index:251666432;mso-position-horizontal-relative:margin;mso-position-vertical-relative:page" filled="f" stroked="f" strokeweight="1.25pt">
          <v:fill o:detectmouseclick="t"/>
          <v:textbox inset="0,0,0,0">
            <w:txbxContent>
              <w:p w:rsidR="00CA3C1B" w:rsidRDefault="00CA3C1B">
                <w:pPr>
                  <w:pStyle w:val="a6"/>
                  <w:spacing w:line="400" w:lineRule="exact"/>
                  <w:textAlignment w:val="bottom"/>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- 16 -</w:t>
                </w:r>
                <w:r>
                  <w:rPr>
                    <w:rFonts w:ascii="仿宋_GB2312" w:eastAsia="仿宋_GB2312" w:hAnsi="仿宋_GB2312" w:cs="仿宋_GB2312" w:hint="eastAsia"/>
                    <w:sz w:val="28"/>
                    <w:szCs w:val="28"/>
                  </w:rPr>
                  <w:fldChar w:fldCharType="end"/>
                </w:r>
              </w:p>
            </w:txbxContent>
          </v:textbox>
          <w10:wrap type="topAndBottom" anchorx="margin" anchory="page"/>
        </v:shape>
      </w:pict>
    </w:r>
    <w:r>
      <w:pict>
        <v:shape id="文本框 57" o:spid="_x0000_s1033" type="#_x0000_t202" style="position:absolute;left:0;text-align:left;margin-left:-51.35pt;margin-top:13.15pt;width:1in;height:1in;z-index:251663360" stroked="f">
          <v:fill angle="-90" type="gradient">
            <o:fill v:ext="view" type="gradientUnscaled"/>
          </v:fill>
          <v:textbox style="layout-flow:vertical-ideographic">
            <w:txbxContent>
              <w:p w:rsidR="00CA3C1B" w:rsidRDefault="00CA3C1B">
                <w:pPr>
                  <w:rPr>
                    <w:rFonts w:ascii="宋体" w:hAnsi="宋体" w:cs="宋体" w:hint="eastAsia"/>
                    <w:sz w:val="28"/>
                    <w:szCs w:val="28"/>
                  </w:rPr>
                </w:pPr>
              </w:p>
            </w:txbxContent>
          </v:textbox>
        </v:shape>
      </w:pict>
    </w:r>
    <w:r>
      <w:pict>
        <v:shape id="_x0000_s1027" type="#_x0000_t202" style="width:442.2pt;height:42.5pt;mso-position-horizontal-relative:char;mso-position-vertical-relative:line" filled="f" stroked="f">
          <v:textbox inset="0,0,0,0">
            <w:txbxContent>
              <w:p w:rsidR="00CA3C1B" w:rsidRDefault="00CA3C1B">
                <w:pPr>
                  <w:spacing w:line="439" w:lineRule="atLeast"/>
                  <w:jc w:val="right"/>
                  <w:rPr>
                    <w:rFonts w:ascii="宋体" w:hAnsi="宋体" w:hint="eastAsia"/>
                    <w:sz w:val="28"/>
                  </w:rPr>
                </w:pPr>
              </w:p>
            </w:txbxContent>
          </v:textbox>
          <w10:wrap type="none"/>
          <w10:anchorlock/>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0BC2">
    <w:pPr>
      <w:pStyle w:val="a6"/>
      <w:ind w:right="360" w:firstLine="360"/>
    </w:pPr>
    <w:r>
      <w:pict>
        <v:shapetype id="_x0000_t202" coordsize="21600,21600" o:spt="202" path="m,l,21600r21600,l21600,xe">
          <v:stroke joinstyle="miter"/>
          <v:path gradientshapeok="t" o:connecttype="rect"/>
        </v:shapetype>
        <v:shape id="文本框 20" o:spid="_x0000_s1041" type="#_x0000_t202" style="position:absolute;left:0;text-align:left;margin-left:-7.5pt;margin-top:0;width:63.55pt;height:28.75pt;z-index:251661312;mso-position-horizontal-relative:margin" filled="f" stroked="f" strokeweight="1.25pt">
          <v:fill o:detectmouseclick="t"/>
          <v:textbox inset="0,0,0,0">
            <w:txbxContent>
              <w:p w:rsidR="00000000" w:rsidRDefault="00820BC2">
                <w:pPr>
                  <w:pStyle w:val="a6"/>
                  <w:ind w:firstLineChars="100" w:firstLine="280"/>
                  <w:rPr>
                    <w:rStyle w:val="aa"/>
                  </w:rPr>
                </w:pPr>
                <w:r>
                  <w:rPr>
                    <w:rStyle w:val="aa"/>
                    <w:rFonts w:ascii="仿宋_GB2312" w:eastAsia="仿宋_GB2312" w:hAnsi="仿宋_GB2312" w:cs="仿宋_GB2312" w:hint="eastAsia"/>
                    <w:sz w:val="28"/>
                    <w:szCs w:val="28"/>
                  </w:rPr>
                  <w:fldChar w:fldCharType="begin"/>
                </w:r>
                <w:r>
                  <w:rPr>
                    <w:rStyle w:val="aa"/>
                    <w:rFonts w:ascii="仿宋_GB2312" w:eastAsia="仿宋_GB2312" w:hAnsi="仿宋_GB2312" w:cs="仿宋_GB2312" w:hint="eastAsia"/>
                    <w:sz w:val="28"/>
                    <w:szCs w:val="28"/>
                  </w:rPr>
                  <w:instrText xml:space="preserve">PAGE  </w:instrText>
                </w:r>
                <w:r>
                  <w:rPr>
                    <w:rStyle w:val="aa"/>
                    <w:rFonts w:ascii="仿宋_GB2312" w:eastAsia="仿宋_GB2312" w:hAnsi="仿宋_GB2312" w:cs="仿宋_GB2312" w:hint="eastAsia"/>
                    <w:sz w:val="28"/>
                    <w:szCs w:val="28"/>
                  </w:rPr>
                  <w:fldChar w:fldCharType="separate"/>
                </w:r>
                <w:r>
                  <w:rPr>
                    <w:rStyle w:val="aa"/>
                    <w:rFonts w:ascii="仿宋_GB2312" w:eastAsia="仿宋_GB2312" w:hAnsi="仿宋_GB2312" w:cs="仿宋_GB2312"/>
                    <w:noProof/>
                    <w:sz w:val="28"/>
                    <w:szCs w:val="28"/>
                  </w:rPr>
                  <w:t>- 18 -</w:t>
                </w:r>
                <w:r>
                  <w:rPr>
                    <w:rStyle w:val="aa"/>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BC2" w:rsidRDefault="00820BC2" w:rsidP="00CA3C1B">
      <w:pPr>
        <w:spacing w:line="240" w:lineRule="auto"/>
      </w:pPr>
      <w:r>
        <w:separator/>
      </w:r>
    </w:p>
  </w:footnote>
  <w:footnote w:type="continuationSeparator" w:id="0">
    <w:p w:rsidR="00820BC2" w:rsidRDefault="00820BC2" w:rsidP="00CA3C1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1B" w:rsidRDefault="00CA3C1B">
    <w:pPr>
      <w:spacing w:line="1" w:lineRule="atLeast"/>
    </w:pPr>
    <w:r>
      <w:pict>
        <v:shapetype id="_x0000_t202" coordsize="21600,21600" o:spt="202" path="m,l,21600r21600,l21600,xe">
          <v:stroke joinstyle="miter"/>
          <v:path gradientshapeok="t" o:connecttype="rect"/>
        </v:shapetype>
        <v:shape id="文本框 16" o:spid="_x0000_s1030" type="#_x0000_t202" style="position:absolute;left:0;text-align:left;margin-left:4.9pt;margin-top:26.95pt;width:44.4pt;height:43.35pt;z-index:251660288" stroked="f">
          <v:fill angle="-90" type="gradient">
            <o:fill v:ext="view" type="gradientUnscaled"/>
          </v:fill>
          <v:textbox style="layout-flow:vertical-ideographic">
            <w:txbxContent>
              <w:p w:rsidR="00CA3C1B" w:rsidRDefault="00CA3C1B">
                <w:pPr>
                  <w:ind w:left="0"/>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1B" w:rsidRDefault="00CA3C1B">
    <w:pPr>
      <w:spacing w:line="1" w:lineRule="atLeast"/>
    </w:pPr>
    <w:r>
      <w:pict>
        <v:shapetype id="_x0000_t202" coordsize="21600,21600" o:spt="202" path="m,l,21600r21600,l21600,xe">
          <v:stroke joinstyle="miter"/>
          <v:path gradientshapeok="t" o:connecttype="rect"/>
        </v:shapetype>
        <v:shape id="Text Box 2" o:spid="_x0000_s1028" type="#_x0000_t202" style="width:442.2pt;height:76.5pt;mso-wrap-distance-left:0;mso-wrap-distance-right:0;mso-position-horizontal-relative:char;mso-position-vertical-relative:line" filled="f" stroked="f">
          <v:textbox inset="0,0,0,0">
            <w:txbxContent>
              <w:p w:rsidR="00CA3C1B" w:rsidRDefault="00CA3C1B">
                <w:pPr>
                  <w:spacing w:line="334" w:lineRule="atLeast"/>
                  <w:rPr>
                    <w:rFonts w:hint="eastAsia"/>
                    <w:sz w:val="21"/>
                  </w:rPr>
                </w:pPr>
                <w:r>
                  <w:rPr>
                    <w:rFonts w:hint="eastAsia"/>
                    <w:sz w:val="21"/>
                  </w:rPr>
                  <w:t>`</w:t>
                </w:r>
              </w:p>
            </w:txbxContent>
          </v:textbox>
          <w10:wrap type="non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
  <w:rsids>
    <w:rsidRoot w:val="00CA3C1B"/>
    <w:rsid w:val="00156925"/>
    <w:rsid w:val="00303264"/>
    <w:rsid w:val="0033618D"/>
    <w:rsid w:val="008028DE"/>
    <w:rsid w:val="00820BC2"/>
    <w:rsid w:val="00997300"/>
    <w:rsid w:val="00CA3C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A3C1B"/>
    <w:pPr>
      <w:widowControl w:val="0"/>
      <w:spacing w:line="365" w:lineRule="atLeast"/>
      <w:ind w:left="1"/>
      <w:jc w:val="both"/>
      <w:textAlignment w:val="bottom"/>
    </w:pPr>
    <w:rPr>
      <w:rFonts w:ascii="Times New Roman" w:eastAsia="宋体" w:hAnsi="Times New Roman" w:cs="Times New Roman"/>
      <w:kern w:val="0"/>
      <w:sz w:val="20"/>
      <w:szCs w:val="20"/>
    </w:rPr>
  </w:style>
  <w:style w:type="paragraph" w:styleId="1">
    <w:name w:val="heading 1"/>
    <w:basedOn w:val="a"/>
    <w:next w:val="2"/>
    <w:link w:val="1Char"/>
    <w:qFormat/>
    <w:rsid w:val="00CA3C1B"/>
    <w:pPr>
      <w:spacing w:before="104" w:after="104" w:line="0" w:lineRule="atLeast"/>
      <w:jc w:val="center"/>
      <w:outlineLvl w:val="0"/>
    </w:pPr>
    <w:rPr>
      <w:rFonts w:ascii="Arial" w:eastAsia="黑体" w:hAnsi="Arial"/>
      <w:sz w:val="32"/>
    </w:rPr>
  </w:style>
  <w:style w:type="paragraph" w:styleId="2">
    <w:name w:val="heading 2"/>
    <w:basedOn w:val="a"/>
    <w:next w:val="3"/>
    <w:link w:val="2Char"/>
    <w:qFormat/>
    <w:rsid w:val="00CA3C1B"/>
    <w:pPr>
      <w:spacing w:line="0" w:lineRule="atLeast"/>
      <w:jc w:val="center"/>
      <w:outlineLvl w:val="1"/>
    </w:pPr>
    <w:rPr>
      <w:sz w:val="28"/>
    </w:rPr>
  </w:style>
  <w:style w:type="paragraph" w:styleId="3">
    <w:name w:val="heading 3"/>
    <w:basedOn w:val="a"/>
    <w:next w:val="a"/>
    <w:link w:val="3Char"/>
    <w:qFormat/>
    <w:rsid w:val="00CA3C1B"/>
    <w:pPr>
      <w:spacing w:before="104" w:after="104"/>
      <w:outlineLvl w:val="2"/>
    </w:pPr>
    <w:rPr>
      <w:rFonts w:eastAsia="黑体"/>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156925"/>
    <w:rPr>
      <w:b/>
      <w:bCs/>
    </w:rPr>
  </w:style>
  <w:style w:type="paragraph" w:styleId="a5">
    <w:name w:val="header"/>
    <w:basedOn w:val="a"/>
    <w:link w:val="Char"/>
    <w:unhideWhenUsed/>
    <w:qFormat/>
    <w:rsid w:val="00CA3C1B"/>
    <w:pPr>
      <w:pBdr>
        <w:bottom w:val="single" w:sz="6" w:space="1" w:color="auto"/>
      </w:pBdr>
      <w:tabs>
        <w:tab w:val="center" w:pos="4153"/>
        <w:tab w:val="right" w:pos="8306"/>
      </w:tabs>
      <w:snapToGrid w:val="0"/>
      <w:spacing w:line="240" w:lineRule="auto"/>
      <w:ind w:left="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1"/>
    <w:link w:val="a5"/>
    <w:uiPriority w:val="99"/>
    <w:semiHidden/>
    <w:rsid w:val="00CA3C1B"/>
    <w:rPr>
      <w:sz w:val="18"/>
      <w:szCs w:val="18"/>
    </w:rPr>
  </w:style>
  <w:style w:type="paragraph" w:styleId="a6">
    <w:name w:val="footer"/>
    <w:basedOn w:val="a"/>
    <w:link w:val="Char0"/>
    <w:unhideWhenUsed/>
    <w:rsid w:val="00CA3C1B"/>
    <w:pPr>
      <w:tabs>
        <w:tab w:val="center" w:pos="4153"/>
        <w:tab w:val="right" w:pos="8306"/>
      </w:tabs>
      <w:snapToGrid w:val="0"/>
      <w:spacing w:line="240" w:lineRule="auto"/>
      <w:ind w:left="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1"/>
    <w:link w:val="a6"/>
    <w:uiPriority w:val="99"/>
    <w:semiHidden/>
    <w:rsid w:val="00CA3C1B"/>
    <w:rPr>
      <w:sz w:val="18"/>
      <w:szCs w:val="18"/>
    </w:rPr>
  </w:style>
  <w:style w:type="character" w:customStyle="1" w:styleId="1Char">
    <w:name w:val="标题 1 Char"/>
    <w:basedOn w:val="a1"/>
    <w:link w:val="1"/>
    <w:rsid w:val="00CA3C1B"/>
    <w:rPr>
      <w:rFonts w:ascii="Arial" w:eastAsia="黑体" w:hAnsi="Arial" w:cs="Times New Roman"/>
      <w:kern w:val="0"/>
      <w:sz w:val="32"/>
      <w:szCs w:val="20"/>
    </w:rPr>
  </w:style>
  <w:style w:type="character" w:customStyle="1" w:styleId="2Char">
    <w:name w:val="标题 2 Char"/>
    <w:basedOn w:val="a1"/>
    <w:link w:val="2"/>
    <w:rsid w:val="00CA3C1B"/>
    <w:rPr>
      <w:rFonts w:ascii="Times New Roman" w:eastAsia="宋体" w:hAnsi="Times New Roman" w:cs="Times New Roman"/>
      <w:kern w:val="0"/>
      <w:sz w:val="28"/>
      <w:szCs w:val="20"/>
    </w:rPr>
  </w:style>
  <w:style w:type="character" w:customStyle="1" w:styleId="3Char">
    <w:name w:val="标题 3 Char"/>
    <w:basedOn w:val="a1"/>
    <w:link w:val="3"/>
    <w:rsid w:val="00CA3C1B"/>
    <w:rPr>
      <w:rFonts w:ascii="Times New Roman" w:eastAsia="黑体" w:hAnsi="Times New Roman" w:cs="Times New Roman"/>
      <w:kern w:val="0"/>
      <w:sz w:val="20"/>
      <w:szCs w:val="20"/>
    </w:rPr>
  </w:style>
  <w:style w:type="paragraph" w:styleId="a0">
    <w:name w:val="Plain Text"/>
    <w:basedOn w:val="a"/>
    <w:link w:val="Char1"/>
    <w:qFormat/>
    <w:rsid w:val="00CA3C1B"/>
    <w:rPr>
      <w:rFonts w:ascii="宋体" w:hAnsi="Courier New" w:cs="Courier New"/>
      <w:szCs w:val="21"/>
    </w:rPr>
  </w:style>
  <w:style w:type="character" w:customStyle="1" w:styleId="Char1">
    <w:name w:val="纯文本 Char"/>
    <w:basedOn w:val="a1"/>
    <w:link w:val="a0"/>
    <w:rsid w:val="00CA3C1B"/>
    <w:rPr>
      <w:rFonts w:ascii="宋体" w:eastAsia="宋体" w:hAnsi="Courier New" w:cs="Courier New"/>
      <w:kern w:val="0"/>
      <w:sz w:val="20"/>
      <w:szCs w:val="21"/>
    </w:rPr>
  </w:style>
  <w:style w:type="paragraph" w:styleId="30">
    <w:name w:val="toc 3"/>
    <w:basedOn w:val="a"/>
    <w:next w:val="a"/>
    <w:rsid w:val="00CA3C1B"/>
    <w:pPr>
      <w:spacing w:line="306" w:lineRule="auto"/>
      <w:ind w:left="419"/>
    </w:pPr>
  </w:style>
  <w:style w:type="paragraph" w:styleId="10">
    <w:name w:val="toc 1"/>
    <w:basedOn w:val="a"/>
    <w:next w:val="a"/>
    <w:rsid w:val="00CA3C1B"/>
    <w:pPr>
      <w:spacing w:after="104" w:line="0" w:lineRule="atLeast"/>
      <w:jc w:val="left"/>
    </w:pPr>
  </w:style>
  <w:style w:type="paragraph" w:styleId="4">
    <w:name w:val="toc 4"/>
    <w:basedOn w:val="a"/>
    <w:next w:val="a"/>
    <w:rsid w:val="00CA3C1B"/>
    <w:pPr>
      <w:spacing w:line="306" w:lineRule="auto"/>
      <w:ind w:left="419" w:firstLine="629"/>
    </w:pPr>
  </w:style>
  <w:style w:type="paragraph" w:styleId="20">
    <w:name w:val="toc 2"/>
    <w:basedOn w:val="a"/>
    <w:next w:val="a"/>
    <w:rsid w:val="00CA3C1B"/>
    <w:pPr>
      <w:spacing w:line="306" w:lineRule="auto"/>
      <w:ind w:left="419"/>
    </w:pPr>
  </w:style>
  <w:style w:type="paragraph" w:styleId="a7">
    <w:name w:val="Normal (Web)"/>
    <w:basedOn w:val="a"/>
    <w:rsid w:val="00CA3C1B"/>
    <w:pPr>
      <w:spacing w:before="100" w:beforeAutospacing="1" w:after="100" w:afterAutospacing="1"/>
      <w:ind w:left="0"/>
      <w:jc w:val="left"/>
    </w:pPr>
    <w:rPr>
      <w:sz w:val="24"/>
    </w:rPr>
  </w:style>
  <w:style w:type="paragraph" w:styleId="a8">
    <w:name w:val="Title"/>
    <w:basedOn w:val="a"/>
    <w:next w:val="a9"/>
    <w:link w:val="Char2"/>
    <w:qFormat/>
    <w:rsid w:val="00CA3C1B"/>
    <w:pPr>
      <w:spacing w:before="209" w:after="209" w:line="0" w:lineRule="atLeast"/>
      <w:jc w:val="center"/>
    </w:pPr>
    <w:rPr>
      <w:rFonts w:ascii="Arial" w:eastAsia="黑体" w:hAnsi="Arial"/>
      <w:sz w:val="52"/>
    </w:rPr>
  </w:style>
  <w:style w:type="character" w:customStyle="1" w:styleId="Char2">
    <w:name w:val="标题 Char"/>
    <w:basedOn w:val="a1"/>
    <w:link w:val="a8"/>
    <w:rsid w:val="00CA3C1B"/>
    <w:rPr>
      <w:rFonts w:ascii="Arial" w:eastAsia="黑体" w:hAnsi="Arial" w:cs="Times New Roman"/>
      <w:kern w:val="0"/>
      <w:sz w:val="52"/>
      <w:szCs w:val="20"/>
    </w:rPr>
  </w:style>
  <w:style w:type="paragraph" w:customStyle="1" w:styleId="a9">
    <w:name w:val="文章副标题"/>
    <w:basedOn w:val="a"/>
    <w:next w:val="1"/>
    <w:rsid w:val="00CA3C1B"/>
    <w:pPr>
      <w:spacing w:before="104" w:after="104" w:line="0" w:lineRule="atLeast"/>
      <w:jc w:val="center"/>
    </w:pPr>
    <w:rPr>
      <w:sz w:val="36"/>
    </w:rPr>
  </w:style>
  <w:style w:type="character" w:styleId="aa">
    <w:name w:val="page number"/>
    <w:basedOn w:val="a1"/>
    <w:qFormat/>
    <w:rsid w:val="00CA3C1B"/>
  </w:style>
  <w:style w:type="character" w:styleId="ab">
    <w:name w:val="FollowedHyperlink"/>
    <w:basedOn w:val="a1"/>
    <w:rsid w:val="00CA3C1B"/>
    <w:rPr>
      <w:color w:val="333333"/>
      <w:u w:val="none"/>
    </w:rPr>
  </w:style>
  <w:style w:type="character" w:styleId="ac">
    <w:name w:val="Hyperlink"/>
    <w:basedOn w:val="a1"/>
    <w:rsid w:val="00CA3C1B"/>
    <w:rPr>
      <w:color w:val="333333"/>
      <w:u w:val="none"/>
    </w:rPr>
  </w:style>
  <w:style w:type="character" w:customStyle="1" w:styleId="font11">
    <w:name w:val="font11"/>
    <w:basedOn w:val="a1"/>
    <w:rsid w:val="00CA3C1B"/>
    <w:rPr>
      <w:rFonts w:ascii="仿宋_GB2312" w:eastAsia="仿宋_GB2312" w:cs="仿宋_GB2312" w:hint="eastAsia"/>
      <w:i w:val="0"/>
      <w:color w:val="000000"/>
      <w:sz w:val="18"/>
      <w:szCs w:val="18"/>
      <w:u w:val="none"/>
    </w:rPr>
  </w:style>
  <w:style w:type="character" w:customStyle="1" w:styleId="ad">
    <w:name w:val="链接"/>
    <w:basedOn w:val="a1"/>
    <w:rsid w:val="00CA3C1B"/>
    <w:rPr>
      <w:color w:val="0000FF"/>
      <w:u w:val="single" w:color="0000FF"/>
    </w:rPr>
  </w:style>
  <w:style w:type="character" w:customStyle="1" w:styleId="font21">
    <w:name w:val="font21"/>
    <w:basedOn w:val="a1"/>
    <w:rsid w:val="00CA3C1B"/>
    <w:rPr>
      <w:rFonts w:ascii="仿宋_GB2312" w:eastAsia="仿宋_GB2312" w:cs="仿宋_GB2312" w:hint="eastAsia"/>
      <w:i w:val="0"/>
      <w:color w:val="000000"/>
      <w:sz w:val="20"/>
      <w:szCs w:val="20"/>
      <w:u w:val="none"/>
    </w:rPr>
  </w:style>
  <w:style w:type="paragraph" w:customStyle="1" w:styleId="WPSPlain">
    <w:name w:val="WPS Plain"/>
    <w:rsid w:val="00CA3C1B"/>
    <w:rPr>
      <w:rFonts w:ascii="Times New Roman" w:eastAsia="宋体" w:hAnsi="Times New Roman" w:cs="Times New Roman"/>
      <w:kern w:val="0"/>
      <w:sz w:val="20"/>
      <w:szCs w:val="20"/>
    </w:rPr>
  </w:style>
  <w:style w:type="paragraph" w:customStyle="1" w:styleId="ae">
    <w:name w:val="目录标题"/>
    <w:basedOn w:val="a"/>
    <w:next w:val="a"/>
    <w:rsid w:val="00CA3C1B"/>
    <w:pPr>
      <w:spacing w:before="104" w:after="209" w:line="0" w:lineRule="atLeast"/>
      <w:jc w:val="center"/>
    </w:pPr>
    <w:rPr>
      <w:rFonts w:ascii="Arial" w:eastAsia="黑体" w:hAnsi="Arial"/>
      <w:spacing w:val="104"/>
      <w:sz w:val="44"/>
    </w:rPr>
  </w:style>
  <w:style w:type="paragraph" w:customStyle="1" w:styleId="21">
    <w:name w:val="开头2"/>
    <w:basedOn w:val="a"/>
    <w:qFormat/>
    <w:rsid w:val="00CA3C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1459</Words>
  <Characters>8317</Characters>
  <Application>Microsoft Office Word</Application>
  <DocSecurity>0</DocSecurity>
  <Lines>69</Lines>
  <Paragraphs>19</Paragraphs>
  <ScaleCrop>false</ScaleCrop>
  <Company>Microsoft</Company>
  <LinksUpToDate>false</LinksUpToDate>
  <CharactersWithSpaces>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2023-02-28T02:04:00Z</dcterms:created>
  <dcterms:modified xsi:type="dcterms:W3CDTF">2023-02-28T02:06:00Z</dcterms:modified>
</cp:coreProperties>
</file>