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9F" w:rsidRDefault="00E2069F">
      <w:pPr>
        <w:spacing w:line="600" w:lineRule="exact"/>
        <w:jc w:val="center"/>
        <w:rPr>
          <w:rFonts w:ascii="方正小标宋简体" w:eastAsia="方正小标宋简体"/>
          <w:sz w:val="44"/>
          <w:szCs w:val="44"/>
        </w:rPr>
      </w:pPr>
    </w:p>
    <w:p w:rsidR="00B1582D" w:rsidRDefault="00B1582D" w:rsidP="00B1582D">
      <w:pPr>
        <w:spacing w:line="560" w:lineRule="exact"/>
        <w:jc w:val="center"/>
        <w:rPr>
          <w:rStyle w:val="a7"/>
          <w:rFonts w:ascii="方正小标宋简体" w:eastAsia="方正小标宋简体"/>
          <w:b w:val="0"/>
          <w:sz w:val="44"/>
          <w:szCs w:val="44"/>
        </w:rPr>
      </w:pPr>
      <w:r>
        <w:rPr>
          <w:rFonts w:ascii="方正小标宋简体" w:eastAsia="方正小标宋简体" w:hint="eastAsia"/>
          <w:bCs/>
          <w:sz w:val="44"/>
          <w:szCs w:val="44"/>
        </w:rPr>
        <w:t>达拉特旗人民政府</w:t>
      </w:r>
      <w:r>
        <w:rPr>
          <w:rStyle w:val="a7"/>
          <w:rFonts w:ascii="方正小标宋简体" w:eastAsia="方正小标宋简体" w:hint="eastAsia"/>
          <w:b w:val="0"/>
          <w:sz w:val="44"/>
          <w:szCs w:val="44"/>
        </w:rPr>
        <w:t>关于公布实施</w:t>
      </w:r>
    </w:p>
    <w:p w:rsidR="00B1582D" w:rsidRDefault="00B1582D" w:rsidP="00B1582D">
      <w:pPr>
        <w:spacing w:line="560" w:lineRule="exact"/>
        <w:jc w:val="center"/>
        <w:rPr>
          <w:rFonts w:ascii="楷体_GB2312" w:eastAsia="方正小标宋简体"/>
          <w:sz w:val="32"/>
        </w:rPr>
      </w:pPr>
      <w:r>
        <w:rPr>
          <w:rStyle w:val="a7"/>
          <w:rFonts w:ascii="方正小标宋简体" w:eastAsia="方正小标宋简体" w:hint="eastAsia"/>
          <w:b w:val="0"/>
          <w:sz w:val="44"/>
          <w:szCs w:val="44"/>
        </w:rPr>
        <w:t>达拉特旗中心城区基准地价更新成果</w:t>
      </w:r>
      <w:r>
        <w:rPr>
          <w:rStyle w:val="a7"/>
          <w:rFonts w:ascii="方正小标宋简体" w:eastAsia="方正小标宋简体"/>
          <w:b w:val="0"/>
          <w:sz w:val="44"/>
          <w:szCs w:val="44"/>
        </w:rPr>
        <w:t>的</w:t>
      </w:r>
      <w:r>
        <w:rPr>
          <w:rStyle w:val="a7"/>
          <w:rFonts w:ascii="方正小标宋简体" w:eastAsia="方正小标宋简体" w:hint="eastAsia"/>
          <w:b w:val="0"/>
          <w:sz w:val="44"/>
          <w:szCs w:val="44"/>
        </w:rPr>
        <w:t>通知</w:t>
      </w:r>
    </w:p>
    <w:p w:rsidR="00B1582D" w:rsidRDefault="00B1582D" w:rsidP="00B1582D">
      <w:pPr>
        <w:spacing w:line="560" w:lineRule="exact"/>
        <w:rPr>
          <w:rFonts w:ascii="仿宋_GB2312" w:eastAsia="仿宋_GB2312" w:hAnsi="仿宋_GB2312" w:cs="仿宋_GB2312"/>
          <w:sz w:val="32"/>
          <w:szCs w:val="32"/>
        </w:rPr>
      </w:pPr>
    </w:p>
    <w:p w:rsidR="00B1582D" w:rsidRDefault="00B1582D" w:rsidP="00B1582D">
      <w:pPr>
        <w:spacing w:line="560" w:lineRule="exact"/>
        <w:rPr>
          <w:rFonts w:eastAsia="仿宋_GB2312"/>
          <w:sz w:val="32"/>
          <w:szCs w:val="32"/>
        </w:rPr>
      </w:pPr>
      <w:r>
        <w:rPr>
          <w:rFonts w:eastAsia="仿宋_GB2312"/>
          <w:sz w:val="32"/>
          <w:szCs w:val="32"/>
        </w:rPr>
        <w:t>各苏木镇人民政府，各街道办事处，各开发区、园区管委会，旗人民政府各部门，各直属单位，各企事业单位：</w:t>
      </w:r>
    </w:p>
    <w:p w:rsidR="00B1582D" w:rsidRDefault="00B1582D" w:rsidP="00B1582D">
      <w:pPr>
        <w:spacing w:line="560" w:lineRule="exact"/>
        <w:rPr>
          <w:rFonts w:eastAsia="仿宋_GB2312"/>
          <w:sz w:val="32"/>
          <w:szCs w:val="32"/>
        </w:rPr>
      </w:pPr>
      <w:r>
        <w:rPr>
          <w:rFonts w:eastAsia="仿宋_GB2312"/>
          <w:sz w:val="32"/>
          <w:szCs w:val="32"/>
        </w:rPr>
        <w:t>为加强土地市场和地价管理，促进土地节约集约利用，保障国有资产的合理收益，根据《中华人民共和国土地管理法》、《中华人民共和国城市房地产管理法》、</w:t>
      </w:r>
      <w:r>
        <w:rPr>
          <w:rFonts w:eastAsia="仿宋_GB2312" w:hint="eastAsia"/>
          <w:sz w:val="32"/>
          <w:szCs w:val="32"/>
        </w:rPr>
        <w:t>自治区国土资源厅</w:t>
      </w:r>
      <w:r>
        <w:rPr>
          <w:rFonts w:eastAsia="仿宋_GB2312"/>
          <w:sz w:val="32"/>
          <w:szCs w:val="32"/>
        </w:rPr>
        <w:t>《关于认真做好全区城镇基准地价更新和重新公布的通知》（内国土资字〔</w:t>
      </w:r>
      <w:r>
        <w:rPr>
          <w:rFonts w:eastAsia="仿宋_GB2312"/>
          <w:sz w:val="32"/>
          <w:szCs w:val="32"/>
        </w:rPr>
        <w:t>2007</w:t>
      </w:r>
      <w:r>
        <w:rPr>
          <w:rFonts w:eastAsia="仿宋_GB2312"/>
          <w:sz w:val="32"/>
          <w:szCs w:val="32"/>
        </w:rPr>
        <w:t>〕</w:t>
      </w:r>
      <w:r>
        <w:rPr>
          <w:rFonts w:eastAsia="仿宋_GB2312"/>
          <w:sz w:val="32"/>
          <w:szCs w:val="32"/>
        </w:rPr>
        <w:t>626</w:t>
      </w:r>
      <w:r>
        <w:rPr>
          <w:rFonts w:eastAsia="仿宋_GB2312"/>
          <w:sz w:val="32"/>
          <w:szCs w:val="32"/>
        </w:rPr>
        <w:t>号）、自然资源部办公厅《关于部署开展</w:t>
      </w:r>
      <w:r>
        <w:rPr>
          <w:rFonts w:eastAsia="仿宋_GB2312"/>
          <w:sz w:val="32"/>
          <w:szCs w:val="32"/>
        </w:rPr>
        <w:t>2020</w:t>
      </w:r>
      <w:r>
        <w:rPr>
          <w:rFonts w:eastAsia="仿宋_GB2312"/>
          <w:sz w:val="32"/>
          <w:szCs w:val="32"/>
        </w:rPr>
        <w:t>年度自然资源评价评估工作的通知》（自然资办发〔</w:t>
      </w:r>
      <w:r>
        <w:rPr>
          <w:rFonts w:eastAsia="仿宋_GB2312"/>
          <w:sz w:val="32"/>
          <w:szCs w:val="32"/>
        </w:rPr>
        <w:t>2020</w:t>
      </w:r>
      <w:r>
        <w:rPr>
          <w:rFonts w:eastAsia="仿宋_GB2312"/>
          <w:sz w:val="32"/>
          <w:szCs w:val="32"/>
        </w:rPr>
        <w:t>〕</w:t>
      </w:r>
      <w:r>
        <w:rPr>
          <w:rFonts w:eastAsia="仿宋_GB2312"/>
          <w:sz w:val="32"/>
          <w:szCs w:val="32"/>
        </w:rPr>
        <w:t>23</w:t>
      </w:r>
      <w:r>
        <w:rPr>
          <w:rFonts w:eastAsia="仿宋_GB2312"/>
          <w:sz w:val="32"/>
          <w:szCs w:val="32"/>
        </w:rPr>
        <w:t>号）等</w:t>
      </w:r>
      <w:r>
        <w:rPr>
          <w:rFonts w:eastAsia="仿宋_GB2312" w:hint="eastAsia"/>
          <w:sz w:val="32"/>
          <w:szCs w:val="32"/>
        </w:rPr>
        <w:t>法律</w:t>
      </w:r>
      <w:r>
        <w:rPr>
          <w:rFonts w:eastAsia="仿宋_GB2312"/>
          <w:sz w:val="32"/>
          <w:szCs w:val="32"/>
        </w:rPr>
        <w:t>法规规定我旗中心城区基准地价（</w:t>
      </w:r>
      <w:r>
        <w:rPr>
          <w:rFonts w:eastAsia="仿宋_GB2312"/>
          <w:w w:val="97"/>
          <w:kern w:val="0"/>
          <w:sz w:val="32"/>
          <w:szCs w:val="32"/>
        </w:rPr>
        <w:t>含经济开发区</w:t>
      </w:r>
      <w:r>
        <w:rPr>
          <w:rFonts w:eastAsia="仿宋_GB2312"/>
          <w:sz w:val="32"/>
          <w:szCs w:val="32"/>
        </w:rPr>
        <w:t>）更新工作已通过内蒙古自治区自然资源厅的检查验收并完成备案工作，现予以公布，本成果自</w:t>
      </w:r>
      <w:r>
        <w:rPr>
          <w:rFonts w:eastAsia="仿宋_GB2312" w:hint="eastAsia"/>
          <w:sz w:val="32"/>
          <w:szCs w:val="32"/>
        </w:rPr>
        <w:t>2023</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15</w:t>
      </w:r>
      <w:r>
        <w:rPr>
          <w:rFonts w:eastAsia="仿宋_GB2312" w:hint="eastAsia"/>
          <w:sz w:val="32"/>
          <w:szCs w:val="32"/>
        </w:rPr>
        <w:t>日</w:t>
      </w:r>
      <w:r>
        <w:rPr>
          <w:rFonts w:eastAsia="仿宋_GB2312"/>
          <w:sz w:val="32"/>
          <w:szCs w:val="32"/>
        </w:rPr>
        <w:t>起执行，原《达拉特旗人民政府关于公布实施达拉特旗中心城区基准地价更新成果的通知》（达政发〔</w:t>
      </w:r>
      <w:r>
        <w:rPr>
          <w:rFonts w:eastAsia="仿宋_GB2312"/>
          <w:sz w:val="32"/>
          <w:szCs w:val="32"/>
        </w:rPr>
        <w:t>2018</w:t>
      </w:r>
      <w:r>
        <w:rPr>
          <w:rFonts w:eastAsia="仿宋_GB2312"/>
          <w:sz w:val="32"/>
          <w:szCs w:val="32"/>
        </w:rPr>
        <w:t>〕</w:t>
      </w:r>
      <w:r>
        <w:rPr>
          <w:rFonts w:eastAsia="仿宋_GB2312"/>
          <w:sz w:val="32"/>
          <w:szCs w:val="32"/>
        </w:rPr>
        <w:t>46</w:t>
      </w:r>
      <w:r>
        <w:rPr>
          <w:rFonts w:eastAsia="仿宋_GB2312"/>
          <w:sz w:val="32"/>
          <w:szCs w:val="32"/>
        </w:rPr>
        <w:t>号）文件同时废止。</w:t>
      </w:r>
    </w:p>
    <w:p w:rsidR="00B1582D" w:rsidRDefault="00B1582D" w:rsidP="00B1582D">
      <w:pPr>
        <w:widowControl/>
        <w:spacing w:line="560" w:lineRule="exact"/>
        <w:ind w:leftChars="304" w:left="1878" w:hangingChars="400" w:hanging="1240"/>
        <w:rPr>
          <w:rFonts w:eastAsia="仿宋_GB2312"/>
          <w:sz w:val="32"/>
          <w:szCs w:val="32"/>
        </w:rPr>
      </w:pPr>
      <w:r>
        <w:rPr>
          <w:rFonts w:eastAsia="仿宋_GB2312"/>
          <w:w w:val="97"/>
          <w:kern w:val="0"/>
          <w:sz w:val="32"/>
          <w:szCs w:val="32"/>
        </w:rPr>
        <w:t>附件：</w:t>
      </w:r>
      <w:r>
        <w:rPr>
          <w:rFonts w:eastAsia="仿宋_GB2312"/>
          <w:sz w:val="32"/>
          <w:szCs w:val="32"/>
        </w:rPr>
        <w:t>1.</w:t>
      </w:r>
      <w:r>
        <w:rPr>
          <w:rFonts w:eastAsia="仿宋_GB2312"/>
          <w:color w:val="000000"/>
          <w:kern w:val="0"/>
          <w:sz w:val="32"/>
          <w:szCs w:val="32"/>
        </w:rPr>
        <w:t>达拉特旗中心城区（含经济开发区）各类用地基准地价表</w:t>
      </w:r>
    </w:p>
    <w:p w:rsidR="00B1582D" w:rsidRDefault="00B1582D" w:rsidP="00B1582D">
      <w:pPr>
        <w:widowControl/>
        <w:spacing w:line="560" w:lineRule="exact"/>
        <w:ind w:leftChars="760" w:left="1916" w:hangingChars="100" w:hanging="32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达拉特旗中心城区（含经济开发区）各类用地基准地价表</w:t>
      </w:r>
      <w:r>
        <w:rPr>
          <w:rFonts w:eastAsia="仿宋_GB2312"/>
          <w:color w:val="000000"/>
          <w:kern w:val="0"/>
          <w:sz w:val="32"/>
          <w:szCs w:val="32"/>
        </w:rPr>
        <w:t>(</w:t>
      </w:r>
      <w:r>
        <w:rPr>
          <w:rFonts w:eastAsia="仿宋_GB2312"/>
          <w:color w:val="000000"/>
          <w:kern w:val="0"/>
          <w:sz w:val="32"/>
          <w:szCs w:val="32"/>
        </w:rPr>
        <w:t>变价幅度</w:t>
      </w:r>
      <w:r>
        <w:rPr>
          <w:rFonts w:eastAsia="仿宋_GB2312"/>
          <w:color w:val="000000"/>
          <w:kern w:val="0"/>
          <w:sz w:val="32"/>
          <w:szCs w:val="32"/>
        </w:rPr>
        <w:t>)</w:t>
      </w:r>
    </w:p>
    <w:p w:rsidR="00B1582D" w:rsidRDefault="00B1582D" w:rsidP="00B1582D">
      <w:pPr>
        <w:widowControl/>
        <w:spacing w:line="560" w:lineRule="exact"/>
        <w:ind w:leftChars="752" w:left="1899" w:hangingChars="100" w:hanging="32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达拉特旗中心城区（含经济开发区）基准地价内涵</w:t>
      </w:r>
    </w:p>
    <w:p w:rsidR="00B1582D" w:rsidRPr="00B1582D" w:rsidRDefault="00B1582D" w:rsidP="00B1582D">
      <w:pPr>
        <w:widowControl/>
        <w:spacing w:line="560" w:lineRule="exact"/>
        <w:ind w:leftChars="752" w:left="1899" w:hangingChars="100" w:hanging="320"/>
        <w:rPr>
          <w:rFonts w:eastAsia="仿宋_GB2312" w:hint="eastAsia"/>
          <w:sz w:val="32"/>
          <w:szCs w:val="32"/>
        </w:rPr>
        <w:sectPr w:rsidR="00B1582D" w:rsidRPr="00B1582D">
          <w:footerReference w:type="default" r:id="rId6"/>
          <w:pgSz w:w="11906" w:h="16838"/>
          <w:pgMar w:top="2098" w:right="1474" w:bottom="1984" w:left="1587" w:header="851" w:footer="1588" w:gutter="0"/>
          <w:pgNumType w:fmt="numberInDash" w:start="1"/>
          <w:cols w:space="720"/>
          <w:docGrid w:type="lines" w:linePitch="312"/>
        </w:sectPr>
      </w:pPr>
      <w:r>
        <w:rPr>
          <w:rFonts w:eastAsia="仿宋_GB2312"/>
          <w:color w:val="000000"/>
          <w:kern w:val="0"/>
          <w:sz w:val="32"/>
          <w:szCs w:val="32"/>
        </w:rPr>
        <w:lastRenderedPageBreak/>
        <w:t>4.</w:t>
      </w:r>
      <w:r>
        <w:rPr>
          <w:rFonts w:eastAsia="仿宋_GB2312"/>
          <w:color w:val="000000"/>
          <w:kern w:val="0"/>
          <w:sz w:val="32"/>
          <w:szCs w:val="32"/>
        </w:rPr>
        <w:t>达拉特旗中心城区（含经济开发区）基准地价土地级别描</w:t>
      </w:r>
      <w:r w:rsidR="00F55AFA">
        <w:rPr>
          <w:rFonts w:eastAsia="仿宋_GB2312" w:hint="eastAsia"/>
          <w:color w:val="000000"/>
          <w:kern w:val="0"/>
          <w:sz w:val="32"/>
          <w:szCs w:val="32"/>
        </w:rPr>
        <w:t>述</w:t>
      </w:r>
    </w:p>
    <w:p w:rsidR="00E2069F" w:rsidRDefault="00032288">
      <w:pPr>
        <w:pStyle w:val="a6"/>
        <w:spacing w:line="360" w:lineRule="auto"/>
        <w:ind w:left="0"/>
        <w:rPr>
          <w:sz w:val="36"/>
          <w:szCs w:val="44"/>
        </w:rPr>
      </w:pPr>
      <w:r>
        <w:rPr>
          <w:rStyle w:val="a7"/>
          <w:rFonts w:ascii="黑体" w:eastAsia="黑体" w:hint="eastAsia"/>
          <w:b w:val="0"/>
          <w:sz w:val="32"/>
          <w:szCs w:val="32"/>
        </w:rPr>
        <w:lastRenderedPageBreak/>
        <w:t>附件1</w:t>
      </w:r>
    </w:p>
    <w:p w:rsidR="00E2069F" w:rsidRDefault="00032288">
      <w:pPr>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达拉特旗中心城区（含经济开发区）各类用地基准地价表</w:t>
      </w:r>
    </w:p>
    <w:p w:rsidR="00E2069F" w:rsidRDefault="00032288">
      <w:pPr>
        <w:jc w:val="right"/>
        <w:rPr>
          <w:sz w:val="22"/>
          <w:szCs w:val="28"/>
        </w:rPr>
      </w:pPr>
      <w:r>
        <w:rPr>
          <w:rFonts w:ascii="宋体" w:hAnsi="宋体" w:cs="宋体" w:hint="eastAsia"/>
          <w:b/>
          <w:bCs/>
          <w:color w:val="000000"/>
          <w:kern w:val="0"/>
          <w:sz w:val="24"/>
        </w:rPr>
        <w:t>单位：元/平方米</w:t>
      </w:r>
    </w:p>
    <w:tbl>
      <w:tblPr>
        <w:tblW w:w="5000" w:type="pct"/>
        <w:tblLook w:val="0000"/>
      </w:tblPr>
      <w:tblGrid>
        <w:gridCol w:w="1333"/>
        <w:gridCol w:w="627"/>
        <w:gridCol w:w="1308"/>
        <w:gridCol w:w="1311"/>
        <w:gridCol w:w="1107"/>
        <w:gridCol w:w="829"/>
        <w:gridCol w:w="1151"/>
        <w:gridCol w:w="814"/>
        <w:gridCol w:w="987"/>
        <w:gridCol w:w="913"/>
        <w:gridCol w:w="970"/>
        <w:gridCol w:w="967"/>
        <w:gridCol w:w="1001"/>
        <w:gridCol w:w="856"/>
      </w:tblGrid>
      <w:tr w:rsidR="00E2069F">
        <w:trPr>
          <w:trHeight w:val="319"/>
        </w:trPr>
        <w:tc>
          <w:tcPr>
            <w:tcW w:w="470" w:type="pct"/>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名称</w:t>
            </w:r>
          </w:p>
        </w:tc>
        <w:tc>
          <w:tcPr>
            <w:tcW w:w="221" w:type="pct"/>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级别</w:t>
            </w:r>
          </w:p>
        </w:tc>
        <w:tc>
          <w:tcPr>
            <w:tcW w:w="9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商服用地</w:t>
            </w:r>
          </w:p>
        </w:tc>
        <w:tc>
          <w:tcPr>
            <w:tcW w:w="681" w:type="pct"/>
            <w:gridSpan w:val="2"/>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住宅用地</w:t>
            </w:r>
          </w:p>
        </w:tc>
        <w:tc>
          <w:tcPr>
            <w:tcW w:w="693" w:type="pct"/>
            <w:gridSpan w:val="2"/>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工业用地</w:t>
            </w:r>
          </w:p>
        </w:tc>
        <w:tc>
          <w:tcPr>
            <w:tcW w:w="670" w:type="pct"/>
            <w:gridSpan w:val="2"/>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公共服务项目用地（保障性安居工程）</w:t>
            </w:r>
          </w:p>
        </w:tc>
        <w:tc>
          <w:tcPr>
            <w:tcW w:w="683" w:type="pct"/>
            <w:gridSpan w:val="2"/>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公共服务项目用地（养老、教育、文化和体育用地）</w:t>
            </w:r>
          </w:p>
        </w:tc>
        <w:tc>
          <w:tcPr>
            <w:tcW w:w="655" w:type="pct"/>
            <w:gridSpan w:val="2"/>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公共服务项目用地（能源、环境保护、供水、燃气供应、供热设施用地）</w:t>
            </w:r>
          </w:p>
        </w:tc>
      </w:tr>
      <w:tr w:rsidR="00E2069F">
        <w:trPr>
          <w:trHeight w:val="1260"/>
        </w:trPr>
        <w:tc>
          <w:tcPr>
            <w:tcW w:w="470" w:type="pct"/>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221" w:type="pct"/>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923" w:type="pct"/>
            <w:gridSpan w:val="2"/>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681" w:type="pct"/>
            <w:gridSpan w:val="2"/>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693" w:type="pct"/>
            <w:gridSpan w:val="2"/>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670" w:type="pct"/>
            <w:gridSpan w:val="2"/>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683" w:type="pct"/>
            <w:gridSpan w:val="2"/>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655" w:type="pct"/>
            <w:gridSpan w:val="2"/>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r>
      <w:tr w:rsidR="00E2069F">
        <w:trPr>
          <w:trHeight w:val="285"/>
        </w:trPr>
        <w:tc>
          <w:tcPr>
            <w:tcW w:w="470" w:type="pct"/>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221" w:type="pct"/>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元</w:t>
            </w:r>
            <w:r>
              <w:rPr>
                <w:rFonts w:ascii="Times New Roman" w:eastAsia="仿宋"/>
                <w:szCs w:val="24"/>
              </w:rPr>
              <w:t>/</w:t>
            </w:r>
            <w:r>
              <w:rPr>
                <w:rFonts w:ascii="Times New Roman" w:eastAsia="仿宋"/>
                <w:szCs w:val="24"/>
              </w:rPr>
              <w:t>平方米</w:t>
            </w:r>
          </w:p>
        </w:tc>
        <w:tc>
          <w:tcPr>
            <w:tcW w:w="46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万元</w:t>
            </w:r>
            <w:r>
              <w:rPr>
                <w:rFonts w:ascii="Times New Roman" w:eastAsia="仿宋"/>
                <w:szCs w:val="24"/>
              </w:rPr>
              <w:t>/</w:t>
            </w:r>
            <w:r>
              <w:rPr>
                <w:rFonts w:ascii="Times New Roman" w:eastAsia="仿宋"/>
                <w:szCs w:val="24"/>
              </w:rPr>
              <w:t>亩</w:t>
            </w:r>
          </w:p>
        </w:tc>
        <w:tc>
          <w:tcPr>
            <w:tcW w:w="390"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元</w:t>
            </w:r>
            <w:r>
              <w:rPr>
                <w:rFonts w:ascii="Times New Roman" w:eastAsia="仿宋"/>
                <w:szCs w:val="24"/>
              </w:rPr>
              <w:t>/</w:t>
            </w:r>
            <w:r>
              <w:rPr>
                <w:rFonts w:ascii="Times New Roman" w:eastAsia="仿宋"/>
                <w:szCs w:val="24"/>
              </w:rPr>
              <w:t>平方米</w:t>
            </w:r>
          </w:p>
        </w:tc>
        <w:tc>
          <w:tcPr>
            <w:tcW w:w="29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万元</w:t>
            </w:r>
            <w:r>
              <w:rPr>
                <w:rFonts w:ascii="Times New Roman" w:eastAsia="仿宋"/>
                <w:szCs w:val="24"/>
              </w:rPr>
              <w:t>/</w:t>
            </w:r>
            <w:r>
              <w:rPr>
                <w:rFonts w:ascii="Times New Roman" w:eastAsia="仿宋"/>
                <w:szCs w:val="24"/>
              </w:rPr>
              <w:t>亩</w:t>
            </w:r>
          </w:p>
        </w:tc>
        <w:tc>
          <w:tcPr>
            <w:tcW w:w="406"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元</w:t>
            </w:r>
            <w:r>
              <w:rPr>
                <w:rFonts w:ascii="Times New Roman" w:eastAsia="仿宋"/>
                <w:szCs w:val="24"/>
              </w:rPr>
              <w:t>/</w:t>
            </w:r>
            <w:r>
              <w:rPr>
                <w:rFonts w:ascii="Times New Roman" w:eastAsia="仿宋"/>
                <w:szCs w:val="24"/>
              </w:rPr>
              <w:t>平方米</w:t>
            </w:r>
          </w:p>
        </w:tc>
        <w:tc>
          <w:tcPr>
            <w:tcW w:w="287"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万元</w:t>
            </w:r>
            <w:r>
              <w:rPr>
                <w:rFonts w:ascii="Times New Roman" w:eastAsia="仿宋"/>
                <w:szCs w:val="24"/>
              </w:rPr>
              <w:t>/</w:t>
            </w:r>
            <w:r>
              <w:rPr>
                <w:rFonts w:ascii="Times New Roman" w:eastAsia="仿宋"/>
                <w:szCs w:val="24"/>
              </w:rPr>
              <w:t>亩</w:t>
            </w:r>
          </w:p>
        </w:tc>
        <w:tc>
          <w:tcPr>
            <w:tcW w:w="348"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元</w:t>
            </w:r>
            <w:r>
              <w:rPr>
                <w:rFonts w:ascii="Times New Roman" w:eastAsia="仿宋"/>
                <w:szCs w:val="24"/>
              </w:rPr>
              <w:t>/</w:t>
            </w:r>
            <w:r>
              <w:rPr>
                <w:rFonts w:ascii="Times New Roman" w:eastAsia="仿宋"/>
                <w:szCs w:val="24"/>
              </w:rPr>
              <w:t>平方米</w:t>
            </w:r>
          </w:p>
        </w:tc>
        <w:tc>
          <w:tcPr>
            <w:tcW w:w="32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万元</w:t>
            </w:r>
            <w:r>
              <w:rPr>
                <w:rFonts w:ascii="Times New Roman" w:eastAsia="仿宋"/>
                <w:szCs w:val="24"/>
              </w:rPr>
              <w:t>/</w:t>
            </w:r>
            <w:r>
              <w:rPr>
                <w:rFonts w:ascii="Times New Roman" w:eastAsia="仿宋"/>
                <w:szCs w:val="24"/>
              </w:rPr>
              <w:t>亩</w:t>
            </w:r>
          </w:p>
        </w:tc>
        <w:tc>
          <w:tcPr>
            <w:tcW w:w="34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元</w:t>
            </w:r>
            <w:r>
              <w:rPr>
                <w:rFonts w:ascii="Times New Roman" w:eastAsia="仿宋"/>
                <w:szCs w:val="24"/>
              </w:rPr>
              <w:t>/</w:t>
            </w:r>
            <w:r>
              <w:rPr>
                <w:rFonts w:ascii="Times New Roman" w:eastAsia="仿宋"/>
                <w:szCs w:val="24"/>
              </w:rPr>
              <w:t>平方米</w:t>
            </w:r>
          </w:p>
        </w:tc>
        <w:tc>
          <w:tcPr>
            <w:tcW w:w="34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万元</w:t>
            </w:r>
            <w:r>
              <w:rPr>
                <w:rFonts w:ascii="Times New Roman" w:eastAsia="仿宋"/>
                <w:szCs w:val="24"/>
              </w:rPr>
              <w:t>/</w:t>
            </w:r>
            <w:r>
              <w:rPr>
                <w:rFonts w:ascii="Times New Roman" w:eastAsia="仿宋"/>
                <w:szCs w:val="24"/>
              </w:rPr>
              <w:t>亩</w:t>
            </w:r>
          </w:p>
        </w:tc>
        <w:tc>
          <w:tcPr>
            <w:tcW w:w="353"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元</w:t>
            </w:r>
            <w:r>
              <w:rPr>
                <w:rFonts w:ascii="Times New Roman" w:eastAsia="仿宋"/>
                <w:szCs w:val="24"/>
              </w:rPr>
              <w:t>/</w:t>
            </w:r>
            <w:r>
              <w:rPr>
                <w:rFonts w:ascii="Times New Roman" w:eastAsia="仿宋"/>
                <w:szCs w:val="24"/>
              </w:rPr>
              <w:t>平方米</w:t>
            </w:r>
          </w:p>
        </w:tc>
        <w:tc>
          <w:tcPr>
            <w:tcW w:w="30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万元</w:t>
            </w:r>
            <w:r>
              <w:rPr>
                <w:rFonts w:ascii="Times New Roman" w:eastAsia="仿宋"/>
                <w:szCs w:val="24"/>
              </w:rPr>
              <w:t>/</w:t>
            </w:r>
            <w:r>
              <w:rPr>
                <w:rFonts w:ascii="Times New Roman" w:eastAsia="仿宋"/>
                <w:szCs w:val="24"/>
              </w:rPr>
              <w:t>亩</w:t>
            </w:r>
          </w:p>
        </w:tc>
      </w:tr>
      <w:tr w:rsidR="00E2069F">
        <w:trPr>
          <w:trHeight w:val="315"/>
        </w:trPr>
        <w:tc>
          <w:tcPr>
            <w:tcW w:w="470" w:type="pct"/>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达拉特旗</w:t>
            </w:r>
            <w:r>
              <w:rPr>
                <w:rFonts w:ascii="Times New Roman" w:eastAsia="仿宋"/>
                <w:szCs w:val="24"/>
              </w:rPr>
              <w:t xml:space="preserve">   </w:t>
            </w:r>
            <w:r>
              <w:rPr>
                <w:rFonts w:ascii="Times New Roman" w:eastAsia="仿宋"/>
                <w:szCs w:val="24"/>
              </w:rPr>
              <w:t>中心城区</w:t>
            </w:r>
          </w:p>
        </w:tc>
        <w:tc>
          <w:tcPr>
            <w:tcW w:w="22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Ⅰ</w:t>
            </w:r>
          </w:p>
        </w:tc>
        <w:tc>
          <w:tcPr>
            <w:tcW w:w="46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1650</w:t>
            </w:r>
          </w:p>
        </w:tc>
        <w:tc>
          <w:tcPr>
            <w:tcW w:w="46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110</w:t>
            </w:r>
          </w:p>
        </w:tc>
        <w:tc>
          <w:tcPr>
            <w:tcW w:w="390"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1180</w:t>
            </w:r>
          </w:p>
        </w:tc>
        <w:tc>
          <w:tcPr>
            <w:tcW w:w="29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78.67</w:t>
            </w:r>
          </w:p>
        </w:tc>
        <w:tc>
          <w:tcPr>
            <w:tcW w:w="406"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525</w:t>
            </w:r>
          </w:p>
        </w:tc>
        <w:tc>
          <w:tcPr>
            <w:tcW w:w="287"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35</w:t>
            </w:r>
          </w:p>
        </w:tc>
        <w:tc>
          <w:tcPr>
            <w:tcW w:w="348"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857</w:t>
            </w:r>
          </w:p>
        </w:tc>
        <w:tc>
          <w:tcPr>
            <w:tcW w:w="32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57.13</w:t>
            </w:r>
          </w:p>
        </w:tc>
        <w:tc>
          <w:tcPr>
            <w:tcW w:w="34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830</w:t>
            </w:r>
          </w:p>
        </w:tc>
        <w:tc>
          <w:tcPr>
            <w:tcW w:w="34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55.33</w:t>
            </w:r>
          </w:p>
        </w:tc>
        <w:tc>
          <w:tcPr>
            <w:tcW w:w="353"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567</w:t>
            </w:r>
          </w:p>
        </w:tc>
        <w:tc>
          <w:tcPr>
            <w:tcW w:w="30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37.8</w:t>
            </w:r>
          </w:p>
        </w:tc>
      </w:tr>
      <w:tr w:rsidR="00E2069F">
        <w:trPr>
          <w:trHeight w:val="315"/>
        </w:trPr>
        <w:tc>
          <w:tcPr>
            <w:tcW w:w="470" w:type="pct"/>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22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Ⅱ</w:t>
            </w:r>
          </w:p>
        </w:tc>
        <w:tc>
          <w:tcPr>
            <w:tcW w:w="46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1210</w:t>
            </w:r>
          </w:p>
        </w:tc>
        <w:tc>
          <w:tcPr>
            <w:tcW w:w="46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80.67</w:t>
            </w:r>
          </w:p>
        </w:tc>
        <w:tc>
          <w:tcPr>
            <w:tcW w:w="390"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1010</w:t>
            </w:r>
          </w:p>
        </w:tc>
        <w:tc>
          <w:tcPr>
            <w:tcW w:w="29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67.33</w:t>
            </w:r>
          </w:p>
        </w:tc>
        <w:tc>
          <w:tcPr>
            <w:tcW w:w="406"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310</w:t>
            </w:r>
          </w:p>
        </w:tc>
        <w:tc>
          <w:tcPr>
            <w:tcW w:w="287"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20.67</w:t>
            </w:r>
          </w:p>
        </w:tc>
        <w:tc>
          <w:tcPr>
            <w:tcW w:w="348"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742</w:t>
            </w:r>
          </w:p>
        </w:tc>
        <w:tc>
          <w:tcPr>
            <w:tcW w:w="32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49.47</w:t>
            </w:r>
          </w:p>
        </w:tc>
        <w:tc>
          <w:tcPr>
            <w:tcW w:w="34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719</w:t>
            </w:r>
          </w:p>
        </w:tc>
        <w:tc>
          <w:tcPr>
            <w:tcW w:w="34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47.93</w:t>
            </w:r>
          </w:p>
        </w:tc>
        <w:tc>
          <w:tcPr>
            <w:tcW w:w="353"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335</w:t>
            </w:r>
          </w:p>
        </w:tc>
        <w:tc>
          <w:tcPr>
            <w:tcW w:w="30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22.33</w:t>
            </w:r>
          </w:p>
        </w:tc>
      </w:tr>
      <w:tr w:rsidR="00E2069F">
        <w:trPr>
          <w:trHeight w:val="315"/>
        </w:trPr>
        <w:tc>
          <w:tcPr>
            <w:tcW w:w="470" w:type="pct"/>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22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Ⅲ</w:t>
            </w:r>
          </w:p>
        </w:tc>
        <w:tc>
          <w:tcPr>
            <w:tcW w:w="46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860</w:t>
            </w:r>
          </w:p>
        </w:tc>
        <w:tc>
          <w:tcPr>
            <w:tcW w:w="46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57.33</w:t>
            </w:r>
          </w:p>
        </w:tc>
        <w:tc>
          <w:tcPr>
            <w:tcW w:w="390"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650</w:t>
            </w:r>
          </w:p>
        </w:tc>
        <w:tc>
          <w:tcPr>
            <w:tcW w:w="29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43.33</w:t>
            </w:r>
          </w:p>
        </w:tc>
        <w:tc>
          <w:tcPr>
            <w:tcW w:w="406"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200</w:t>
            </w:r>
          </w:p>
        </w:tc>
        <w:tc>
          <w:tcPr>
            <w:tcW w:w="287"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13.33</w:t>
            </w:r>
          </w:p>
        </w:tc>
        <w:tc>
          <w:tcPr>
            <w:tcW w:w="348"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476</w:t>
            </w:r>
          </w:p>
        </w:tc>
        <w:tc>
          <w:tcPr>
            <w:tcW w:w="32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31.73</w:t>
            </w:r>
          </w:p>
        </w:tc>
        <w:tc>
          <w:tcPr>
            <w:tcW w:w="34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461</w:t>
            </w:r>
          </w:p>
        </w:tc>
        <w:tc>
          <w:tcPr>
            <w:tcW w:w="34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30.73</w:t>
            </w:r>
          </w:p>
        </w:tc>
        <w:tc>
          <w:tcPr>
            <w:tcW w:w="353"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217</w:t>
            </w:r>
          </w:p>
        </w:tc>
        <w:tc>
          <w:tcPr>
            <w:tcW w:w="30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14.47</w:t>
            </w:r>
          </w:p>
        </w:tc>
      </w:tr>
      <w:tr w:rsidR="00E2069F">
        <w:trPr>
          <w:trHeight w:val="315"/>
        </w:trPr>
        <w:tc>
          <w:tcPr>
            <w:tcW w:w="470" w:type="pct"/>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22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Ⅳ</w:t>
            </w:r>
          </w:p>
        </w:tc>
        <w:tc>
          <w:tcPr>
            <w:tcW w:w="46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655</w:t>
            </w:r>
          </w:p>
        </w:tc>
        <w:tc>
          <w:tcPr>
            <w:tcW w:w="46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43.67</w:t>
            </w:r>
          </w:p>
        </w:tc>
        <w:tc>
          <w:tcPr>
            <w:tcW w:w="390"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370</w:t>
            </w:r>
          </w:p>
        </w:tc>
        <w:tc>
          <w:tcPr>
            <w:tcW w:w="29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24.67</w:t>
            </w:r>
          </w:p>
        </w:tc>
        <w:tc>
          <w:tcPr>
            <w:tcW w:w="693" w:type="pct"/>
            <w:gridSpan w:val="2"/>
            <w:tcBorders>
              <w:top w:val="nil"/>
              <w:left w:val="nil"/>
              <w:bottom w:val="nil"/>
              <w:right w:val="nil"/>
            </w:tcBorders>
            <w:noWrap/>
            <w:vAlign w:val="center"/>
          </w:tcPr>
          <w:p w:rsidR="00E2069F" w:rsidRDefault="00E2069F">
            <w:pPr>
              <w:pStyle w:val="a9"/>
              <w:widowControl w:val="0"/>
              <w:spacing w:line="240" w:lineRule="auto"/>
              <w:jc w:val="center"/>
              <w:rPr>
                <w:rFonts w:ascii="Times New Roman" w:eastAsia="仿宋"/>
                <w:szCs w:val="24"/>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266</w:t>
            </w:r>
          </w:p>
        </w:tc>
        <w:tc>
          <w:tcPr>
            <w:tcW w:w="32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17.73</w:t>
            </w:r>
          </w:p>
        </w:tc>
        <w:tc>
          <w:tcPr>
            <w:tcW w:w="34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257</w:t>
            </w:r>
          </w:p>
        </w:tc>
        <w:tc>
          <w:tcPr>
            <w:tcW w:w="34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17.13</w:t>
            </w:r>
          </w:p>
        </w:tc>
        <w:tc>
          <w:tcPr>
            <w:tcW w:w="655" w:type="pct"/>
            <w:gridSpan w:val="2"/>
            <w:tcBorders>
              <w:top w:val="single" w:sz="4" w:space="0" w:color="000000"/>
              <w:left w:val="single" w:sz="4" w:space="0" w:color="000000"/>
              <w:bottom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r>
      <w:tr w:rsidR="00E2069F">
        <w:trPr>
          <w:trHeight w:val="315"/>
        </w:trPr>
        <w:tc>
          <w:tcPr>
            <w:tcW w:w="470" w:type="pct"/>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达拉特旗</w:t>
            </w:r>
            <w:r>
              <w:rPr>
                <w:rFonts w:ascii="Times New Roman" w:eastAsia="仿宋"/>
                <w:szCs w:val="24"/>
              </w:rPr>
              <w:t xml:space="preserve">   </w:t>
            </w:r>
            <w:r>
              <w:rPr>
                <w:rFonts w:ascii="Times New Roman" w:eastAsia="仿宋"/>
                <w:szCs w:val="24"/>
              </w:rPr>
              <w:t>经济开发区</w:t>
            </w:r>
          </w:p>
        </w:tc>
        <w:tc>
          <w:tcPr>
            <w:tcW w:w="22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Ⅰ</w:t>
            </w:r>
          </w:p>
        </w:tc>
        <w:tc>
          <w:tcPr>
            <w:tcW w:w="1605" w:type="pct"/>
            <w:gridSpan w:val="4"/>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w:t>
            </w:r>
          </w:p>
        </w:tc>
        <w:tc>
          <w:tcPr>
            <w:tcW w:w="406"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155</w:t>
            </w:r>
          </w:p>
        </w:tc>
        <w:tc>
          <w:tcPr>
            <w:tcW w:w="287"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10.33</w:t>
            </w:r>
          </w:p>
        </w:tc>
        <w:tc>
          <w:tcPr>
            <w:tcW w:w="1353" w:type="pct"/>
            <w:gridSpan w:val="4"/>
            <w:vMerge w:val="restar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w:t>
            </w:r>
          </w:p>
        </w:tc>
        <w:tc>
          <w:tcPr>
            <w:tcW w:w="353"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169</w:t>
            </w:r>
          </w:p>
        </w:tc>
        <w:tc>
          <w:tcPr>
            <w:tcW w:w="30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11.27</w:t>
            </w:r>
          </w:p>
        </w:tc>
      </w:tr>
      <w:tr w:rsidR="00E2069F">
        <w:trPr>
          <w:trHeight w:val="315"/>
        </w:trPr>
        <w:tc>
          <w:tcPr>
            <w:tcW w:w="470" w:type="pct"/>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221"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Ⅱ</w:t>
            </w:r>
          </w:p>
        </w:tc>
        <w:tc>
          <w:tcPr>
            <w:tcW w:w="1605" w:type="pct"/>
            <w:gridSpan w:val="4"/>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130</w:t>
            </w:r>
          </w:p>
        </w:tc>
        <w:tc>
          <w:tcPr>
            <w:tcW w:w="287"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8.67</w:t>
            </w:r>
          </w:p>
        </w:tc>
        <w:tc>
          <w:tcPr>
            <w:tcW w:w="1353" w:type="pct"/>
            <w:gridSpan w:val="4"/>
            <w:vMerge/>
            <w:tcBorders>
              <w:top w:val="single" w:sz="4" w:space="0" w:color="000000"/>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142</w:t>
            </w:r>
          </w:p>
        </w:tc>
        <w:tc>
          <w:tcPr>
            <w:tcW w:w="302" w:type="pct"/>
            <w:tcBorders>
              <w:top w:val="single" w:sz="4" w:space="0" w:color="000000"/>
              <w:left w:val="single" w:sz="4" w:space="0" w:color="000000"/>
              <w:bottom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9.47</w:t>
            </w:r>
          </w:p>
        </w:tc>
      </w:tr>
    </w:tbl>
    <w:p w:rsidR="00E2069F" w:rsidRDefault="00032288">
      <w:r>
        <w:rPr>
          <w:sz w:val="22"/>
          <w:szCs w:val="28"/>
        </w:rPr>
        <w:br w:type="page"/>
      </w:r>
    </w:p>
    <w:p w:rsidR="00E2069F" w:rsidRDefault="00032288">
      <w:pPr>
        <w:pStyle w:val="a6"/>
        <w:spacing w:line="360" w:lineRule="auto"/>
        <w:ind w:left="0"/>
        <w:rPr>
          <w:rStyle w:val="a7"/>
          <w:rFonts w:ascii="黑体" w:eastAsia="黑体"/>
          <w:b w:val="0"/>
          <w:sz w:val="32"/>
          <w:szCs w:val="32"/>
        </w:rPr>
      </w:pPr>
      <w:r>
        <w:rPr>
          <w:rStyle w:val="a7"/>
          <w:rFonts w:ascii="黑体" w:eastAsia="黑体" w:hint="eastAsia"/>
          <w:b w:val="0"/>
          <w:sz w:val="32"/>
          <w:szCs w:val="32"/>
        </w:rPr>
        <w:lastRenderedPageBreak/>
        <w:t>附件2</w:t>
      </w:r>
    </w:p>
    <w:p w:rsidR="00E2069F" w:rsidRDefault="00032288">
      <w:pPr>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达拉特旗中心城区（含经济开发区）各类用地基准地价表(变价涨幅）</w:t>
      </w:r>
    </w:p>
    <w:p w:rsidR="00E2069F" w:rsidRDefault="00032288">
      <w:pPr>
        <w:pStyle w:val="a0"/>
        <w:jc w:val="right"/>
        <w:rPr>
          <w:sz w:val="22"/>
          <w:szCs w:val="22"/>
        </w:rPr>
      </w:pPr>
      <w:r>
        <w:rPr>
          <w:rFonts w:hAnsi="宋体" w:cs="宋体" w:hint="eastAsia"/>
          <w:b/>
          <w:bCs/>
          <w:color w:val="000000"/>
          <w:kern w:val="0"/>
          <w:sz w:val="24"/>
          <w:szCs w:val="24"/>
        </w:rPr>
        <w:t>单位：元/平方米</w:t>
      </w:r>
    </w:p>
    <w:tbl>
      <w:tblPr>
        <w:tblW w:w="4997" w:type="pct"/>
        <w:tblLook w:val="0000"/>
      </w:tblPr>
      <w:tblGrid>
        <w:gridCol w:w="3403"/>
        <w:gridCol w:w="1253"/>
        <w:gridCol w:w="1402"/>
        <w:gridCol w:w="1366"/>
        <w:gridCol w:w="1366"/>
        <w:gridCol w:w="1366"/>
        <w:gridCol w:w="1377"/>
        <w:gridCol w:w="1264"/>
        <w:gridCol w:w="1368"/>
      </w:tblGrid>
      <w:tr w:rsidR="00E2069F">
        <w:trPr>
          <w:trHeight w:val="270"/>
        </w:trPr>
        <w:tc>
          <w:tcPr>
            <w:tcW w:w="2138" w:type="pct"/>
            <w:gridSpan w:val="3"/>
            <w:vMerge w:val="restart"/>
            <w:tcBorders>
              <w:top w:val="single" w:sz="4" w:space="0" w:color="000000"/>
              <w:left w:val="single" w:sz="4" w:space="0" w:color="000000"/>
              <w:right w:val="single" w:sz="4" w:space="0" w:color="000000"/>
            </w:tcBorders>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用途</w:t>
            </w:r>
            <w:r>
              <w:rPr>
                <w:rFonts w:ascii="Times New Roman" w:eastAsia="仿宋" w:hint="eastAsia"/>
                <w:szCs w:val="24"/>
              </w:rPr>
              <w:t xml:space="preserve">       </w:t>
            </w:r>
            <w:r>
              <w:rPr>
                <w:rFonts w:ascii="Times New Roman" w:eastAsia="仿宋" w:hint="eastAsia"/>
                <w:szCs w:val="24"/>
              </w:rPr>
              <w:t>级别</w:t>
            </w:r>
          </w:p>
        </w:tc>
        <w:tc>
          <w:tcPr>
            <w:tcW w:w="1932" w:type="pct"/>
            <w:gridSpan w:val="4"/>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中心城区</w:t>
            </w:r>
          </w:p>
        </w:tc>
        <w:tc>
          <w:tcPr>
            <w:tcW w:w="929" w:type="pct"/>
            <w:gridSpan w:val="2"/>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经济开发区</w:t>
            </w:r>
          </w:p>
        </w:tc>
      </w:tr>
      <w:tr w:rsidR="00E2069F">
        <w:trPr>
          <w:trHeight w:val="270"/>
        </w:trPr>
        <w:tc>
          <w:tcPr>
            <w:tcW w:w="2138" w:type="pct"/>
            <w:gridSpan w:val="3"/>
            <w:vMerge/>
            <w:tcBorders>
              <w:left w:val="single" w:sz="4" w:space="0" w:color="000000"/>
              <w:bottom w:val="single" w:sz="4" w:space="0" w:color="000000"/>
              <w:right w:val="single" w:sz="4" w:space="0" w:color="000000"/>
            </w:tcBorders>
            <w:vAlign w:val="center"/>
          </w:tcPr>
          <w:p w:rsidR="00E2069F" w:rsidRDefault="00E2069F">
            <w:pPr>
              <w:pStyle w:val="a9"/>
              <w:widowControl w:val="0"/>
              <w:spacing w:line="240" w:lineRule="auto"/>
              <w:jc w:val="center"/>
              <w:rPr>
                <w:rFonts w:ascii="Times New Roman" w:eastAsia="仿宋"/>
                <w:szCs w:val="24"/>
              </w:rPr>
            </w:pP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1</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2</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3</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4</w:t>
            </w:r>
          </w:p>
        </w:tc>
        <w:tc>
          <w:tcPr>
            <w:tcW w:w="446"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1</w:t>
            </w:r>
          </w:p>
        </w:tc>
        <w:tc>
          <w:tcPr>
            <w:tcW w:w="483"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2</w:t>
            </w:r>
          </w:p>
        </w:tc>
      </w:tr>
      <w:tr w:rsidR="00E2069F">
        <w:trPr>
          <w:trHeight w:val="270"/>
        </w:trPr>
        <w:tc>
          <w:tcPr>
            <w:tcW w:w="1201" w:type="pct"/>
            <w:vMerge w:val="restart"/>
            <w:tcBorders>
              <w:top w:val="single" w:sz="4" w:space="0" w:color="000000"/>
              <w:left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商服用地</w:t>
            </w:r>
          </w:p>
        </w:tc>
        <w:tc>
          <w:tcPr>
            <w:tcW w:w="936" w:type="pct"/>
            <w:gridSpan w:val="2"/>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基准地价</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1650</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1210</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860</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655</w:t>
            </w:r>
          </w:p>
        </w:tc>
        <w:tc>
          <w:tcPr>
            <w:tcW w:w="929" w:type="pct"/>
            <w:gridSpan w:val="2"/>
            <w:vMerge w:val="restart"/>
            <w:tcBorders>
              <w:top w:val="single" w:sz="4" w:space="0" w:color="000000"/>
              <w:left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r>
      <w:tr w:rsidR="00E2069F">
        <w:trPr>
          <w:trHeight w:val="270"/>
        </w:trPr>
        <w:tc>
          <w:tcPr>
            <w:tcW w:w="1201" w:type="pct"/>
            <w:vMerge/>
            <w:tcBorders>
              <w:left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42" w:type="pct"/>
            <w:vMerge w:val="restart"/>
            <w:tcBorders>
              <w:top w:val="single" w:sz="4" w:space="0" w:color="000000"/>
              <w:left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变价涨幅</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上浮</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hAnsi="Calibri"/>
                <w:szCs w:val="24"/>
              </w:rPr>
            </w:pPr>
            <w:r>
              <w:rPr>
                <w:rFonts w:ascii="Times New Roman" w:eastAsia="仿宋"/>
                <w:szCs w:val="24"/>
              </w:rPr>
              <w:t>16.29%</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29.54%</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15.06%</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35.40%</w:t>
            </w:r>
          </w:p>
        </w:tc>
        <w:tc>
          <w:tcPr>
            <w:tcW w:w="929" w:type="pct"/>
            <w:gridSpan w:val="2"/>
            <w:vMerge/>
            <w:tcBorders>
              <w:left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r>
      <w:tr w:rsidR="00E2069F">
        <w:trPr>
          <w:trHeight w:val="270"/>
        </w:trPr>
        <w:tc>
          <w:tcPr>
            <w:tcW w:w="1201" w:type="pct"/>
            <w:vMerge/>
            <w:tcBorders>
              <w:left w:val="single" w:sz="4" w:space="0" w:color="000000"/>
              <w:bottom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42" w:type="pct"/>
            <w:vMerge/>
            <w:tcBorders>
              <w:left w:val="single" w:sz="4" w:space="0" w:color="000000"/>
              <w:bottom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下浮</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hAnsi="Calibri"/>
                <w:szCs w:val="24"/>
              </w:rPr>
            </w:pPr>
            <w:r>
              <w:rPr>
                <w:rFonts w:ascii="Times New Roman" w:eastAsia="仿宋"/>
                <w:szCs w:val="24"/>
              </w:rPr>
              <w:t>-2.98%</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-15.11%</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-17.25%</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-12.60%</w:t>
            </w:r>
          </w:p>
        </w:tc>
        <w:tc>
          <w:tcPr>
            <w:tcW w:w="929" w:type="pct"/>
            <w:gridSpan w:val="2"/>
            <w:vMerge/>
            <w:tcBorders>
              <w:left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r>
      <w:tr w:rsidR="00E2069F">
        <w:trPr>
          <w:trHeight w:val="270"/>
        </w:trPr>
        <w:tc>
          <w:tcPr>
            <w:tcW w:w="1201" w:type="pct"/>
            <w:vMerge w:val="restart"/>
            <w:tcBorders>
              <w:top w:val="single" w:sz="4" w:space="0" w:color="000000"/>
              <w:left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住宅用地</w:t>
            </w:r>
          </w:p>
        </w:tc>
        <w:tc>
          <w:tcPr>
            <w:tcW w:w="936" w:type="pct"/>
            <w:gridSpan w:val="2"/>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基准地价</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1180</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1010</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650</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369</w:t>
            </w:r>
          </w:p>
        </w:tc>
        <w:tc>
          <w:tcPr>
            <w:tcW w:w="929" w:type="pct"/>
            <w:gridSpan w:val="2"/>
            <w:vMerge/>
            <w:tcBorders>
              <w:left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r>
      <w:tr w:rsidR="00E2069F">
        <w:trPr>
          <w:trHeight w:val="139"/>
        </w:trPr>
        <w:tc>
          <w:tcPr>
            <w:tcW w:w="1201" w:type="pct"/>
            <w:vMerge/>
            <w:tcBorders>
              <w:left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42" w:type="pct"/>
            <w:vMerge w:val="restart"/>
            <w:tcBorders>
              <w:top w:val="single" w:sz="4" w:space="0" w:color="000000"/>
              <w:left w:val="single" w:sz="4" w:space="0" w:color="000000"/>
              <w:right w:val="single" w:sz="4" w:space="0" w:color="000000"/>
            </w:tcBorders>
            <w:noWrap/>
            <w:vAlign w:val="center"/>
          </w:tcPr>
          <w:p w:rsidR="00E2069F" w:rsidRDefault="00032288">
            <w:pPr>
              <w:jc w:val="center"/>
              <w:rPr>
                <w:rFonts w:eastAsia="仿宋"/>
                <w:sz w:val="24"/>
              </w:rPr>
            </w:pPr>
            <w:r>
              <w:rPr>
                <w:rFonts w:eastAsia="仿宋" w:hint="eastAsia"/>
                <w:sz w:val="24"/>
              </w:rPr>
              <w:t>变价涨幅</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jc w:val="center"/>
              <w:rPr>
                <w:rFonts w:eastAsia="仿宋"/>
                <w:sz w:val="24"/>
              </w:rPr>
            </w:pPr>
            <w:r>
              <w:rPr>
                <w:rFonts w:eastAsia="仿宋" w:hint="eastAsia"/>
                <w:sz w:val="24"/>
              </w:rPr>
              <w:t>上浮</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12.31%</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25.78%</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4.72%</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16.75%</w:t>
            </w:r>
          </w:p>
        </w:tc>
        <w:tc>
          <w:tcPr>
            <w:tcW w:w="929" w:type="pct"/>
            <w:gridSpan w:val="2"/>
            <w:vMerge/>
            <w:tcBorders>
              <w:left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r>
      <w:tr w:rsidR="00E2069F">
        <w:trPr>
          <w:trHeight w:val="270"/>
        </w:trPr>
        <w:tc>
          <w:tcPr>
            <w:tcW w:w="1201" w:type="pct"/>
            <w:vMerge/>
            <w:tcBorders>
              <w:left w:val="single" w:sz="4" w:space="0" w:color="000000"/>
              <w:bottom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42" w:type="pct"/>
            <w:vMerge/>
            <w:tcBorders>
              <w:left w:val="single" w:sz="4" w:space="0" w:color="000000"/>
              <w:bottom w:val="single" w:sz="4" w:space="0" w:color="000000"/>
              <w:right w:val="single" w:sz="4" w:space="0" w:color="000000"/>
            </w:tcBorders>
            <w:noWrap/>
            <w:vAlign w:val="center"/>
          </w:tcPr>
          <w:p w:rsidR="00E2069F" w:rsidRDefault="00E2069F">
            <w:pPr>
              <w:jc w:val="center"/>
              <w:rPr>
                <w:rFonts w:eastAsia="仿宋"/>
                <w:sz w:val="24"/>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jc w:val="center"/>
              <w:rPr>
                <w:rFonts w:eastAsia="仿宋"/>
                <w:sz w:val="24"/>
              </w:rPr>
            </w:pPr>
            <w:r>
              <w:rPr>
                <w:rFonts w:eastAsia="仿宋" w:hint="eastAsia"/>
                <w:sz w:val="24"/>
              </w:rPr>
              <w:t>下浮</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-15.99%</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-8.55%</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-17.36%</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-12.2%4</w:t>
            </w:r>
          </w:p>
        </w:tc>
        <w:tc>
          <w:tcPr>
            <w:tcW w:w="929" w:type="pct"/>
            <w:gridSpan w:val="2"/>
            <w:vMerge/>
            <w:tcBorders>
              <w:left w:val="single" w:sz="4" w:space="0" w:color="000000"/>
              <w:bottom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r>
      <w:tr w:rsidR="00E2069F">
        <w:trPr>
          <w:trHeight w:val="270"/>
        </w:trPr>
        <w:tc>
          <w:tcPr>
            <w:tcW w:w="1201" w:type="pct"/>
            <w:vMerge w:val="restart"/>
            <w:tcBorders>
              <w:top w:val="single" w:sz="4" w:space="0" w:color="000000"/>
              <w:left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工业用地</w:t>
            </w:r>
          </w:p>
        </w:tc>
        <w:tc>
          <w:tcPr>
            <w:tcW w:w="936" w:type="pct"/>
            <w:gridSpan w:val="2"/>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基准地价</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525</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310</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200</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46"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155</w:t>
            </w:r>
          </w:p>
        </w:tc>
        <w:tc>
          <w:tcPr>
            <w:tcW w:w="483"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130</w:t>
            </w:r>
          </w:p>
        </w:tc>
      </w:tr>
      <w:tr w:rsidR="00E2069F">
        <w:trPr>
          <w:trHeight w:val="270"/>
        </w:trPr>
        <w:tc>
          <w:tcPr>
            <w:tcW w:w="1201" w:type="pct"/>
            <w:vMerge/>
            <w:tcBorders>
              <w:left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42" w:type="pct"/>
            <w:vMerge w:val="restart"/>
            <w:tcBorders>
              <w:top w:val="single" w:sz="4" w:space="0" w:color="000000"/>
              <w:left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变价涨幅</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上浮</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16.56%</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18.17%</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15.99%</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46"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15.99%</w:t>
            </w:r>
          </w:p>
        </w:tc>
        <w:tc>
          <w:tcPr>
            <w:tcW w:w="483"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20.00%</w:t>
            </w:r>
          </w:p>
        </w:tc>
      </w:tr>
      <w:tr w:rsidR="00E2069F">
        <w:trPr>
          <w:trHeight w:val="270"/>
        </w:trPr>
        <w:tc>
          <w:tcPr>
            <w:tcW w:w="1201" w:type="pct"/>
            <w:vMerge/>
            <w:tcBorders>
              <w:left w:val="single" w:sz="4" w:space="0" w:color="000000"/>
              <w:bottom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42" w:type="pct"/>
            <w:vMerge/>
            <w:tcBorders>
              <w:left w:val="single" w:sz="4" w:space="0" w:color="000000"/>
              <w:bottom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hint="eastAsia"/>
                <w:szCs w:val="24"/>
              </w:rPr>
              <w:t>下浮</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-16.48%</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-15.44%</w:t>
            </w:r>
          </w:p>
        </w:tc>
        <w:tc>
          <w:tcPr>
            <w:tcW w:w="482"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-12.1%</w:t>
            </w:r>
          </w:p>
        </w:tc>
        <w:tc>
          <w:tcPr>
            <w:tcW w:w="485" w:type="pct"/>
            <w:tcBorders>
              <w:top w:val="single" w:sz="4" w:space="0" w:color="000000"/>
              <w:left w:val="single" w:sz="4" w:space="0" w:color="000000"/>
              <w:bottom w:val="single" w:sz="4" w:space="0" w:color="000000"/>
              <w:right w:val="single" w:sz="4" w:space="0" w:color="000000"/>
            </w:tcBorders>
            <w:noWrap/>
            <w:vAlign w:val="center"/>
          </w:tcPr>
          <w:p w:rsidR="00E2069F" w:rsidRDefault="00E2069F">
            <w:pPr>
              <w:pStyle w:val="a9"/>
              <w:widowControl w:val="0"/>
              <w:spacing w:line="240" w:lineRule="auto"/>
              <w:jc w:val="center"/>
              <w:rPr>
                <w:rFonts w:ascii="Times New Roman" w:eastAsia="仿宋"/>
                <w:szCs w:val="24"/>
              </w:rPr>
            </w:pPr>
          </w:p>
        </w:tc>
        <w:tc>
          <w:tcPr>
            <w:tcW w:w="446"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-12.1%</w:t>
            </w:r>
          </w:p>
        </w:tc>
        <w:tc>
          <w:tcPr>
            <w:tcW w:w="483" w:type="pct"/>
            <w:tcBorders>
              <w:top w:val="single" w:sz="4" w:space="0" w:color="000000"/>
              <w:left w:val="single" w:sz="4" w:space="0" w:color="000000"/>
              <w:bottom w:val="single" w:sz="4" w:space="0" w:color="000000"/>
              <w:right w:val="single" w:sz="4" w:space="0" w:color="000000"/>
            </w:tcBorders>
            <w:noWrap/>
            <w:vAlign w:val="center"/>
          </w:tcPr>
          <w:p w:rsidR="00E2069F" w:rsidRDefault="00032288">
            <w:pPr>
              <w:pStyle w:val="a9"/>
              <w:widowControl w:val="0"/>
              <w:spacing w:line="240" w:lineRule="auto"/>
              <w:jc w:val="center"/>
              <w:rPr>
                <w:rFonts w:ascii="Times New Roman" w:eastAsia="仿宋"/>
                <w:szCs w:val="24"/>
              </w:rPr>
            </w:pPr>
            <w:r>
              <w:rPr>
                <w:rFonts w:ascii="Times New Roman" w:eastAsia="仿宋"/>
                <w:szCs w:val="24"/>
              </w:rPr>
              <w:t>-30.00%</w:t>
            </w:r>
          </w:p>
        </w:tc>
      </w:tr>
    </w:tbl>
    <w:p w:rsidR="00E2069F" w:rsidRDefault="00E2069F">
      <w:pPr>
        <w:pStyle w:val="a0"/>
        <w:rPr>
          <w:sz w:val="32"/>
          <w:szCs w:val="40"/>
        </w:rPr>
      </w:pPr>
    </w:p>
    <w:p w:rsidR="00E2069F" w:rsidRDefault="00E2069F">
      <w:pPr>
        <w:rPr>
          <w:sz w:val="32"/>
          <w:szCs w:val="40"/>
        </w:rPr>
        <w:sectPr w:rsidR="00E2069F">
          <w:footerReference w:type="default" r:id="rId7"/>
          <w:pgSz w:w="16838" w:h="11906" w:orient="landscape"/>
          <w:pgMar w:top="1803" w:right="1440" w:bottom="1803" w:left="1440" w:header="851" w:footer="992" w:gutter="0"/>
          <w:pgNumType w:fmt="numberInDash"/>
          <w:cols w:space="720"/>
          <w:docGrid w:type="lines" w:linePitch="319"/>
        </w:sectPr>
      </w:pPr>
    </w:p>
    <w:p w:rsidR="00E2069F" w:rsidRDefault="00032288">
      <w:pPr>
        <w:pStyle w:val="a6"/>
        <w:spacing w:before="0" w:beforeAutospacing="0" w:after="0" w:afterAutospacing="0" w:line="540" w:lineRule="exact"/>
        <w:ind w:left="0"/>
        <w:rPr>
          <w:b/>
          <w:bCs/>
          <w:color w:val="000000"/>
          <w:sz w:val="32"/>
          <w:szCs w:val="32"/>
        </w:rPr>
      </w:pPr>
      <w:r>
        <w:rPr>
          <w:rStyle w:val="a7"/>
          <w:rFonts w:ascii="黑体" w:eastAsia="黑体" w:hint="eastAsia"/>
          <w:b w:val="0"/>
          <w:sz w:val="32"/>
          <w:szCs w:val="32"/>
        </w:rPr>
        <w:lastRenderedPageBreak/>
        <w:t>附件3</w:t>
      </w:r>
    </w:p>
    <w:p w:rsidR="00E2069F" w:rsidRDefault="00E2069F">
      <w:pPr>
        <w:spacing w:line="540" w:lineRule="exact"/>
        <w:jc w:val="center"/>
        <w:rPr>
          <w:rFonts w:ascii="宋体" w:hAnsi="宋体" w:cs="宋体"/>
          <w:b/>
          <w:bCs/>
          <w:color w:val="000000"/>
          <w:kern w:val="0"/>
          <w:sz w:val="36"/>
          <w:szCs w:val="36"/>
        </w:rPr>
      </w:pPr>
    </w:p>
    <w:p w:rsidR="00E2069F" w:rsidRDefault="00032288">
      <w:pPr>
        <w:spacing w:line="5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color w:val="000000"/>
          <w:kern w:val="0"/>
          <w:sz w:val="36"/>
          <w:szCs w:val="36"/>
        </w:rPr>
        <w:t>达拉特旗中心城区（含经济开发区）基准地价内涵</w:t>
      </w:r>
    </w:p>
    <w:p w:rsidR="00E2069F" w:rsidRDefault="00E2069F">
      <w:pPr>
        <w:adjustRightInd w:val="0"/>
        <w:snapToGrid w:val="0"/>
        <w:spacing w:line="540" w:lineRule="exact"/>
        <w:ind w:firstLineChars="200" w:firstLine="643"/>
        <w:rPr>
          <w:rFonts w:eastAsia="仿宋"/>
          <w:b/>
          <w:bCs/>
          <w:sz w:val="32"/>
          <w:szCs w:val="32"/>
        </w:rPr>
      </w:pPr>
    </w:p>
    <w:p w:rsidR="00E2069F" w:rsidRDefault="00032288">
      <w:pPr>
        <w:adjustRightInd w:val="0"/>
        <w:snapToGrid w:val="0"/>
        <w:spacing w:line="540" w:lineRule="exact"/>
        <w:ind w:firstLineChars="200" w:firstLine="643"/>
        <w:rPr>
          <w:rFonts w:eastAsia="仿宋"/>
          <w:b/>
          <w:bCs/>
          <w:sz w:val="32"/>
          <w:szCs w:val="32"/>
        </w:rPr>
      </w:pPr>
      <w:r>
        <w:rPr>
          <w:rFonts w:eastAsia="仿宋"/>
          <w:b/>
          <w:bCs/>
          <w:sz w:val="32"/>
          <w:szCs w:val="32"/>
        </w:rPr>
        <w:t>基准地价定义：</w:t>
      </w:r>
    </w:p>
    <w:p w:rsidR="00E2069F" w:rsidRDefault="00032288">
      <w:pPr>
        <w:adjustRightInd w:val="0"/>
        <w:snapToGrid w:val="0"/>
        <w:spacing w:line="540" w:lineRule="exact"/>
        <w:ind w:firstLineChars="200"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）估价基准日：</w:t>
      </w:r>
      <w:r>
        <w:rPr>
          <w:rFonts w:eastAsia="仿宋"/>
          <w:sz w:val="32"/>
          <w:szCs w:val="32"/>
        </w:rPr>
        <w:t>2021</w:t>
      </w:r>
      <w:r>
        <w:rPr>
          <w:rFonts w:eastAsia="仿宋"/>
          <w:sz w:val="32"/>
          <w:szCs w:val="32"/>
        </w:rPr>
        <w:t>年</w:t>
      </w:r>
      <w:r>
        <w:rPr>
          <w:rFonts w:eastAsia="仿宋"/>
          <w:sz w:val="32"/>
          <w:szCs w:val="32"/>
        </w:rPr>
        <w:t>1</w:t>
      </w:r>
      <w:r>
        <w:rPr>
          <w:rFonts w:eastAsia="仿宋"/>
          <w:sz w:val="32"/>
          <w:szCs w:val="32"/>
        </w:rPr>
        <w:t>月</w:t>
      </w:r>
      <w:r>
        <w:rPr>
          <w:rFonts w:eastAsia="仿宋"/>
          <w:sz w:val="32"/>
          <w:szCs w:val="32"/>
        </w:rPr>
        <w:t>1</w:t>
      </w:r>
      <w:r>
        <w:rPr>
          <w:rFonts w:eastAsia="仿宋"/>
          <w:sz w:val="32"/>
          <w:szCs w:val="32"/>
        </w:rPr>
        <w:t>日；</w:t>
      </w:r>
    </w:p>
    <w:p w:rsidR="00E2069F" w:rsidRDefault="00032288">
      <w:pPr>
        <w:adjustRightInd w:val="0"/>
        <w:snapToGrid w:val="0"/>
        <w:spacing w:line="540"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）土地使用年期：商服用地</w:t>
      </w:r>
      <w:r>
        <w:rPr>
          <w:rFonts w:eastAsia="仿宋"/>
          <w:sz w:val="32"/>
          <w:szCs w:val="32"/>
        </w:rPr>
        <w:t>40</w:t>
      </w:r>
      <w:r>
        <w:rPr>
          <w:rFonts w:eastAsia="仿宋"/>
          <w:sz w:val="32"/>
          <w:szCs w:val="32"/>
        </w:rPr>
        <w:t>年、住宅用地</w:t>
      </w:r>
      <w:r>
        <w:rPr>
          <w:rFonts w:eastAsia="仿宋"/>
          <w:sz w:val="32"/>
          <w:szCs w:val="32"/>
        </w:rPr>
        <w:t>70</w:t>
      </w:r>
      <w:r>
        <w:rPr>
          <w:rFonts w:eastAsia="仿宋"/>
          <w:sz w:val="32"/>
          <w:szCs w:val="32"/>
        </w:rPr>
        <w:t>年、工业用地</w:t>
      </w:r>
      <w:r>
        <w:rPr>
          <w:rFonts w:eastAsia="仿宋"/>
          <w:sz w:val="32"/>
          <w:szCs w:val="32"/>
        </w:rPr>
        <w:t>50</w:t>
      </w:r>
      <w:r>
        <w:rPr>
          <w:rFonts w:eastAsia="仿宋"/>
          <w:sz w:val="32"/>
          <w:szCs w:val="32"/>
        </w:rPr>
        <w:t>年；保障性安居工程用地为</w:t>
      </w:r>
      <w:r>
        <w:rPr>
          <w:rFonts w:eastAsia="仿宋"/>
          <w:sz w:val="32"/>
          <w:szCs w:val="32"/>
        </w:rPr>
        <w:t>70</w:t>
      </w:r>
      <w:r>
        <w:rPr>
          <w:rFonts w:eastAsia="仿宋"/>
          <w:sz w:val="32"/>
          <w:szCs w:val="32"/>
        </w:rPr>
        <w:t>年，养老、教育、文化、体育、能源、环境保护、供水、燃气供应、供热设施用地为</w:t>
      </w:r>
      <w:r>
        <w:rPr>
          <w:rFonts w:eastAsia="仿宋"/>
          <w:sz w:val="32"/>
          <w:szCs w:val="32"/>
        </w:rPr>
        <w:t>50</w:t>
      </w:r>
      <w:r>
        <w:rPr>
          <w:rFonts w:eastAsia="仿宋"/>
          <w:sz w:val="32"/>
          <w:szCs w:val="32"/>
        </w:rPr>
        <w:t>年。</w:t>
      </w:r>
    </w:p>
    <w:p w:rsidR="00E2069F" w:rsidRDefault="00032288">
      <w:pPr>
        <w:adjustRightInd w:val="0"/>
        <w:snapToGrid w:val="0"/>
        <w:spacing w:line="540" w:lineRule="exact"/>
        <w:ind w:firstLineChars="200"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）容积率：商服用地</w:t>
      </w:r>
      <w:r>
        <w:rPr>
          <w:rFonts w:eastAsia="仿宋"/>
          <w:sz w:val="32"/>
          <w:szCs w:val="32"/>
        </w:rPr>
        <w:t>2.5</w:t>
      </w:r>
      <w:r>
        <w:rPr>
          <w:rFonts w:eastAsia="仿宋"/>
          <w:sz w:val="32"/>
          <w:szCs w:val="32"/>
        </w:rPr>
        <w:t>、住宅用地</w:t>
      </w:r>
      <w:r>
        <w:rPr>
          <w:rFonts w:eastAsia="仿宋"/>
          <w:sz w:val="32"/>
          <w:szCs w:val="32"/>
        </w:rPr>
        <w:t>1.8</w:t>
      </w:r>
      <w:r>
        <w:rPr>
          <w:rFonts w:eastAsia="仿宋"/>
          <w:sz w:val="32"/>
          <w:szCs w:val="32"/>
        </w:rPr>
        <w:t>、工业用地</w:t>
      </w:r>
      <w:r>
        <w:rPr>
          <w:rFonts w:eastAsia="仿宋"/>
          <w:sz w:val="32"/>
          <w:szCs w:val="32"/>
        </w:rPr>
        <w:t>0.8;</w:t>
      </w:r>
      <w:r>
        <w:rPr>
          <w:rFonts w:eastAsia="仿宋"/>
          <w:sz w:val="32"/>
          <w:szCs w:val="32"/>
        </w:rPr>
        <w:t>保障性安居工程、养老、教育、文化和体育用地设定容积率为</w:t>
      </w:r>
      <w:r>
        <w:rPr>
          <w:rFonts w:eastAsia="仿宋"/>
          <w:sz w:val="32"/>
          <w:szCs w:val="32"/>
        </w:rPr>
        <w:t>1.8</w:t>
      </w:r>
      <w:r>
        <w:rPr>
          <w:rFonts w:eastAsia="仿宋"/>
          <w:sz w:val="32"/>
          <w:szCs w:val="32"/>
        </w:rPr>
        <w:t>；能源、环境保护、供水、燃气供应、供热设施用地设定容积率为</w:t>
      </w:r>
      <w:r>
        <w:rPr>
          <w:rFonts w:eastAsia="仿宋"/>
          <w:sz w:val="32"/>
          <w:szCs w:val="32"/>
        </w:rPr>
        <w:t>0.8</w:t>
      </w:r>
      <w:r>
        <w:rPr>
          <w:rFonts w:eastAsia="仿宋"/>
          <w:sz w:val="32"/>
          <w:szCs w:val="32"/>
        </w:rPr>
        <w:t>。</w:t>
      </w:r>
    </w:p>
    <w:p w:rsidR="00E2069F" w:rsidRDefault="00032288">
      <w:pPr>
        <w:adjustRightInd w:val="0"/>
        <w:snapToGrid w:val="0"/>
        <w:spacing w:line="540" w:lineRule="exact"/>
        <w:ind w:firstLineChars="200" w:firstLine="640"/>
        <w:rPr>
          <w:rStyle w:val="a7"/>
          <w:rFonts w:ascii="黑体" w:eastAsia="黑体"/>
          <w:b w:val="0"/>
          <w:sz w:val="32"/>
          <w:szCs w:val="32"/>
        </w:rPr>
      </w:pPr>
      <w:r>
        <w:rPr>
          <w:rFonts w:eastAsia="仿宋"/>
          <w:sz w:val="32"/>
          <w:szCs w:val="32"/>
        </w:rPr>
        <w:t>（</w:t>
      </w:r>
      <w:r>
        <w:rPr>
          <w:rFonts w:eastAsia="仿宋"/>
          <w:sz w:val="32"/>
          <w:szCs w:val="32"/>
        </w:rPr>
        <w:t>4</w:t>
      </w:r>
      <w:r>
        <w:rPr>
          <w:rFonts w:eastAsia="仿宋"/>
          <w:sz w:val="32"/>
          <w:szCs w:val="32"/>
        </w:rPr>
        <w:t>）开发程度：商服用地、住宅用地</w:t>
      </w:r>
      <w:r>
        <w:rPr>
          <w:rFonts w:eastAsia="仿宋"/>
          <w:sz w:val="32"/>
          <w:szCs w:val="32"/>
        </w:rPr>
        <w:t>“</w:t>
      </w:r>
      <w:r>
        <w:rPr>
          <w:rFonts w:eastAsia="仿宋"/>
          <w:sz w:val="32"/>
          <w:szCs w:val="32"/>
        </w:rPr>
        <w:t>七通一平</w:t>
      </w:r>
      <w:r>
        <w:rPr>
          <w:rFonts w:eastAsia="仿宋"/>
          <w:sz w:val="32"/>
          <w:szCs w:val="32"/>
        </w:rPr>
        <w:t>”</w:t>
      </w:r>
      <w:r>
        <w:rPr>
          <w:rFonts w:eastAsia="仿宋"/>
          <w:sz w:val="32"/>
          <w:szCs w:val="32"/>
        </w:rPr>
        <w:t>（宗地红线外通路、通电、通上水、通下水、通讯、通暖、通气和宗地内场地平整），工业用地</w:t>
      </w:r>
      <w:r>
        <w:rPr>
          <w:rFonts w:eastAsia="仿宋"/>
          <w:sz w:val="32"/>
          <w:szCs w:val="32"/>
        </w:rPr>
        <w:t>“</w:t>
      </w:r>
      <w:r>
        <w:rPr>
          <w:rFonts w:eastAsia="仿宋"/>
          <w:sz w:val="32"/>
          <w:szCs w:val="32"/>
        </w:rPr>
        <w:t>五通一平</w:t>
      </w:r>
      <w:r>
        <w:rPr>
          <w:rFonts w:eastAsia="仿宋"/>
          <w:sz w:val="32"/>
          <w:szCs w:val="32"/>
        </w:rPr>
        <w:t>”</w:t>
      </w:r>
      <w:r>
        <w:rPr>
          <w:rFonts w:eastAsia="仿宋"/>
          <w:sz w:val="32"/>
          <w:szCs w:val="32"/>
        </w:rPr>
        <w:t>（宗地红线外通路、通上水、通下水、通电、通讯和宗地内场地平整）；保障性安居工程、养老、教育、文化和体育用地为</w:t>
      </w:r>
      <w:r>
        <w:rPr>
          <w:rFonts w:eastAsia="仿宋"/>
          <w:sz w:val="32"/>
          <w:szCs w:val="32"/>
        </w:rPr>
        <w:t>“</w:t>
      </w:r>
      <w:r>
        <w:rPr>
          <w:rFonts w:eastAsia="仿宋"/>
          <w:sz w:val="32"/>
          <w:szCs w:val="32"/>
        </w:rPr>
        <w:t>七通一平</w:t>
      </w:r>
      <w:r>
        <w:rPr>
          <w:rFonts w:eastAsia="仿宋"/>
          <w:sz w:val="32"/>
          <w:szCs w:val="32"/>
        </w:rPr>
        <w:t>”</w:t>
      </w:r>
      <w:r>
        <w:rPr>
          <w:rFonts w:eastAsia="仿宋"/>
          <w:sz w:val="32"/>
          <w:szCs w:val="32"/>
        </w:rPr>
        <w:t>（宗地红线外通路、通电、通上水、通下水、通讯、通暖、通气和宗地内场地平整）；能源、环境保护、供水、燃气供应、供热设施用地为</w:t>
      </w:r>
      <w:r>
        <w:rPr>
          <w:rFonts w:eastAsia="仿宋"/>
          <w:sz w:val="32"/>
          <w:szCs w:val="32"/>
        </w:rPr>
        <w:t>“</w:t>
      </w:r>
      <w:r>
        <w:rPr>
          <w:rFonts w:eastAsia="仿宋"/>
          <w:sz w:val="32"/>
          <w:szCs w:val="32"/>
        </w:rPr>
        <w:t>五通一平</w:t>
      </w:r>
      <w:r>
        <w:rPr>
          <w:rFonts w:eastAsia="仿宋"/>
          <w:sz w:val="32"/>
          <w:szCs w:val="32"/>
        </w:rPr>
        <w:t>”</w:t>
      </w:r>
      <w:r>
        <w:rPr>
          <w:rFonts w:eastAsia="仿宋"/>
          <w:sz w:val="32"/>
          <w:szCs w:val="32"/>
        </w:rPr>
        <w:t>（宗地红线外通路、通上水、通下水、通电、通讯和宗地内场地平整）。</w:t>
      </w:r>
    </w:p>
    <w:p w:rsidR="00E2069F" w:rsidRDefault="00032288">
      <w:pPr>
        <w:pStyle w:val="a6"/>
        <w:spacing w:before="0" w:beforeAutospacing="0" w:after="0" w:afterAutospacing="0" w:line="560" w:lineRule="exact"/>
        <w:ind w:left="0"/>
        <w:rPr>
          <w:b/>
          <w:bCs/>
          <w:color w:val="000000"/>
          <w:sz w:val="32"/>
          <w:szCs w:val="32"/>
        </w:rPr>
      </w:pPr>
      <w:r>
        <w:rPr>
          <w:rStyle w:val="a7"/>
          <w:rFonts w:ascii="黑体" w:eastAsia="黑体" w:hint="eastAsia"/>
          <w:b w:val="0"/>
          <w:sz w:val="32"/>
          <w:szCs w:val="32"/>
        </w:rPr>
        <w:lastRenderedPageBreak/>
        <w:t>附件4</w:t>
      </w:r>
    </w:p>
    <w:p w:rsidR="00E2069F" w:rsidRDefault="00E2069F">
      <w:pPr>
        <w:spacing w:line="560" w:lineRule="exact"/>
        <w:jc w:val="center"/>
        <w:rPr>
          <w:rFonts w:ascii="宋体" w:hAnsi="宋体" w:cs="宋体"/>
          <w:b/>
          <w:bCs/>
          <w:color w:val="000000"/>
          <w:kern w:val="0"/>
          <w:sz w:val="32"/>
          <w:szCs w:val="32"/>
        </w:rPr>
      </w:pPr>
    </w:p>
    <w:p w:rsidR="00E2069F" w:rsidRDefault="00032288">
      <w:pPr>
        <w:spacing w:line="560" w:lineRule="exact"/>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达拉特旗中心城区（含经济开发区）</w:t>
      </w:r>
    </w:p>
    <w:p w:rsidR="00E2069F" w:rsidRDefault="00032288">
      <w:pPr>
        <w:spacing w:line="560" w:lineRule="exact"/>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基准地价土地级别描述</w:t>
      </w:r>
    </w:p>
    <w:p w:rsidR="00E2069F" w:rsidRDefault="00E2069F">
      <w:pPr>
        <w:adjustRightInd w:val="0"/>
        <w:snapToGrid w:val="0"/>
        <w:spacing w:line="560" w:lineRule="exact"/>
        <w:ind w:firstLineChars="200" w:firstLine="643"/>
        <w:rPr>
          <w:rFonts w:eastAsia="仿宋_GB2312"/>
          <w:b/>
          <w:sz w:val="32"/>
          <w:szCs w:val="32"/>
        </w:rPr>
      </w:pPr>
    </w:p>
    <w:p w:rsidR="00E2069F" w:rsidRDefault="00032288">
      <w:pPr>
        <w:adjustRightInd w:val="0"/>
        <w:snapToGrid w:val="0"/>
        <w:spacing w:line="560" w:lineRule="exact"/>
        <w:ind w:firstLineChars="200" w:firstLine="643"/>
        <w:rPr>
          <w:rFonts w:eastAsia="仿宋_GB2312"/>
          <w:b/>
          <w:sz w:val="32"/>
          <w:szCs w:val="32"/>
        </w:rPr>
      </w:pPr>
      <w:r>
        <w:rPr>
          <w:rFonts w:eastAsia="仿宋_GB2312" w:hint="eastAsia"/>
          <w:b/>
          <w:sz w:val="32"/>
          <w:szCs w:val="32"/>
        </w:rPr>
        <w:t>1.</w:t>
      </w:r>
      <w:r>
        <w:rPr>
          <w:rFonts w:eastAsia="仿宋_GB2312"/>
          <w:b/>
          <w:sz w:val="32"/>
          <w:szCs w:val="32"/>
        </w:rPr>
        <w:t>综合用地边界说明</w:t>
      </w:r>
    </w:p>
    <w:p w:rsidR="00E2069F" w:rsidRDefault="00032288">
      <w:pPr>
        <w:adjustRightInd w:val="0"/>
        <w:snapToGrid w:val="0"/>
        <w:spacing w:line="560" w:lineRule="exact"/>
        <w:ind w:firstLineChars="200" w:firstLine="640"/>
        <w:rPr>
          <w:rFonts w:eastAsia="仿宋"/>
          <w:sz w:val="32"/>
          <w:szCs w:val="32"/>
        </w:rPr>
      </w:pPr>
      <w:r>
        <w:rPr>
          <w:rFonts w:eastAsia="仿宋"/>
          <w:sz w:val="32"/>
          <w:szCs w:val="32"/>
        </w:rPr>
        <w:t>综合用地</w:t>
      </w:r>
      <w:r>
        <w:rPr>
          <w:rFonts w:eastAsia="仿宋"/>
          <w:sz w:val="32"/>
          <w:szCs w:val="32"/>
        </w:rPr>
        <w:t>Ⅰ</w:t>
      </w:r>
      <w:r>
        <w:rPr>
          <w:rFonts w:eastAsia="仿宋"/>
          <w:sz w:val="32"/>
          <w:szCs w:val="32"/>
        </w:rPr>
        <w:t>级地：</w:t>
      </w:r>
    </w:p>
    <w:p w:rsidR="00E2069F" w:rsidRDefault="00032288">
      <w:pPr>
        <w:adjustRightInd w:val="0"/>
        <w:snapToGrid w:val="0"/>
        <w:spacing w:line="560" w:lineRule="exact"/>
        <w:ind w:firstLineChars="200" w:firstLine="640"/>
        <w:rPr>
          <w:rFonts w:eastAsia="仿宋"/>
          <w:sz w:val="32"/>
          <w:szCs w:val="32"/>
        </w:rPr>
      </w:pPr>
      <w:r>
        <w:rPr>
          <w:rFonts w:eastAsia="仿宋"/>
          <w:sz w:val="32"/>
          <w:szCs w:val="32"/>
        </w:rPr>
        <w:t>北至迎宾大街，东至泰兴路，南至南园街，西至林荫路。</w:t>
      </w:r>
      <w:r>
        <w:rPr>
          <w:rFonts w:eastAsia="仿宋"/>
          <w:sz w:val="32"/>
          <w:szCs w:val="32"/>
        </w:rPr>
        <w:t>Ⅰ</w:t>
      </w:r>
      <w:r>
        <w:rPr>
          <w:rFonts w:eastAsia="仿宋"/>
          <w:sz w:val="32"/>
          <w:szCs w:val="32"/>
        </w:rPr>
        <w:t>级综合用地总面积为</w:t>
      </w:r>
      <w:r>
        <w:rPr>
          <w:rFonts w:eastAsia="仿宋"/>
          <w:sz w:val="32"/>
          <w:szCs w:val="32"/>
        </w:rPr>
        <w:t>912.31</w:t>
      </w:r>
      <w:r>
        <w:rPr>
          <w:rFonts w:eastAsia="仿宋"/>
          <w:sz w:val="32"/>
          <w:szCs w:val="32"/>
        </w:rPr>
        <w:t>公顷，具体范围详见综合用地级别图。</w:t>
      </w:r>
    </w:p>
    <w:p w:rsidR="00E2069F" w:rsidRDefault="00032288">
      <w:pPr>
        <w:adjustRightInd w:val="0"/>
        <w:snapToGrid w:val="0"/>
        <w:spacing w:line="560" w:lineRule="exact"/>
        <w:ind w:firstLineChars="200" w:firstLine="640"/>
        <w:rPr>
          <w:rFonts w:eastAsia="仿宋"/>
          <w:sz w:val="32"/>
          <w:szCs w:val="32"/>
        </w:rPr>
      </w:pPr>
      <w:r>
        <w:rPr>
          <w:rFonts w:eastAsia="仿宋"/>
          <w:sz w:val="32"/>
          <w:szCs w:val="32"/>
        </w:rPr>
        <w:t>综合用地</w:t>
      </w:r>
      <w:r>
        <w:rPr>
          <w:rFonts w:eastAsia="仿宋"/>
          <w:sz w:val="32"/>
          <w:szCs w:val="32"/>
        </w:rPr>
        <w:t>Ⅱ</w:t>
      </w:r>
      <w:r>
        <w:rPr>
          <w:rFonts w:eastAsia="仿宋"/>
          <w:sz w:val="32"/>
          <w:szCs w:val="32"/>
        </w:rPr>
        <w:t>级地：</w:t>
      </w:r>
    </w:p>
    <w:p w:rsidR="00E2069F" w:rsidRDefault="00032288">
      <w:pPr>
        <w:adjustRightInd w:val="0"/>
        <w:snapToGrid w:val="0"/>
        <w:spacing w:line="560" w:lineRule="exact"/>
        <w:ind w:firstLineChars="200" w:firstLine="640"/>
        <w:rPr>
          <w:rFonts w:eastAsia="仿宋"/>
          <w:sz w:val="32"/>
          <w:szCs w:val="32"/>
        </w:rPr>
      </w:pPr>
      <w:r>
        <w:rPr>
          <w:rFonts w:eastAsia="仿宋"/>
          <w:sz w:val="32"/>
          <w:szCs w:val="32"/>
        </w:rPr>
        <w:t>沿</w:t>
      </w:r>
      <w:r>
        <w:rPr>
          <w:rFonts w:eastAsia="仿宋"/>
          <w:sz w:val="32"/>
          <w:szCs w:val="32"/>
        </w:rPr>
        <w:t>Ⅰ</w:t>
      </w:r>
      <w:r>
        <w:rPr>
          <w:rFonts w:eastAsia="仿宋"/>
          <w:sz w:val="32"/>
          <w:szCs w:val="32"/>
        </w:rPr>
        <w:t>级用地向东、南、西、北四个方向扩展：北至新园街，东至泰兴路，南至望园街，西至铁路。</w:t>
      </w:r>
      <w:r>
        <w:rPr>
          <w:rFonts w:eastAsia="仿宋"/>
          <w:sz w:val="32"/>
          <w:szCs w:val="32"/>
        </w:rPr>
        <w:t>Ⅱ</w:t>
      </w:r>
      <w:r>
        <w:rPr>
          <w:rFonts w:eastAsia="仿宋"/>
          <w:sz w:val="32"/>
          <w:szCs w:val="32"/>
        </w:rPr>
        <w:t>级综合用地总面积为</w:t>
      </w:r>
      <w:r>
        <w:rPr>
          <w:rFonts w:eastAsia="仿宋"/>
          <w:sz w:val="32"/>
          <w:szCs w:val="32"/>
        </w:rPr>
        <w:t>1577.01</w:t>
      </w:r>
      <w:r>
        <w:rPr>
          <w:rFonts w:eastAsia="仿宋"/>
          <w:sz w:val="32"/>
          <w:szCs w:val="32"/>
        </w:rPr>
        <w:t>公顷，具体范围详见综合用地级别图。</w:t>
      </w:r>
    </w:p>
    <w:p w:rsidR="00E2069F" w:rsidRDefault="00032288">
      <w:pPr>
        <w:adjustRightInd w:val="0"/>
        <w:snapToGrid w:val="0"/>
        <w:spacing w:line="560" w:lineRule="exact"/>
        <w:ind w:firstLineChars="200" w:firstLine="640"/>
        <w:rPr>
          <w:rFonts w:eastAsia="仿宋"/>
          <w:sz w:val="32"/>
          <w:szCs w:val="32"/>
        </w:rPr>
      </w:pPr>
      <w:r>
        <w:rPr>
          <w:rFonts w:eastAsia="仿宋"/>
          <w:sz w:val="32"/>
          <w:szCs w:val="32"/>
        </w:rPr>
        <w:t>综合用地</w:t>
      </w:r>
      <w:r>
        <w:rPr>
          <w:rFonts w:eastAsia="仿宋"/>
          <w:sz w:val="32"/>
          <w:szCs w:val="32"/>
        </w:rPr>
        <w:t>Ⅲ</w:t>
      </w:r>
      <w:r>
        <w:rPr>
          <w:rFonts w:eastAsia="仿宋"/>
          <w:sz w:val="32"/>
          <w:szCs w:val="32"/>
        </w:rPr>
        <w:t>级地：</w:t>
      </w:r>
    </w:p>
    <w:p w:rsidR="00E2069F" w:rsidRDefault="00032288">
      <w:pPr>
        <w:adjustRightInd w:val="0"/>
        <w:snapToGrid w:val="0"/>
        <w:spacing w:line="560" w:lineRule="exact"/>
        <w:ind w:firstLineChars="200" w:firstLine="640"/>
        <w:rPr>
          <w:rFonts w:eastAsia="仿宋"/>
          <w:sz w:val="32"/>
          <w:szCs w:val="32"/>
        </w:rPr>
      </w:pPr>
      <w:r>
        <w:rPr>
          <w:rFonts w:eastAsia="仿宋"/>
          <w:sz w:val="32"/>
          <w:szCs w:val="32"/>
        </w:rPr>
        <w:t>Ⅲ</w:t>
      </w:r>
      <w:r>
        <w:rPr>
          <w:rFonts w:eastAsia="仿宋"/>
          <w:sz w:val="32"/>
          <w:szCs w:val="32"/>
        </w:rPr>
        <w:t>级综合用地范围为</w:t>
      </w:r>
      <w:r>
        <w:rPr>
          <w:rFonts w:eastAsia="仿宋"/>
          <w:sz w:val="32"/>
          <w:szCs w:val="32"/>
        </w:rPr>
        <w:t>Ⅱ</w:t>
      </w:r>
      <w:r>
        <w:rPr>
          <w:rFonts w:eastAsia="仿宋"/>
          <w:sz w:val="32"/>
          <w:szCs w:val="32"/>
        </w:rPr>
        <w:t>级综合用地以外、绕城路以南的中心城区定级范围以内的区域，</w:t>
      </w:r>
      <w:r>
        <w:rPr>
          <w:rFonts w:eastAsia="仿宋"/>
          <w:sz w:val="32"/>
          <w:szCs w:val="32"/>
        </w:rPr>
        <w:t>Ⅲ</w:t>
      </w:r>
      <w:r>
        <w:rPr>
          <w:rFonts w:eastAsia="仿宋"/>
          <w:sz w:val="32"/>
          <w:szCs w:val="32"/>
        </w:rPr>
        <w:t>级综合用地总面积为</w:t>
      </w:r>
      <w:r>
        <w:rPr>
          <w:rFonts w:eastAsia="仿宋"/>
          <w:sz w:val="32"/>
          <w:szCs w:val="32"/>
        </w:rPr>
        <w:t>3981.53</w:t>
      </w:r>
      <w:r>
        <w:rPr>
          <w:rFonts w:eastAsia="仿宋"/>
          <w:sz w:val="32"/>
          <w:szCs w:val="32"/>
        </w:rPr>
        <w:t>公顷，具体范围详见综合用地级别图。</w:t>
      </w:r>
    </w:p>
    <w:p w:rsidR="00E2069F" w:rsidRDefault="00032288">
      <w:pPr>
        <w:adjustRightInd w:val="0"/>
        <w:snapToGrid w:val="0"/>
        <w:spacing w:line="560" w:lineRule="exact"/>
        <w:ind w:firstLineChars="200" w:firstLine="640"/>
        <w:rPr>
          <w:rFonts w:eastAsia="仿宋"/>
          <w:sz w:val="32"/>
          <w:szCs w:val="32"/>
        </w:rPr>
      </w:pPr>
      <w:r>
        <w:rPr>
          <w:rFonts w:eastAsia="仿宋"/>
          <w:sz w:val="32"/>
          <w:szCs w:val="32"/>
        </w:rPr>
        <w:t>综合用地</w:t>
      </w:r>
      <w:r>
        <w:rPr>
          <w:rFonts w:eastAsia="仿宋"/>
          <w:sz w:val="32"/>
          <w:szCs w:val="32"/>
        </w:rPr>
        <w:t>Ⅳ</w:t>
      </w:r>
      <w:r>
        <w:rPr>
          <w:rFonts w:eastAsia="仿宋"/>
          <w:sz w:val="32"/>
          <w:szCs w:val="32"/>
        </w:rPr>
        <w:t>级地：</w:t>
      </w:r>
    </w:p>
    <w:p w:rsidR="00E2069F" w:rsidRDefault="00032288">
      <w:pPr>
        <w:pStyle w:val="a0"/>
        <w:spacing w:line="560" w:lineRule="exact"/>
        <w:rPr>
          <w:sz w:val="22"/>
          <w:szCs w:val="22"/>
        </w:rPr>
      </w:pPr>
      <w:r>
        <w:rPr>
          <w:rFonts w:eastAsia="仿宋"/>
          <w:sz w:val="32"/>
          <w:szCs w:val="32"/>
        </w:rPr>
        <w:t>中心城区定级范围内除</w:t>
      </w:r>
      <w:r>
        <w:rPr>
          <w:rFonts w:eastAsia="仿宋"/>
          <w:sz w:val="32"/>
          <w:szCs w:val="32"/>
        </w:rPr>
        <w:t>Ⅰ</w:t>
      </w:r>
      <w:r>
        <w:rPr>
          <w:rFonts w:eastAsia="仿宋"/>
          <w:sz w:val="32"/>
          <w:szCs w:val="32"/>
        </w:rPr>
        <w:t>级用地、</w:t>
      </w:r>
      <w:r>
        <w:rPr>
          <w:rFonts w:eastAsia="仿宋"/>
          <w:sz w:val="32"/>
          <w:szCs w:val="32"/>
        </w:rPr>
        <w:t>Ⅱ</w:t>
      </w:r>
      <w:r>
        <w:rPr>
          <w:rFonts w:eastAsia="仿宋"/>
          <w:sz w:val="32"/>
          <w:szCs w:val="32"/>
        </w:rPr>
        <w:t>级用地、</w:t>
      </w:r>
      <w:r>
        <w:rPr>
          <w:rFonts w:eastAsia="仿宋"/>
          <w:sz w:val="32"/>
          <w:szCs w:val="32"/>
        </w:rPr>
        <w:t>Ⅲ</w:t>
      </w:r>
      <w:r>
        <w:rPr>
          <w:rFonts w:eastAsia="仿宋"/>
          <w:sz w:val="32"/>
          <w:szCs w:val="32"/>
        </w:rPr>
        <w:t>级用地</w:t>
      </w:r>
      <w:r>
        <w:rPr>
          <w:rFonts w:eastAsia="仿宋" w:hint="eastAsia"/>
          <w:sz w:val="32"/>
          <w:szCs w:val="32"/>
        </w:rPr>
        <w:t>以</w:t>
      </w:r>
      <w:r>
        <w:rPr>
          <w:rFonts w:eastAsia="仿宋"/>
          <w:sz w:val="32"/>
          <w:szCs w:val="32"/>
        </w:rPr>
        <w:t>外的其它区域。</w:t>
      </w:r>
    </w:p>
    <w:p w:rsidR="00E2069F" w:rsidRDefault="00032288">
      <w:pPr>
        <w:adjustRightInd w:val="0"/>
        <w:snapToGrid w:val="0"/>
        <w:spacing w:line="560" w:lineRule="exact"/>
        <w:ind w:firstLineChars="200" w:firstLine="643"/>
        <w:rPr>
          <w:rFonts w:eastAsia="仿宋_GB2312"/>
          <w:b/>
          <w:sz w:val="32"/>
          <w:szCs w:val="32"/>
        </w:rPr>
      </w:pPr>
      <w:r>
        <w:rPr>
          <w:rFonts w:eastAsia="仿宋_GB2312" w:hint="eastAsia"/>
          <w:b/>
          <w:sz w:val="32"/>
          <w:szCs w:val="32"/>
        </w:rPr>
        <w:t>2.</w:t>
      </w:r>
      <w:r>
        <w:rPr>
          <w:rFonts w:eastAsia="仿宋_GB2312"/>
          <w:b/>
          <w:sz w:val="32"/>
          <w:szCs w:val="32"/>
        </w:rPr>
        <w:t>商服用地边界说明</w:t>
      </w:r>
    </w:p>
    <w:p w:rsidR="00E2069F" w:rsidRDefault="00032288">
      <w:pPr>
        <w:snapToGrid w:val="0"/>
        <w:spacing w:line="560" w:lineRule="exact"/>
        <w:ind w:firstLineChars="200" w:firstLine="640"/>
        <w:rPr>
          <w:rFonts w:eastAsia="仿宋"/>
          <w:sz w:val="32"/>
          <w:szCs w:val="32"/>
        </w:rPr>
      </w:pPr>
      <w:r>
        <w:rPr>
          <w:rFonts w:eastAsia="仿宋"/>
          <w:sz w:val="32"/>
          <w:szCs w:val="32"/>
        </w:rPr>
        <w:lastRenderedPageBreak/>
        <w:t>商服用地</w:t>
      </w:r>
      <w:r>
        <w:rPr>
          <w:rFonts w:eastAsia="仿宋"/>
          <w:sz w:val="32"/>
          <w:szCs w:val="32"/>
        </w:rPr>
        <w:t>Ⅰ</w:t>
      </w:r>
      <w:r>
        <w:rPr>
          <w:rFonts w:eastAsia="仿宋"/>
          <w:sz w:val="32"/>
          <w:szCs w:val="32"/>
        </w:rPr>
        <w:t>级地：</w:t>
      </w:r>
    </w:p>
    <w:p w:rsidR="00E2069F" w:rsidRDefault="00032288">
      <w:pPr>
        <w:snapToGrid w:val="0"/>
        <w:spacing w:line="560" w:lineRule="exact"/>
        <w:ind w:firstLineChars="200" w:firstLine="640"/>
        <w:rPr>
          <w:rFonts w:eastAsia="仿宋"/>
          <w:sz w:val="32"/>
          <w:szCs w:val="32"/>
        </w:rPr>
      </w:pPr>
      <w:r>
        <w:rPr>
          <w:rFonts w:eastAsia="仿宋"/>
          <w:sz w:val="32"/>
          <w:szCs w:val="32"/>
        </w:rPr>
        <w:t>北至迎宾大街，东至新华路，南至南园街，西至西园路。</w:t>
      </w:r>
      <w:r>
        <w:rPr>
          <w:rFonts w:eastAsia="仿宋"/>
          <w:sz w:val="32"/>
          <w:szCs w:val="32"/>
        </w:rPr>
        <w:t>Ⅰ</w:t>
      </w:r>
      <w:r>
        <w:rPr>
          <w:rFonts w:eastAsia="仿宋"/>
          <w:sz w:val="32"/>
          <w:szCs w:val="32"/>
        </w:rPr>
        <w:t>级商服用地总面积为</w:t>
      </w:r>
      <w:r>
        <w:rPr>
          <w:rFonts w:eastAsia="仿宋"/>
          <w:sz w:val="32"/>
          <w:szCs w:val="32"/>
        </w:rPr>
        <w:t>374.39</w:t>
      </w:r>
      <w:r>
        <w:rPr>
          <w:rFonts w:eastAsia="仿宋"/>
          <w:sz w:val="32"/>
          <w:szCs w:val="32"/>
        </w:rPr>
        <w:t>公顷，具体范围详见商服用地级别图。</w:t>
      </w:r>
    </w:p>
    <w:p w:rsidR="00E2069F" w:rsidRDefault="00032288">
      <w:pPr>
        <w:snapToGrid w:val="0"/>
        <w:spacing w:line="560" w:lineRule="exact"/>
        <w:ind w:firstLineChars="200" w:firstLine="640"/>
        <w:rPr>
          <w:rFonts w:eastAsia="仿宋"/>
          <w:sz w:val="32"/>
          <w:szCs w:val="32"/>
        </w:rPr>
      </w:pPr>
      <w:r>
        <w:rPr>
          <w:rFonts w:eastAsia="仿宋"/>
          <w:sz w:val="32"/>
          <w:szCs w:val="32"/>
        </w:rPr>
        <w:t>商服用地</w:t>
      </w:r>
      <w:r>
        <w:rPr>
          <w:rFonts w:eastAsia="仿宋"/>
          <w:sz w:val="32"/>
          <w:szCs w:val="32"/>
        </w:rPr>
        <w:t>Ⅱ</w:t>
      </w:r>
      <w:r>
        <w:rPr>
          <w:rFonts w:eastAsia="仿宋"/>
          <w:sz w:val="32"/>
          <w:szCs w:val="32"/>
        </w:rPr>
        <w:t>级地：</w:t>
      </w:r>
    </w:p>
    <w:p w:rsidR="00E2069F" w:rsidRDefault="00032288">
      <w:pPr>
        <w:snapToGrid w:val="0"/>
        <w:spacing w:line="560" w:lineRule="exact"/>
        <w:ind w:firstLineChars="200" w:firstLine="640"/>
        <w:rPr>
          <w:rFonts w:eastAsia="仿宋"/>
          <w:sz w:val="32"/>
          <w:szCs w:val="32"/>
        </w:rPr>
      </w:pPr>
      <w:r>
        <w:rPr>
          <w:rFonts w:eastAsia="仿宋"/>
          <w:sz w:val="32"/>
          <w:szCs w:val="32"/>
        </w:rPr>
        <w:t>沿</w:t>
      </w:r>
      <w:r>
        <w:rPr>
          <w:rFonts w:eastAsia="仿宋"/>
          <w:sz w:val="32"/>
          <w:szCs w:val="32"/>
        </w:rPr>
        <w:t>Ⅰ</w:t>
      </w:r>
      <w:r>
        <w:rPr>
          <w:rFonts w:eastAsia="仿宋"/>
          <w:sz w:val="32"/>
          <w:szCs w:val="32"/>
        </w:rPr>
        <w:t>级用地向北、西、东、南四个方向扩展。北至新园街，东至昭君路，南至望园街，西至林荫路。</w:t>
      </w:r>
      <w:r>
        <w:rPr>
          <w:rFonts w:eastAsia="仿宋"/>
          <w:sz w:val="32"/>
          <w:szCs w:val="32"/>
        </w:rPr>
        <w:t>Ⅱ</w:t>
      </w:r>
      <w:r>
        <w:rPr>
          <w:rFonts w:eastAsia="仿宋"/>
          <w:sz w:val="32"/>
          <w:szCs w:val="32"/>
        </w:rPr>
        <w:t>级商服用地总面积为</w:t>
      </w:r>
      <w:r>
        <w:rPr>
          <w:rFonts w:eastAsia="仿宋"/>
          <w:sz w:val="32"/>
          <w:szCs w:val="32"/>
        </w:rPr>
        <w:t>1463.48</w:t>
      </w:r>
      <w:r>
        <w:rPr>
          <w:rFonts w:eastAsia="仿宋"/>
          <w:sz w:val="32"/>
          <w:szCs w:val="32"/>
        </w:rPr>
        <w:t>公顷，具体范围详见商服用地级别图。</w:t>
      </w:r>
    </w:p>
    <w:p w:rsidR="00E2069F" w:rsidRDefault="00032288">
      <w:pPr>
        <w:snapToGrid w:val="0"/>
        <w:spacing w:line="560" w:lineRule="exact"/>
        <w:ind w:firstLineChars="200" w:firstLine="640"/>
        <w:rPr>
          <w:rFonts w:eastAsia="仿宋"/>
          <w:sz w:val="32"/>
          <w:szCs w:val="32"/>
        </w:rPr>
      </w:pPr>
      <w:r>
        <w:rPr>
          <w:rFonts w:eastAsia="仿宋"/>
          <w:sz w:val="32"/>
          <w:szCs w:val="32"/>
        </w:rPr>
        <w:t>商服用地</w:t>
      </w:r>
      <w:r>
        <w:rPr>
          <w:rFonts w:eastAsia="仿宋"/>
          <w:sz w:val="32"/>
          <w:szCs w:val="32"/>
        </w:rPr>
        <w:t>Ⅲ</w:t>
      </w:r>
      <w:r>
        <w:rPr>
          <w:rFonts w:eastAsia="仿宋"/>
          <w:sz w:val="32"/>
          <w:szCs w:val="32"/>
        </w:rPr>
        <w:t>级地：</w:t>
      </w:r>
    </w:p>
    <w:p w:rsidR="00E2069F" w:rsidRDefault="00032288">
      <w:pPr>
        <w:snapToGrid w:val="0"/>
        <w:spacing w:line="560" w:lineRule="exact"/>
        <w:ind w:firstLineChars="200" w:firstLine="640"/>
        <w:rPr>
          <w:rFonts w:eastAsia="仿宋"/>
          <w:sz w:val="32"/>
          <w:szCs w:val="32"/>
        </w:rPr>
      </w:pPr>
      <w:r>
        <w:rPr>
          <w:rFonts w:eastAsia="仿宋"/>
          <w:sz w:val="32"/>
          <w:szCs w:val="32"/>
        </w:rPr>
        <w:t>Ⅲ</w:t>
      </w:r>
      <w:r>
        <w:rPr>
          <w:rFonts w:eastAsia="仿宋"/>
          <w:sz w:val="32"/>
          <w:szCs w:val="32"/>
        </w:rPr>
        <w:t>级商服用地范围为</w:t>
      </w:r>
      <w:r>
        <w:rPr>
          <w:rFonts w:eastAsia="仿宋"/>
          <w:sz w:val="32"/>
          <w:szCs w:val="32"/>
        </w:rPr>
        <w:t>Ⅱ</w:t>
      </w:r>
      <w:r>
        <w:rPr>
          <w:rFonts w:eastAsia="仿宋"/>
          <w:sz w:val="32"/>
          <w:szCs w:val="32"/>
        </w:rPr>
        <w:t>级商服用地以外、绕城路以南的</w:t>
      </w:r>
      <w:r>
        <w:rPr>
          <w:rFonts w:eastAsia="仿宋" w:hint="eastAsia"/>
          <w:sz w:val="32"/>
          <w:szCs w:val="32"/>
        </w:rPr>
        <w:t>中心城区</w:t>
      </w:r>
      <w:r>
        <w:rPr>
          <w:rFonts w:eastAsia="仿宋"/>
          <w:sz w:val="32"/>
          <w:szCs w:val="32"/>
        </w:rPr>
        <w:t>定级范围以内的区域，</w:t>
      </w:r>
      <w:r>
        <w:rPr>
          <w:rFonts w:eastAsia="仿宋"/>
          <w:sz w:val="32"/>
          <w:szCs w:val="32"/>
        </w:rPr>
        <w:t>Ⅲ</w:t>
      </w:r>
      <w:r>
        <w:rPr>
          <w:rFonts w:eastAsia="仿宋"/>
          <w:sz w:val="32"/>
          <w:szCs w:val="32"/>
        </w:rPr>
        <w:t>级商服用地总面积为</w:t>
      </w:r>
      <w:r>
        <w:rPr>
          <w:rFonts w:eastAsia="仿宋"/>
          <w:sz w:val="32"/>
          <w:szCs w:val="32"/>
        </w:rPr>
        <w:t>4632.33</w:t>
      </w:r>
      <w:r>
        <w:rPr>
          <w:rFonts w:eastAsia="仿宋"/>
          <w:sz w:val="32"/>
          <w:szCs w:val="32"/>
        </w:rPr>
        <w:t>公顷，具体范围详见商服用地级别图。</w:t>
      </w:r>
    </w:p>
    <w:p w:rsidR="00E2069F" w:rsidRDefault="00032288">
      <w:pPr>
        <w:snapToGrid w:val="0"/>
        <w:spacing w:line="560" w:lineRule="exact"/>
        <w:ind w:firstLineChars="200" w:firstLine="640"/>
        <w:rPr>
          <w:rFonts w:eastAsia="仿宋"/>
          <w:sz w:val="32"/>
          <w:szCs w:val="32"/>
        </w:rPr>
      </w:pPr>
      <w:r>
        <w:rPr>
          <w:rFonts w:eastAsia="仿宋"/>
          <w:sz w:val="32"/>
          <w:szCs w:val="32"/>
        </w:rPr>
        <w:t>商服用地</w:t>
      </w:r>
      <w:r>
        <w:rPr>
          <w:rFonts w:eastAsia="仿宋"/>
          <w:sz w:val="32"/>
          <w:szCs w:val="32"/>
        </w:rPr>
        <w:t>Ⅳ</w:t>
      </w:r>
      <w:r>
        <w:rPr>
          <w:rFonts w:eastAsia="仿宋"/>
          <w:sz w:val="32"/>
          <w:szCs w:val="32"/>
        </w:rPr>
        <w:t>级地：</w:t>
      </w:r>
    </w:p>
    <w:p w:rsidR="00E2069F" w:rsidRDefault="00032288">
      <w:pPr>
        <w:tabs>
          <w:tab w:val="center" w:pos="4252"/>
        </w:tabs>
        <w:spacing w:line="560" w:lineRule="exact"/>
        <w:ind w:firstLineChars="200" w:firstLine="640"/>
        <w:rPr>
          <w:rFonts w:eastAsia="仿宋"/>
          <w:sz w:val="32"/>
          <w:szCs w:val="32"/>
        </w:rPr>
      </w:pPr>
      <w:r>
        <w:rPr>
          <w:rFonts w:eastAsia="仿宋"/>
          <w:sz w:val="32"/>
          <w:szCs w:val="32"/>
        </w:rPr>
        <w:t>中心城区定级范围内除</w:t>
      </w:r>
      <w:r>
        <w:rPr>
          <w:rFonts w:eastAsia="仿宋"/>
          <w:sz w:val="32"/>
          <w:szCs w:val="32"/>
        </w:rPr>
        <w:t>Ⅰ</w:t>
      </w:r>
      <w:r>
        <w:rPr>
          <w:rFonts w:eastAsia="仿宋"/>
          <w:sz w:val="32"/>
          <w:szCs w:val="32"/>
        </w:rPr>
        <w:t>级用地、</w:t>
      </w:r>
      <w:r>
        <w:rPr>
          <w:rFonts w:eastAsia="仿宋"/>
          <w:sz w:val="32"/>
          <w:szCs w:val="32"/>
        </w:rPr>
        <w:t>Ⅱ</w:t>
      </w:r>
      <w:r>
        <w:rPr>
          <w:rFonts w:eastAsia="仿宋"/>
          <w:sz w:val="32"/>
          <w:szCs w:val="32"/>
        </w:rPr>
        <w:t>级用地、</w:t>
      </w:r>
      <w:r>
        <w:rPr>
          <w:rFonts w:eastAsia="仿宋"/>
          <w:sz w:val="32"/>
          <w:szCs w:val="32"/>
        </w:rPr>
        <w:t>Ⅲ</w:t>
      </w:r>
      <w:r>
        <w:rPr>
          <w:rFonts w:eastAsia="仿宋"/>
          <w:sz w:val="32"/>
          <w:szCs w:val="32"/>
        </w:rPr>
        <w:t>级用地定级范围外的其它区域。</w:t>
      </w:r>
      <w:r>
        <w:rPr>
          <w:rFonts w:eastAsia="仿宋"/>
          <w:sz w:val="32"/>
          <w:szCs w:val="32"/>
        </w:rPr>
        <w:t>Ⅳ</w:t>
      </w:r>
      <w:r>
        <w:rPr>
          <w:rFonts w:eastAsia="仿宋"/>
          <w:sz w:val="32"/>
          <w:szCs w:val="32"/>
        </w:rPr>
        <w:t>级商服用地总面积为</w:t>
      </w:r>
      <w:r>
        <w:rPr>
          <w:rFonts w:eastAsia="仿宋"/>
          <w:sz w:val="32"/>
          <w:szCs w:val="32"/>
        </w:rPr>
        <w:t>1320.98</w:t>
      </w:r>
      <w:r>
        <w:rPr>
          <w:rFonts w:eastAsia="仿宋"/>
          <w:sz w:val="32"/>
          <w:szCs w:val="32"/>
        </w:rPr>
        <w:t>公顷，具体范围详见商服用地级别图。</w:t>
      </w:r>
    </w:p>
    <w:p w:rsidR="00E2069F" w:rsidRDefault="00032288">
      <w:pPr>
        <w:tabs>
          <w:tab w:val="center" w:pos="4252"/>
        </w:tabs>
        <w:spacing w:line="56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住宅用地边界说明</w:t>
      </w:r>
    </w:p>
    <w:p w:rsidR="00E2069F" w:rsidRDefault="00032288">
      <w:pPr>
        <w:snapToGrid w:val="0"/>
        <w:spacing w:line="560" w:lineRule="exact"/>
        <w:ind w:firstLineChars="200" w:firstLine="640"/>
        <w:rPr>
          <w:rFonts w:eastAsia="仿宋"/>
          <w:sz w:val="32"/>
          <w:szCs w:val="32"/>
        </w:rPr>
      </w:pPr>
      <w:r>
        <w:rPr>
          <w:rFonts w:eastAsia="仿宋"/>
          <w:sz w:val="32"/>
          <w:szCs w:val="32"/>
        </w:rPr>
        <w:t>住宅用地</w:t>
      </w:r>
      <w:r>
        <w:rPr>
          <w:rFonts w:eastAsia="仿宋"/>
          <w:sz w:val="32"/>
          <w:szCs w:val="32"/>
        </w:rPr>
        <w:t>Ⅰ</w:t>
      </w:r>
      <w:r>
        <w:rPr>
          <w:rFonts w:eastAsia="仿宋"/>
          <w:sz w:val="32"/>
          <w:szCs w:val="32"/>
        </w:rPr>
        <w:t>级地：</w:t>
      </w:r>
    </w:p>
    <w:p w:rsidR="00E2069F" w:rsidRDefault="00032288">
      <w:pPr>
        <w:snapToGrid w:val="0"/>
        <w:spacing w:line="560" w:lineRule="exact"/>
        <w:ind w:firstLineChars="200" w:firstLine="640"/>
        <w:rPr>
          <w:rFonts w:eastAsia="仿宋"/>
          <w:sz w:val="32"/>
          <w:szCs w:val="32"/>
        </w:rPr>
      </w:pPr>
      <w:r>
        <w:rPr>
          <w:rFonts w:eastAsia="仿宋"/>
          <w:sz w:val="32"/>
          <w:szCs w:val="32"/>
        </w:rPr>
        <w:t>北至平原大街，东至建设路，南至南园街，西至林荫路。</w:t>
      </w:r>
      <w:r>
        <w:rPr>
          <w:rFonts w:eastAsia="仿宋"/>
          <w:sz w:val="32"/>
          <w:szCs w:val="32"/>
        </w:rPr>
        <w:t>Ⅰ</w:t>
      </w:r>
      <w:r>
        <w:rPr>
          <w:rFonts w:eastAsia="仿宋"/>
          <w:sz w:val="32"/>
          <w:szCs w:val="32"/>
        </w:rPr>
        <w:t>级住宅用地总面积为</w:t>
      </w:r>
      <w:r>
        <w:rPr>
          <w:rFonts w:eastAsia="仿宋"/>
          <w:sz w:val="32"/>
          <w:szCs w:val="32"/>
        </w:rPr>
        <w:t>959.56</w:t>
      </w:r>
      <w:r>
        <w:rPr>
          <w:rFonts w:eastAsia="仿宋"/>
          <w:sz w:val="32"/>
          <w:szCs w:val="32"/>
        </w:rPr>
        <w:t>公顷，具体范围详见住宅用地级别图。</w:t>
      </w:r>
    </w:p>
    <w:p w:rsidR="00E2069F" w:rsidRDefault="00032288">
      <w:pPr>
        <w:snapToGrid w:val="0"/>
        <w:spacing w:line="560" w:lineRule="exact"/>
        <w:ind w:firstLineChars="200" w:firstLine="640"/>
        <w:rPr>
          <w:rFonts w:eastAsia="仿宋"/>
          <w:sz w:val="32"/>
          <w:szCs w:val="32"/>
        </w:rPr>
      </w:pPr>
      <w:r>
        <w:rPr>
          <w:rFonts w:eastAsia="仿宋"/>
          <w:sz w:val="32"/>
          <w:szCs w:val="32"/>
        </w:rPr>
        <w:t>住宅用地</w:t>
      </w:r>
      <w:r>
        <w:rPr>
          <w:rFonts w:eastAsia="仿宋"/>
          <w:sz w:val="32"/>
          <w:szCs w:val="32"/>
        </w:rPr>
        <w:t>Ⅱ</w:t>
      </w:r>
      <w:r>
        <w:rPr>
          <w:rFonts w:eastAsia="仿宋"/>
          <w:sz w:val="32"/>
          <w:szCs w:val="32"/>
        </w:rPr>
        <w:t>级地：</w:t>
      </w:r>
    </w:p>
    <w:p w:rsidR="00E2069F" w:rsidRDefault="00032288">
      <w:pPr>
        <w:snapToGrid w:val="0"/>
        <w:spacing w:line="560" w:lineRule="exact"/>
        <w:ind w:firstLineChars="200" w:firstLine="640"/>
        <w:rPr>
          <w:rFonts w:eastAsia="仿宋"/>
          <w:sz w:val="32"/>
          <w:szCs w:val="32"/>
        </w:rPr>
      </w:pPr>
      <w:r>
        <w:rPr>
          <w:rFonts w:eastAsia="仿宋"/>
          <w:sz w:val="32"/>
          <w:szCs w:val="32"/>
        </w:rPr>
        <w:lastRenderedPageBreak/>
        <w:t>沿</w:t>
      </w:r>
      <w:r>
        <w:rPr>
          <w:rFonts w:eastAsia="仿宋"/>
          <w:sz w:val="32"/>
          <w:szCs w:val="32"/>
        </w:rPr>
        <w:t>Ⅰ</w:t>
      </w:r>
      <w:r>
        <w:rPr>
          <w:rFonts w:eastAsia="仿宋"/>
          <w:sz w:val="32"/>
          <w:szCs w:val="32"/>
        </w:rPr>
        <w:t>级用地向北、西、东、南四个方向扩展。北至新园街，东至泰兴路，南至望园街，西至铁路。</w:t>
      </w:r>
      <w:r>
        <w:rPr>
          <w:rFonts w:eastAsia="仿宋"/>
          <w:sz w:val="32"/>
          <w:szCs w:val="32"/>
        </w:rPr>
        <w:t>Ⅱ</w:t>
      </w:r>
      <w:r>
        <w:rPr>
          <w:rFonts w:eastAsia="仿宋"/>
          <w:sz w:val="32"/>
          <w:szCs w:val="32"/>
        </w:rPr>
        <w:t>级住宅用地总面积为</w:t>
      </w:r>
      <w:r>
        <w:rPr>
          <w:rFonts w:eastAsia="仿宋"/>
          <w:sz w:val="32"/>
          <w:szCs w:val="32"/>
        </w:rPr>
        <w:t>1529.85</w:t>
      </w:r>
      <w:r>
        <w:rPr>
          <w:rFonts w:eastAsia="仿宋"/>
          <w:sz w:val="32"/>
          <w:szCs w:val="32"/>
        </w:rPr>
        <w:t>公顷，具体范围详见住宅用地级别图。</w:t>
      </w:r>
    </w:p>
    <w:p w:rsidR="00E2069F" w:rsidRDefault="00032288">
      <w:pPr>
        <w:snapToGrid w:val="0"/>
        <w:spacing w:line="560" w:lineRule="exact"/>
        <w:ind w:firstLineChars="200" w:firstLine="640"/>
        <w:rPr>
          <w:rFonts w:eastAsia="仿宋"/>
          <w:sz w:val="32"/>
          <w:szCs w:val="32"/>
        </w:rPr>
      </w:pPr>
      <w:r>
        <w:rPr>
          <w:rFonts w:eastAsia="仿宋"/>
          <w:sz w:val="32"/>
          <w:szCs w:val="32"/>
        </w:rPr>
        <w:t>住宅用地</w:t>
      </w:r>
      <w:r>
        <w:rPr>
          <w:rFonts w:eastAsia="仿宋"/>
          <w:sz w:val="32"/>
          <w:szCs w:val="32"/>
        </w:rPr>
        <w:t>Ⅲ</w:t>
      </w:r>
      <w:r>
        <w:rPr>
          <w:rFonts w:eastAsia="仿宋"/>
          <w:sz w:val="32"/>
          <w:szCs w:val="32"/>
        </w:rPr>
        <w:t>级地：</w:t>
      </w:r>
    </w:p>
    <w:p w:rsidR="00E2069F" w:rsidRDefault="00032288">
      <w:pPr>
        <w:snapToGrid w:val="0"/>
        <w:spacing w:line="560" w:lineRule="exact"/>
        <w:ind w:firstLineChars="200" w:firstLine="640"/>
        <w:rPr>
          <w:rFonts w:eastAsia="仿宋"/>
          <w:sz w:val="32"/>
          <w:szCs w:val="32"/>
        </w:rPr>
      </w:pPr>
      <w:r>
        <w:rPr>
          <w:rFonts w:eastAsia="仿宋"/>
          <w:sz w:val="32"/>
          <w:szCs w:val="32"/>
        </w:rPr>
        <w:t>Ⅲ</w:t>
      </w:r>
      <w:r>
        <w:rPr>
          <w:rFonts w:eastAsia="仿宋"/>
          <w:sz w:val="32"/>
          <w:szCs w:val="32"/>
        </w:rPr>
        <w:t>级住宅用地建成区内</w:t>
      </w:r>
      <w:r>
        <w:rPr>
          <w:rFonts w:eastAsia="仿宋"/>
          <w:sz w:val="32"/>
          <w:szCs w:val="32"/>
        </w:rPr>
        <w:t>Ⅱ</w:t>
      </w:r>
      <w:r>
        <w:rPr>
          <w:rFonts w:eastAsia="仿宋"/>
          <w:sz w:val="32"/>
          <w:szCs w:val="32"/>
        </w:rPr>
        <w:t>级住宅用地以外、绕城路以南的</w:t>
      </w:r>
      <w:r>
        <w:rPr>
          <w:rFonts w:eastAsia="仿宋" w:hint="eastAsia"/>
          <w:sz w:val="32"/>
          <w:szCs w:val="32"/>
        </w:rPr>
        <w:t>中心城区</w:t>
      </w:r>
      <w:r>
        <w:rPr>
          <w:rFonts w:eastAsia="仿宋"/>
          <w:sz w:val="32"/>
          <w:szCs w:val="32"/>
        </w:rPr>
        <w:t>定级范围以内的区域，</w:t>
      </w:r>
      <w:r>
        <w:rPr>
          <w:rFonts w:eastAsia="仿宋"/>
          <w:sz w:val="32"/>
          <w:szCs w:val="32"/>
        </w:rPr>
        <w:t>Ⅲ</w:t>
      </w:r>
      <w:r>
        <w:rPr>
          <w:rFonts w:eastAsia="仿宋"/>
          <w:sz w:val="32"/>
          <w:szCs w:val="32"/>
        </w:rPr>
        <w:t>级住宅用地总面积为</w:t>
      </w:r>
      <w:r>
        <w:rPr>
          <w:rFonts w:eastAsia="仿宋"/>
          <w:sz w:val="32"/>
          <w:szCs w:val="32"/>
        </w:rPr>
        <w:t>3981.53</w:t>
      </w:r>
      <w:r>
        <w:rPr>
          <w:rFonts w:eastAsia="仿宋"/>
          <w:sz w:val="32"/>
          <w:szCs w:val="32"/>
        </w:rPr>
        <w:t>公顷，具体范围详见住宅用地级别图。</w:t>
      </w:r>
    </w:p>
    <w:p w:rsidR="00E2069F" w:rsidRDefault="00032288">
      <w:pPr>
        <w:snapToGrid w:val="0"/>
        <w:spacing w:line="560" w:lineRule="exact"/>
        <w:ind w:firstLineChars="200" w:firstLine="640"/>
        <w:rPr>
          <w:sz w:val="32"/>
          <w:szCs w:val="40"/>
        </w:rPr>
      </w:pPr>
      <w:r>
        <w:rPr>
          <w:rFonts w:eastAsia="仿宋"/>
          <w:sz w:val="32"/>
          <w:szCs w:val="32"/>
        </w:rPr>
        <w:t>住宅用地</w:t>
      </w:r>
      <w:r>
        <w:rPr>
          <w:rFonts w:eastAsia="仿宋"/>
          <w:sz w:val="32"/>
          <w:szCs w:val="32"/>
        </w:rPr>
        <w:t>Ⅳ</w:t>
      </w:r>
      <w:r>
        <w:rPr>
          <w:rFonts w:eastAsia="仿宋"/>
          <w:sz w:val="32"/>
          <w:szCs w:val="32"/>
        </w:rPr>
        <w:t>级地：中心城区定级范围内除</w:t>
      </w:r>
      <w:r>
        <w:rPr>
          <w:rFonts w:eastAsia="仿宋"/>
          <w:sz w:val="32"/>
          <w:szCs w:val="32"/>
        </w:rPr>
        <w:t>Ⅰ</w:t>
      </w:r>
      <w:r>
        <w:rPr>
          <w:rFonts w:eastAsia="仿宋"/>
          <w:sz w:val="32"/>
          <w:szCs w:val="32"/>
        </w:rPr>
        <w:t>级用地、</w:t>
      </w:r>
      <w:r>
        <w:rPr>
          <w:rFonts w:eastAsia="仿宋"/>
          <w:sz w:val="32"/>
          <w:szCs w:val="32"/>
        </w:rPr>
        <w:t>Ⅱ</w:t>
      </w:r>
      <w:r>
        <w:rPr>
          <w:rFonts w:eastAsia="仿宋"/>
          <w:sz w:val="32"/>
          <w:szCs w:val="32"/>
        </w:rPr>
        <w:t>级用地、</w:t>
      </w:r>
      <w:r>
        <w:rPr>
          <w:rFonts w:eastAsia="仿宋"/>
          <w:sz w:val="32"/>
          <w:szCs w:val="32"/>
        </w:rPr>
        <w:t>Ⅲ</w:t>
      </w:r>
      <w:r>
        <w:rPr>
          <w:rFonts w:eastAsia="仿宋"/>
          <w:sz w:val="32"/>
          <w:szCs w:val="32"/>
        </w:rPr>
        <w:t>级用地定级范围外的其它区域。</w:t>
      </w:r>
      <w:r>
        <w:rPr>
          <w:rFonts w:eastAsia="仿宋"/>
          <w:sz w:val="32"/>
          <w:szCs w:val="32"/>
        </w:rPr>
        <w:t>Ⅳ</w:t>
      </w:r>
      <w:r>
        <w:rPr>
          <w:rFonts w:eastAsia="仿宋"/>
          <w:sz w:val="32"/>
          <w:szCs w:val="32"/>
        </w:rPr>
        <w:t>级住宅用地总面积为</w:t>
      </w:r>
      <w:r>
        <w:rPr>
          <w:rFonts w:eastAsia="仿宋"/>
          <w:sz w:val="32"/>
          <w:szCs w:val="32"/>
        </w:rPr>
        <w:t>1320.24</w:t>
      </w:r>
      <w:r>
        <w:rPr>
          <w:rFonts w:eastAsia="仿宋"/>
          <w:sz w:val="32"/>
          <w:szCs w:val="32"/>
        </w:rPr>
        <w:t>公顷，具体范围详见住宅用地级别图。</w:t>
      </w:r>
    </w:p>
    <w:p w:rsidR="00E2069F" w:rsidRDefault="00032288">
      <w:pPr>
        <w:adjustRightInd w:val="0"/>
        <w:snapToGrid w:val="0"/>
        <w:spacing w:line="560" w:lineRule="exact"/>
        <w:ind w:firstLineChars="200" w:firstLine="643"/>
        <w:rPr>
          <w:rFonts w:eastAsia="仿宋_GB2312"/>
          <w:b/>
          <w:sz w:val="32"/>
          <w:szCs w:val="32"/>
        </w:rPr>
      </w:pPr>
      <w:r>
        <w:rPr>
          <w:rFonts w:eastAsia="仿宋_GB2312" w:hint="eastAsia"/>
          <w:b/>
          <w:sz w:val="32"/>
          <w:szCs w:val="32"/>
        </w:rPr>
        <w:t>4.</w:t>
      </w:r>
      <w:r>
        <w:rPr>
          <w:rFonts w:eastAsia="仿宋_GB2312"/>
          <w:b/>
          <w:sz w:val="32"/>
          <w:szCs w:val="32"/>
        </w:rPr>
        <w:t>工业用地边界说明</w:t>
      </w:r>
    </w:p>
    <w:p w:rsidR="00E2069F" w:rsidRDefault="00032288">
      <w:pPr>
        <w:snapToGrid w:val="0"/>
        <w:spacing w:line="560" w:lineRule="exact"/>
        <w:ind w:firstLineChars="200" w:firstLine="640"/>
        <w:rPr>
          <w:rFonts w:eastAsia="仿宋"/>
          <w:sz w:val="32"/>
          <w:szCs w:val="32"/>
        </w:rPr>
      </w:pPr>
      <w:r>
        <w:rPr>
          <w:rFonts w:eastAsia="仿宋"/>
          <w:sz w:val="32"/>
          <w:szCs w:val="32"/>
        </w:rPr>
        <w:t>中心城区工业用地</w:t>
      </w:r>
      <w:r>
        <w:rPr>
          <w:rFonts w:eastAsia="仿宋"/>
          <w:sz w:val="32"/>
          <w:szCs w:val="32"/>
        </w:rPr>
        <w:t>Ⅰ</w:t>
      </w:r>
      <w:r>
        <w:rPr>
          <w:rFonts w:eastAsia="仿宋"/>
          <w:sz w:val="32"/>
          <w:szCs w:val="32"/>
        </w:rPr>
        <w:t>级地</w:t>
      </w:r>
      <w:r>
        <w:rPr>
          <w:rFonts w:eastAsia="仿宋"/>
          <w:sz w:val="32"/>
          <w:szCs w:val="32"/>
        </w:rPr>
        <w:t>:</w:t>
      </w:r>
    </w:p>
    <w:p w:rsidR="00E2069F" w:rsidRDefault="00032288">
      <w:pPr>
        <w:snapToGrid w:val="0"/>
        <w:spacing w:line="560" w:lineRule="exact"/>
        <w:ind w:firstLineChars="200" w:firstLine="640"/>
        <w:rPr>
          <w:rFonts w:eastAsia="仿宋"/>
          <w:sz w:val="32"/>
          <w:szCs w:val="32"/>
        </w:rPr>
      </w:pPr>
      <w:r>
        <w:rPr>
          <w:rFonts w:eastAsia="仿宋"/>
          <w:sz w:val="32"/>
          <w:szCs w:val="32"/>
        </w:rPr>
        <w:t>北至黄河街，东至泰兴路，南至南园街，西至林荫路。</w:t>
      </w:r>
      <w:r>
        <w:rPr>
          <w:rFonts w:eastAsia="仿宋"/>
          <w:sz w:val="32"/>
          <w:szCs w:val="32"/>
        </w:rPr>
        <w:t>Ⅰ</w:t>
      </w:r>
      <w:r>
        <w:rPr>
          <w:rFonts w:eastAsia="仿宋"/>
          <w:sz w:val="32"/>
          <w:szCs w:val="32"/>
        </w:rPr>
        <w:t>级工业用地总面积为</w:t>
      </w:r>
      <w:r>
        <w:rPr>
          <w:rFonts w:eastAsia="仿宋"/>
          <w:sz w:val="32"/>
          <w:szCs w:val="32"/>
        </w:rPr>
        <w:t>1766.63</w:t>
      </w:r>
      <w:r>
        <w:rPr>
          <w:rFonts w:eastAsia="仿宋"/>
          <w:sz w:val="32"/>
          <w:szCs w:val="32"/>
        </w:rPr>
        <w:t>公顷，具体范围详见工业用地级别图。</w:t>
      </w:r>
    </w:p>
    <w:p w:rsidR="00E2069F" w:rsidRDefault="00032288">
      <w:pPr>
        <w:snapToGrid w:val="0"/>
        <w:spacing w:line="560" w:lineRule="exact"/>
        <w:ind w:firstLineChars="200" w:firstLine="640"/>
        <w:rPr>
          <w:rFonts w:eastAsia="仿宋"/>
          <w:sz w:val="32"/>
          <w:szCs w:val="32"/>
        </w:rPr>
      </w:pPr>
      <w:r>
        <w:rPr>
          <w:rFonts w:eastAsia="仿宋"/>
          <w:sz w:val="32"/>
          <w:szCs w:val="32"/>
        </w:rPr>
        <w:t>中心城区工业用地</w:t>
      </w:r>
      <w:r>
        <w:rPr>
          <w:rFonts w:eastAsia="仿宋"/>
          <w:sz w:val="32"/>
          <w:szCs w:val="32"/>
        </w:rPr>
        <w:t>Ⅱ</w:t>
      </w:r>
      <w:r>
        <w:rPr>
          <w:rFonts w:eastAsia="仿宋"/>
          <w:sz w:val="32"/>
          <w:szCs w:val="32"/>
        </w:rPr>
        <w:t>级地：</w:t>
      </w:r>
    </w:p>
    <w:p w:rsidR="00E2069F" w:rsidRDefault="00032288">
      <w:pPr>
        <w:snapToGrid w:val="0"/>
        <w:spacing w:line="560" w:lineRule="exact"/>
        <w:ind w:firstLineChars="200" w:firstLine="640"/>
        <w:rPr>
          <w:rFonts w:eastAsia="仿宋"/>
          <w:sz w:val="32"/>
          <w:szCs w:val="32"/>
        </w:rPr>
      </w:pPr>
      <w:r>
        <w:rPr>
          <w:rFonts w:eastAsia="仿宋"/>
          <w:sz w:val="32"/>
          <w:szCs w:val="32"/>
        </w:rPr>
        <w:t>沿</w:t>
      </w:r>
      <w:r>
        <w:rPr>
          <w:rFonts w:eastAsia="仿宋"/>
          <w:sz w:val="32"/>
          <w:szCs w:val="32"/>
        </w:rPr>
        <w:t>Ⅰ</w:t>
      </w:r>
      <w:r>
        <w:rPr>
          <w:rFonts w:eastAsia="仿宋"/>
          <w:sz w:val="32"/>
          <w:szCs w:val="32"/>
        </w:rPr>
        <w:t>级用地向北、西、东、南四个方向扩展。北至绕城路，东至绕城路东段，南至绕城路南段，西至木哈尔街。</w:t>
      </w:r>
      <w:r>
        <w:rPr>
          <w:rFonts w:eastAsia="仿宋"/>
          <w:sz w:val="32"/>
          <w:szCs w:val="32"/>
        </w:rPr>
        <w:t>Ⅱ</w:t>
      </w:r>
      <w:r>
        <w:rPr>
          <w:rFonts w:eastAsia="仿宋"/>
          <w:sz w:val="32"/>
          <w:szCs w:val="32"/>
        </w:rPr>
        <w:t>级工业用地总面积为</w:t>
      </w:r>
      <w:r>
        <w:rPr>
          <w:rFonts w:eastAsia="仿宋"/>
          <w:sz w:val="32"/>
          <w:szCs w:val="32"/>
        </w:rPr>
        <w:t>3730.02</w:t>
      </w:r>
      <w:r>
        <w:rPr>
          <w:rFonts w:eastAsia="仿宋"/>
          <w:sz w:val="32"/>
          <w:szCs w:val="32"/>
        </w:rPr>
        <w:t>公顷，具体范围详见工业用地级别图。</w:t>
      </w:r>
    </w:p>
    <w:p w:rsidR="00E2069F" w:rsidRDefault="00032288">
      <w:pPr>
        <w:snapToGrid w:val="0"/>
        <w:spacing w:line="560" w:lineRule="exact"/>
        <w:ind w:firstLineChars="200" w:firstLine="640"/>
        <w:rPr>
          <w:rFonts w:eastAsia="仿宋"/>
          <w:sz w:val="32"/>
          <w:szCs w:val="32"/>
        </w:rPr>
      </w:pPr>
      <w:r>
        <w:rPr>
          <w:rFonts w:eastAsia="仿宋"/>
          <w:sz w:val="32"/>
          <w:szCs w:val="32"/>
        </w:rPr>
        <w:t>中心城区工业用地</w:t>
      </w:r>
      <w:r>
        <w:rPr>
          <w:rFonts w:eastAsia="仿宋"/>
          <w:sz w:val="32"/>
          <w:szCs w:val="32"/>
        </w:rPr>
        <w:t>Ⅲ</w:t>
      </w:r>
      <w:r>
        <w:rPr>
          <w:rFonts w:eastAsia="仿宋"/>
          <w:sz w:val="32"/>
          <w:szCs w:val="32"/>
        </w:rPr>
        <w:t>级地：</w:t>
      </w:r>
    </w:p>
    <w:p w:rsidR="00E2069F" w:rsidRDefault="00032288">
      <w:pPr>
        <w:pStyle w:val="a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Ⅰ</w:t>
      </w:r>
      <w:r>
        <w:rPr>
          <w:rFonts w:ascii="Times New Roman" w:eastAsia="仿宋" w:hAnsi="Times New Roman" w:cs="Times New Roman"/>
          <w:sz w:val="32"/>
          <w:szCs w:val="32"/>
        </w:rPr>
        <w:t>级、</w:t>
      </w:r>
      <w:r>
        <w:rPr>
          <w:rFonts w:ascii="Times New Roman" w:eastAsia="仿宋" w:hAnsi="Times New Roman" w:cs="Times New Roman"/>
          <w:sz w:val="32"/>
          <w:szCs w:val="32"/>
        </w:rPr>
        <w:t>Ⅱ</w:t>
      </w:r>
      <w:r>
        <w:rPr>
          <w:rFonts w:ascii="Times New Roman" w:eastAsia="仿宋" w:hAnsi="Times New Roman" w:cs="Times New Roman"/>
          <w:sz w:val="32"/>
          <w:szCs w:val="32"/>
        </w:rPr>
        <w:t>级工业用地以外、中心城区定级范围以内的区域，</w:t>
      </w:r>
      <w:r>
        <w:rPr>
          <w:rFonts w:ascii="Times New Roman" w:eastAsia="仿宋" w:hAnsi="Times New Roman" w:cs="Times New Roman"/>
          <w:sz w:val="32"/>
          <w:szCs w:val="32"/>
        </w:rPr>
        <w:t>Ⅲ</w:t>
      </w:r>
      <w:r>
        <w:rPr>
          <w:rFonts w:ascii="Times New Roman" w:eastAsia="仿宋" w:hAnsi="Times New Roman" w:cs="Times New Roman"/>
          <w:sz w:val="32"/>
          <w:szCs w:val="32"/>
        </w:rPr>
        <w:t>级工业用地总面积为</w:t>
      </w:r>
      <w:r>
        <w:rPr>
          <w:rFonts w:ascii="Times New Roman" w:eastAsia="仿宋" w:hAnsi="Times New Roman" w:cs="Times New Roman"/>
          <w:sz w:val="32"/>
          <w:szCs w:val="32"/>
        </w:rPr>
        <w:t>2294.53</w:t>
      </w:r>
      <w:r>
        <w:rPr>
          <w:rFonts w:ascii="Times New Roman" w:eastAsia="仿宋" w:hAnsi="Times New Roman" w:cs="Times New Roman"/>
          <w:sz w:val="32"/>
          <w:szCs w:val="32"/>
        </w:rPr>
        <w:t>公顷，具体范围详见工业用地级别图。</w:t>
      </w:r>
    </w:p>
    <w:p w:rsidR="00E2069F" w:rsidRDefault="00E2069F">
      <w:pPr>
        <w:spacing w:line="560" w:lineRule="exact"/>
        <w:rPr>
          <w:rFonts w:ascii="仿宋_GB2312" w:eastAsia="仿宋_GB2312" w:hAnsi="仿宋_GB2312" w:cs="仿宋_GB2312"/>
          <w:kern w:val="0"/>
          <w:sz w:val="32"/>
          <w:szCs w:val="32"/>
        </w:rPr>
      </w:pPr>
    </w:p>
    <w:p w:rsidR="00032288" w:rsidRPr="00B1582D" w:rsidRDefault="00032288">
      <w:pPr>
        <w:kinsoku w:val="0"/>
        <w:autoSpaceDE w:val="0"/>
        <w:spacing w:line="280" w:lineRule="exact"/>
        <w:rPr>
          <w:rFonts w:ascii="仿宋_GB2312" w:eastAsia="仿宋_GB2312" w:hAnsi="仿宋_GB2312" w:cs="仿宋_GB2312"/>
          <w:kern w:val="0"/>
          <w:sz w:val="32"/>
          <w:szCs w:val="32"/>
        </w:rPr>
      </w:pPr>
    </w:p>
    <w:sectPr w:rsidR="00032288" w:rsidRPr="00B1582D" w:rsidSect="00E2069F">
      <w:footerReference w:type="default" r:id="rId8"/>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864" w:rsidRDefault="00DD1864" w:rsidP="001E343E">
      <w:r>
        <w:separator/>
      </w:r>
    </w:p>
  </w:endnote>
  <w:endnote w:type="continuationSeparator" w:id="0">
    <w:p w:rsidR="00DD1864" w:rsidRDefault="00DD1864" w:rsidP="001E3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2D" w:rsidRDefault="00B1582D">
    <w:pPr>
      <w:pStyle w:val="a4"/>
      <w:tabs>
        <w:tab w:val="clear" w:pos="4153"/>
        <w:tab w:val="clear" w:pos="8306"/>
        <w:tab w:val="right" w:pos="7952"/>
      </w:tabs>
      <w:ind w:right="360" w:firstLine="360"/>
      <w:jc w:val="both"/>
    </w:pPr>
    <w:r>
      <w:pict>
        <v:shapetype id="_x0000_t202" coordsize="21600,21600" o:spt="202" path="m,l,21600r21600,l21600,xe">
          <v:stroke joinstyle="miter"/>
          <v:path gradientshapeok="t" o:connecttype="rect"/>
        </v:shapetype>
        <v:shape id="文本框 5" o:spid="_x0000_s2057" type="#_x0000_t202" style="position:absolute;left:0;text-align:left;margin-left:208pt;margin-top:0;width:2in;height:2in;z-index:251660288;mso-wrap-style:none;mso-position-horizontal:outside;mso-position-horizontal-relative:margin" filled="f" stroked="f">
          <v:fill o:detectmouseclick="t"/>
          <v:textbox style="mso-next-textbox:#文本框 5;mso-fit-shape-to-text:t" inset="0,0,0,0">
            <w:txbxContent>
              <w:p w:rsidR="00B1582D" w:rsidRDefault="00B1582D">
                <w:pPr>
                  <w:pStyle w:val="a4"/>
                  <w:rPr>
                    <w:rFonts w:ascii="仿宋_GB2312" w:eastAsia="仿宋_GB2312" w:hAnsi="仿宋_GB2312" w:cs="仿宋_GB2312"/>
                    <w:szCs w:val="28"/>
                  </w:rPr>
                </w:pPr>
                <w:r>
                  <w:rPr>
                    <w:rFonts w:ascii="仿宋_GB2312" w:eastAsia="仿宋_GB2312" w:hAnsi="仿宋_GB2312" w:cs="仿宋_GB2312" w:hint="eastAsia"/>
                    <w:szCs w:val="28"/>
                  </w:rPr>
                  <w:fldChar w:fldCharType="begin"/>
                </w:r>
                <w:r>
                  <w:rPr>
                    <w:rFonts w:ascii="仿宋_GB2312" w:eastAsia="仿宋_GB2312" w:hAnsi="仿宋_GB2312" w:cs="仿宋_GB2312" w:hint="eastAsia"/>
                    <w:szCs w:val="28"/>
                  </w:rPr>
                  <w:instrText xml:space="preserve"> PAGE  \* MERGEFORMAT </w:instrText>
                </w:r>
                <w:r>
                  <w:rPr>
                    <w:rFonts w:ascii="仿宋_GB2312" w:eastAsia="仿宋_GB2312" w:hAnsi="仿宋_GB2312" w:cs="仿宋_GB2312" w:hint="eastAsia"/>
                    <w:szCs w:val="28"/>
                  </w:rPr>
                  <w:fldChar w:fldCharType="separate"/>
                </w:r>
                <w:r w:rsidR="00F55AFA">
                  <w:rPr>
                    <w:rFonts w:ascii="仿宋_GB2312" w:eastAsia="仿宋_GB2312" w:hAnsi="仿宋_GB2312" w:cs="仿宋_GB2312"/>
                    <w:noProof/>
                    <w:szCs w:val="28"/>
                  </w:rPr>
                  <w:t>- 2 -</w:t>
                </w:r>
                <w:r>
                  <w:rPr>
                    <w:rFonts w:ascii="仿宋_GB2312" w:eastAsia="仿宋_GB2312" w:hAnsi="仿宋_GB2312" w:cs="仿宋_GB2312" w:hint="eastAsia"/>
                    <w:szCs w:val="28"/>
                  </w:rPr>
                  <w:fldChar w:fldCharType="end"/>
                </w:r>
              </w:p>
            </w:txbxContent>
          </v:textbox>
          <w10:wrap anchorx="margin"/>
        </v:shape>
      </w:pict>
    </w:r>
    <w:r>
      <w:rPr>
        <w:rStyle w:val="a8"/>
      </w:rPr>
      <w:tab/>
    </w:r>
    <w:r>
      <w:rPr>
        <w:rStyle w:val="a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F" w:rsidRDefault="00E2069F">
    <w:pPr>
      <w:pStyle w:val="a4"/>
      <w:tabs>
        <w:tab w:val="clear" w:pos="4153"/>
        <w:tab w:val="clear" w:pos="8306"/>
        <w:tab w:val="right" w:pos="7952"/>
      </w:tabs>
      <w:ind w:right="360" w:firstLine="360"/>
      <w:jc w:val="both"/>
    </w:pPr>
    <w:r>
      <w:pict>
        <v:shapetype id="_x0000_t202" coordsize="21600,21600" o:spt="202" path="m,l,21600r21600,l21600,xe">
          <v:stroke joinstyle="miter"/>
          <v:path gradientshapeok="t" o:connecttype="rect"/>
        </v:shapetype>
        <v:shape id="文本框 2" o:spid="_x0000_s2052" type="#_x0000_t202" style="position:absolute;left:0;text-align:left;margin-left:208pt;margin-top:0;width:2in;height:2in;z-index:251657728;mso-wrap-style:none;mso-position-horizontal:outside;mso-position-horizontal-relative:margin" filled="f" stroked="f" strokeweight=".5pt">
          <v:fill o:detectmouseclick="t"/>
          <v:textbox style="mso-fit-shape-to-text:t" inset="0,0,0,0">
            <w:txbxContent>
              <w:p w:rsidR="00E2069F" w:rsidRDefault="00E2069F">
                <w:pPr>
                  <w:pStyle w:val="a4"/>
                </w:pPr>
                <w:r>
                  <w:rPr>
                    <w:rFonts w:ascii="宋体" w:hAnsi="宋体" w:cs="宋体" w:hint="eastAsia"/>
                  </w:rPr>
                  <w:fldChar w:fldCharType="begin"/>
                </w:r>
                <w:r w:rsidR="00032288">
                  <w:rPr>
                    <w:rFonts w:ascii="宋体" w:hAnsi="宋体" w:cs="宋体" w:hint="eastAsia"/>
                  </w:rPr>
                  <w:instrText xml:space="preserve"> PAGE  \* MERGEFORMAT </w:instrText>
                </w:r>
                <w:r>
                  <w:rPr>
                    <w:rFonts w:ascii="宋体" w:hAnsi="宋体" w:cs="宋体" w:hint="eastAsia"/>
                  </w:rPr>
                  <w:fldChar w:fldCharType="separate"/>
                </w:r>
                <w:r w:rsidR="00F55AFA">
                  <w:rPr>
                    <w:rFonts w:ascii="宋体" w:hAnsi="宋体" w:cs="宋体"/>
                    <w:noProof/>
                  </w:rPr>
                  <w:t>- 4 -</w:t>
                </w:r>
                <w:r>
                  <w:rPr>
                    <w:rFonts w:ascii="宋体" w:hAnsi="宋体" w:cs="宋体" w:hint="eastAsia"/>
                  </w:rPr>
                  <w:fldChar w:fldCharType="end"/>
                </w:r>
              </w:p>
            </w:txbxContent>
          </v:textbox>
          <w10:wrap anchorx="margin"/>
        </v:shape>
      </w:pict>
    </w:r>
    <w:r w:rsidR="00032288">
      <w:rPr>
        <w:rStyle w:val="a8"/>
      </w:rPr>
      <w:tab/>
    </w:r>
    <w:r w:rsidR="00032288">
      <w:rPr>
        <w:rStyle w:val="a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F" w:rsidRDefault="00E2069F">
    <w:pPr>
      <w:pStyle w:val="a4"/>
      <w:tabs>
        <w:tab w:val="clear" w:pos="4153"/>
        <w:tab w:val="clear" w:pos="8306"/>
        <w:tab w:val="right" w:pos="7952"/>
      </w:tabs>
      <w:ind w:right="360" w:firstLine="360"/>
      <w:jc w:val="both"/>
    </w:pPr>
    <w:r>
      <w:pict>
        <v:shapetype id="_x0000_t202" coordsize="21600,21600" o:spt="202" path="m,l,21600r21600,l21600,xe">
          <v:stroke joinstyle="miter"/>
          <v:path gradientshapeok="t" o:connecttype="rect"/>
        </v:shapetype>
        <v:shape id="文本框 1" o:spid="_x0000_s2050" type="#_x0000_t202" style="position:absolute;left:0;text-align:left;margin-left:208pt;margin-top:0;width:2in;height:2in;z-index:251656704;mso-wrap-style:none;mso-position-horizontal:outside;mso-position-horizontal-relative:margin" filled="f" stroked="f" strokeweight=".5pt">
          <v:fill o:detectmouseclick="t"/>
          <v:textbox style="mso-fit-shape-to-text:t" inset="0,0,0,0">
            <w:txbxContent>
              <w:p w:rsidR="00E2069F" w:rsidRDefault="00E2069F">
                <w:pPr>
                  <w:pStyle w:val="a4"/>
                </w:pPr>
                <w:r>
                  <w:rPr>
                    <w:rFonts w:ascii="宋体" w:hAnsi="宋体" w:cs="宋体" w:hint="eastAsia"/>
                  </w:rPr>
                  <w:fldChar w:fldCharType="begin"/>
                </w:r>
                <w:r w:rsidR="00032288">
                  <w:rPr>
                    <w:rFonts w:ascii="宋体" w:hAnsi="宋体" w:cs="宋体" w:hint="eastAsia"/>
                  </w:rPr>
                  <w:instrText xml:space="preserve"> PAGE  \* MERGEFORMAT </w:instrText>
                </w:r>
                <w:r>
                  <w:rPr>
                    <w:rFonts w:ascii="宋体" w:hAnsi="宋体" w:cs="宋体" w:hint="eastAsia"/>
                  </w:rPr>
                  <w:fldChar w:fldCharType="separate"/>
                </w:r>
                <w:r w:rsidR="00F55AFA">
                  <w:rPr>
                    <w:rFonts w:ascii="宋体" w:hAnsi="宋体" w:cs="宋体"/>
                    <w:noProof/>
                  </w:rPr>
                  <w:t>- 6 -</w:t>
                </w:r>
                <w:r>
                  <w:rPr>
                    <w:rFonts w:ascii="宋体" w:hAnsi="宋体" w:cs="宋体" w:hint="eastAsia"/>
                  </w:rPr>
                  <w:fldChar w:fldCharType="end"/>
                </w:r>
              </w:p>
            </w:txbxContent>
          </v:textbox>
          <w10:wrap anchorx="margin"/>
        </v:shape>
      </w:pict>
    </w:r>
    <w:r w:rsidR="00032288">
      <w:rPr>
        <w:rStyle w:val="a8"/>
      </w:rPr>
      <w:tab/>
    </w:r>
    <w:r w:rsidR="00032288">
      <w:rPr>
        <w:rStyle w:val="a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864" w:rsidRDefault="00DD1864" w:rsidP="001E343E">
      <w:r>
        <w:separator/>
      </w:r>
    </w:p>
  </w:footnote>
  <w:footnote w:type="continuationSeparator" w:id="0">
    <w:p w:rsidR="00DD1864" w:rsidRDefault="00DD1864" w:rsidP="001E3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c1ODdlMjdlMDgxYTM5NjAwODY5ZDhhNjQzMmJjMDcifQ=="/>
  </w:docVars>
  <w:rsids>
    <w:rsidRoot w:val="06194EBD"/>
    <w:rsid w:val="00032288"/>
    <w:rsid w:val="009A3EB3"/>
    <w:rsid w:val="00AB6EC1"/>
    <w:rsid w:val="00B1582D"/>
    <w:rsid w:val="00DD1864"/>
    <w:rsid w:val="00E2069F"/>
    <w:rsid w:val="00F55AFA"/>
    <w:rsid w:val="06194EBD"/>
    <w:rsid w:val="07481B68"/>
    <w:rsid w:val="07A12F19"/>
    <w:rsid w:val="0A5A5D6C"/>
    <w:rsid w:val="14FF5B4B"/>
    <w:rsid w:val="20DA03CA"/>
    <w:rsid w:val="26900CB8"/>
    <w:rsid w:val="2B3F34CB"/>
    <w:rsid w:val="2C3B319A"/>
    <w:rsid w:val="2E6F259B"/>
    <w:rsid w:val="3D426CBC"/>
    <w:rsid w:val="47F80C96"/>
    <w:rsid w:val="49AE2DA6"/>
    <w:rsid w:val="4DDB36C9"/>
    <w:rsid w:val="4F60014F"/>
    <w:rsid w:val="5E396030"/>
    <w:rsid w:val="5F5D5579"/>
    <w:rsid w:val="70C71B5A"/>
    <w:rsid w:val="75E002CB"/>
    <w:rsid w:val="760D6B89"/>
    <w:rsid w:val="78B92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069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rsid w:val="00E2069F"/>
    <w:rPr>
      <w:rFonts w:ascii="宋体" w:hAnsi="Courier New" w:cs="Courier New"/>
      <w:szCs w:val="21"/>
    </w:rPr>
  </w:style>
  <w:style w:type="paragraph" w:styleId="a4">
    <w:name w:val="footer"/>
    <w:basedOn w:val="a"/>
    <w:qFormat/>
    <w:rsid w:val="00E2069F"/>
    <w:pPr>
      <w:tabs>
        <w:tab w:val="center" w:pos="4153"/>
        <w:tab w:val="right" w:pos="8306"/>
      </w:tabs>
      <w:snapToGrid w:val="0"/>
      <w:jc w:val="left"/>
    </w:pPr>
    <w:rPr>
      <w:sz w:val="28"/>
      <w:szCs w:val="18"/>
    </w:rPr>
  </w:style>
  <w:style w:type="paragraph" w:styleId="a5">
    <w:name w:val="header"/>
    <w:basedOn w:val="a"/>
    <w:qFormat/>
    <w:rsid w:val="00E206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E2069F"/>
    <w:pPr>
      <w:widowControl/>
      <w:spacing w:before="100" w:beforeAutospacing="1" w:after="100" w:afterAutospacing="1" w:line="365" w:lineRule="atLeast"/>
      <w:ind w:left="1"/>
      <w:jc w:val="left"/>
      <w:textAlignment w:val="bottom"/>
    </w:pPr>
    <w:rPr>
      <w:rFonts w:ascii="宋体" w:hAnsi="宋体" w:cs="宋体"/>
      <w:kern w:val="0"/>
      <w:sz w:val="24"/>
      <w:szCs w:val="20"/>
    </w:rPr>
  </w:style>
  <w:style w:type="character" w:styleId="a7">
    <w:name w:val="Strong"/>
    <w:basedOn w:val="a1"/>
    <w:qFormat/>
    <w:rsid w:val="00E2069F"/>
    <w:rPr>
      <w:rFonts w:ascii="Times New Roman" w:eastAsia="宋体" w:hAnsi="Times New Roman" w:cs="Times New Roman"/>
      <w:b/>
      <w:bCs/>
    </w:rPr>
  </w:style>
  <w:style w:type="character" w:styleId="a8">
    <w:name w:val="page number"/>
    <w:basedOn w:val="a1"/>
    <w:qFormat/>
    <w:rsid w:val="00E2069F"/>
    <w:rPr>
      <w:rFonts w:ascii="Times New Roman" w:eastAsia="宋体" w:hAnsi="Times New Roman" w:cs="Times New Roman"/>
    </w:rPr>
  </w:style>
  <w:style w:type="paragraph" w:customStyle="1" w:styleId="a9">
    <w:name w:val="表格"/>
    <w:basedOn w:val="a"/>
    <w:qFormat/>
    <w:rsid w:val="00E2069F"/>
    <w:pPr>
      <w:widowControl/>
      <w:spacing w:line="300" w:lineRule="auto"/>
      <w:jc w:val="left"/>
    </w:pPr>
    <w:rPr>
      <w:rFonts w:ascii="宋体"/>
      <w:kern w:val="28"/>
      <w:sz w:val="24"/>
      <w:szCs w:val="20"/>
    </w:rPr>
  </w:style>
  <w:style w:type="paragraph" w:customStyle="1" w:styleId="2">
    <w:name w:val="开头2"/>
    <w:basedOn w:val="a"/>
    <w:qFormat/>
    <w:rsid w:val="00E2069F"/>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473</Words>
  <Characters>2699</Characters>
  <Application>Microsoft Office Word</Application>
  <DocSecurity>0</DocSecurity>
  <Lines>22</Lines>
  <Paragraphs>6</Paragraphs>
  <ScaleCrop>false</ScaleCrop>
  <Company>Microsoft</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周洪威</dc:creator>
  <cp:lastModifiedBy>达拉特旗政务服务局(拟稿)</cp:lastModifiedBy>
  <cp:revision>7</cp:revision>
  <cp:lastPrinted>2023-03-14T08:18:00Z</cp:lastPrinted>
  <dcterms:created xsi:type="dcterms:W3CDTF">2023-03-14T08:12:00Z</dcterms:created>
  <dcterms:modified xsi:type="dcterms:W3CDTF">2023-03-14T08:18:00Z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B8B1B7439482489C863E25823793C2E2</vt:lpwstr>
  </property>
</Properties>
</file>