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C9" w:rsidRDefault="000976C9" w:rsidP="000976C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达拉特旗人民政府关于公布执行达拉特旗</w:t>
      </w:r>
    </w:p>
    <w:p w:rsidR="000976C9" w:rsidRDefault="000976C9" w:rsidP="000976C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树林召镇等9个苏木镇基准地价</w:t>
      </w:r>
    </w:p>
    <w:p w:rsidR="000976C9" w:rsidRDefault="000976C9" w:rsidP="000976C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更新成果的通知</w:t>
      </w:r>
    </w:p>
    <w:p w:rsidR="000976C9" w:rsidRDefault="000976C9" w:rsidP="000976C9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各苏木镇人民政府，各街道办事处，旗政府各部门，各开发区、园区管委会，各直属单位，各企事业单位：</w:t>
      </w:r>
    </w:p>
    <w:p w:rsidR="000976C9" w:rsidRDefault="000976C9" w:rsidP="000976C9">
      <w:pPr>
        <w:pStyle w:val="a6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达拉特旗树林召镇等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个苏木镇基准地价更新成果已经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鄂尔多斯市自然资源局审查并通过验收</w:t>
      </w:r>
      <w:r>
        <w:rPr>
          <w:rFonts w:ascii="Times New Roman" w:eastAsia="仿宋_GB2312" w:hAnsi="Times New Roman" w:cs="Times New Roman"/>
          <w:sz w:val="32"/>
          <w:szCs w:val="32"/>
        </w:rPr>
        <w:t>，现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予以</w:t>
      </w:r>
      <w:r>
        <w:rPr>
          <w:rFonts w:ascii="Times New Roman" w:eastAsia="仿宋_GB2312" w:hAnsi="Times New Roman" w:cs="Times New Roman"/>
          <w:sz w:val="32"/>
          <w:szCs w:val="32"/>
        </w:rPr>
        <w:t>印发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执行</w:t>
      </w:r>
      <w:r>
        <w:rPr>
          <w:rFonts w:ascii="Times New Roman" w:eastAsia="仿宋_GB2312" w:hAnsi="Times New Roman" w:cs="Times New Roman"/>
          <w:sz w:val="32"/>
          <w:szCs w:val="32"/>
        </w:rPr>
        <w:t>，请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认真</w:t>
      </w:r>
      <w:r>
        <w:rPr>
          <w:rFonts w:ascii="Times New Roman" w:eastAsia="仿宋_GB2312" w:hAnsi="Times New Roman" w:cs="Times New Roman"/>
          <w:sz w:val="32"/>
          <w:szCs w:val="32"/>
        </w:rPr>
        <w:t>抓好贯彻落实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原《达拉特旗人民政府关于公布实施白泥井等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个苏木镇基准地价更新成果的通知》（达政发</w:t>
      </w:r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号）文件同时废止。</w:t>
      </w:r>
    </w:p>
    <w:p w:rsidR="000976C9" w:rsidRDefault="000976C9" w:rsidP="000976C9">
      <w:pPr>
        <w:pStyle w:val="ad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树林召镇基准地价更新成果</w:t>
      </w:r>
    </w:p>
    <w:p w:rsidR="000976C9" w:rsidRDefault="000976C9" w:rsidP="000976C9">
      <w:pPr>
        <w:pStyle w:val="ad"/>
        <w:widowControl w:val="0"/>
        <w:spacing w:before="0" w:beforeAutospacing="0" w:after="0" w:afterAutospacing="0" w:line="560" w:lineRule="exact"/>
        <w:ind w:firstLineChars="500" w:firstLine="160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展旦召苏木基准地价更新成果</w:t>
      </w:r>
    </w:p>
    <w:p w:rsidR="000976C9" w:rsidRDefault="000976C9" w:rsidP="000976C9">
      <w:pPr>
        <w:pStyle w:val="ad"/>
        <w:widowControl w:val="0"/>
        <w:spacing w:before="0" w:beforeAutospacing="0" w:after="0" w:afterAutospacing="0" w:line="560" w:lineRule="exact"/>
        <w:ind w:firstLineChars="500" w:firstLine="160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王爱召镇基准地价更新成果</w:t>
      </w:r>
    </w:p>
    <w:p w:rsidR="000976C9" w:rsidRDefault="000976C9" w:rsidP="000976C9">
      <w:pPr>
        <w:pStyle w:val="ad"/>
        <w:widowControl w:val="0"/>
        <w:spacing w:before="0" w:beforeAutospacing="0" w:after="0" w:afterAutospacing="0" w:line="560" w:lineRule="exact"/>
        <w:ind w:firstLineChars="500" w:firstLine="160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昭君镇基准地价更新成果</w:t>
      </w:r>
    </w:p>
    <w:p w:rsidR="000976C9" w:rsidRDefault="000976C9" w:rsidP="000976C9">
      <w:pPr>
        <w:pStyle w:val="ad"/>
        <w:widowControl w:val="0"/>
        <w:spacing w:before="0" w:beforeAutospacing="0" w:after="0" w:afterAutospacing="0" w:line="560" w:lineRule="exact"/>
        <w:ind w:firstLineChars="500" w:firstLine="160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白泥井镇基准地价更新成果</w:t>
      </w:r>
    </w:p>
    <w:p w:rsidR="000976C9" w:rsidRDefault="000976C9" w:rsidP="000976C9">
      <w:pPr>
        <w:pStyle w:val="ad"/>
        <w:widowControl w:val="0"/>
        <w:spacing w:before="0" w:beforeAutospacing="0" w:after="0" w:afterAutospacing="0" w:line="560" w:lineRule="exact"/>
        <w:ind w:firstLineChars="500" w:firstLine="160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恩格贝镇基准地价更新成果</w:t>
      </w:r>
    </w:p>
    <w:p w:rsidR="000976C9" w:rsidRDefault="000976C9" w:rsidP="000976C9">
      <w:pPr>
        <w:pStyle w:val="ad"/>
        <w:widowControl w:val="0"/>
        <w:spacing w:before="0" w:beforeAutospacing="0" w:after="0" w:afterAutospacing="0" w:line="560" w:lineRule="exact"/>
        <w:ind w:firstLineChars="500" w:firstLine="160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吉格斯太镇基准地价更新成果</w:t>
      </w:r>
    </w:p>
    <w:p w:rsidR="000976C9" w:rsidRDefault="000976C9" w:rsidP="000976C9">
      <w:pPr>
        <w:pStyle w:val="ad"/>
        <w:widowControl w:val="0"/>
        <w:spacing w:before="0" w:beforeAutospacing="0" w:after="0" w:afterAutospacing="0" w:line="560" w:lineRule="exact"/>
        <w:ind w:firstLineChars="500" w:firstLine="160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sz w:val="32"/>
          <w:szCs w:val="32"/>
        </w:rPr>
        <w:t>中和西镇基准地价更新成果</w:t>
      </w:r>
    </w:p>
    <w:p w:rsidR="000976C9" w:rsidRDefault="000976C9" w:rsidP="000976C9">
      <w:pPr>
        <w:pStyle w:val="ad"/>
        <w:widowControl w:val="0"/>
        <w:spacing w:before="0" w:beforeAutospacing="0" w:after="0" w:afterAutospacing="0" w:line="560" w:lineRule="exact"/>
        <w:ind w:firstLineChars="500" w:firstLine="160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9.</w:t>
      </w:r>
      <w:r>
        <w:rPr>
          <w:rFonts w:ascii="Times New Roman" w:eastAsia="仿宋_GB2312" w:hAnsi="Times New Roman" w:cs="Times New Roman"/>
          <w:sz w:val="32"/>
          <w:szCs w:val="32"/>
        </w:rPr>
        <w:t>风水梁镇基准地价更新成果</w:t>
      </w:r>
    </w:p>
    <w:p w:rsidR="000976C9" w:rsidRDefault="000976C9" w:rsidP="000976C9">
      <w:pPr>
        <w:pStyle w:val="ad"/>
        <w:widowControl w:val="0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0976C9" w:rsidRDefault="000976C9" w:rsidP="000976C9">
      <w:pPr>
        <w:pStyle w:val="ad"/>
        <w:widowControl w:val="0"/>
        <w:spacing w:before="0" w:beforeAutospacing="0" w:after="0" w:afterAutospacing="0" w:line="560" w:lineRule="exact"/>
        <w:ind w:firstLineChars="1600" w:firstLine="512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达拉特旗人民政府</w:t>
      </w:r>
    </w:p>
    <w:p w:rsidR="000976C9" w:rsidRDefault="000976C9" w:rsidP="000976C9">
      <w:pPr>
        <w:pStyle w:val="ad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  <w:sectPr w:rsidR="000976C9">
          <w:headerReference w:type="default" r:id="rId6"/>
          <w:pgSz w:w="11906" w:h="16838"/>
          <w:pgMar w:top="2098" w:right="1474" w:bottom="1984" w:left="1587" w:header="851" w:footer="992" w:gutter="0"/>
          <w:pgNumType w:fmt="numberInDash" w:start="1"/>
          <w:cols w:space="720"/>
          <w:docGrid w:type="lines" w:linePitch="312"/>
        </w:sect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</w:t>
      </w:r>
    </w:p>
    <w:p w:rsidR="000976C9" w:rsidRDefault="000976C9" w:rsidP="000976C9">
      <w:pPr>
        <w:pStyle w:val="a6"/>
        <w:rPr>
          <w:rFonts w:hint="eastAsia"/>
        </w:rPr>
      </w:pPr>
    </w:p>
    <w:p w:rsidR="000976C9" w:rsidRDefault="000976C9" w:rsidP="000976C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树林召镇基准地价更新成果</w:t>
      </w:r>
    </w:p>
    <w:p w:rsidR="000976C9" w:rsidRDefault="000976C9" w:rsidP="000976C9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一、达拉特旗树林召镇基准地价内涵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基准地价定义: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（1）估价基准日:2022年1月1日。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（2）土地使用年期:商服用地 40 年、住宅用地 70 年、工业用地 50 年;保障性安居工程用地为 70 年，养老、教育、文化体育、能源、环境保护、供水、燃气供应、供热设施用地为 50年。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(3)容积率:商服用地 1.0、住宅用地1.0、工业用地 0.6:保障性安居工程、养老、教育、文化和体育用地这五类用地容积率按住宅用地容积率设定，容积率设定为1.0，能源、环境保护、供水、燃气供应、供热设施用地这五类用地容积率按工业用地容积率设定，容积率设定为0.6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(4) 开发程度:商业用地、住宅用地、均为“五通一平”（通路、通上水、通下水、通电、通讯，场平）。工业用地平为“四通一平” （通路、通上水、通电、通讯，场平）。保障性安居工程、养老、教育、文化和体育用地这五类用地开发程度按住宅开发程度设定，开发程度为“五通一平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”（通路、通上水、通下水、通电、通讯，宗地内场地平整），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能源、环境保护、供水、燃气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供应、供热设施用地这五类用地开发程度按住宅开发程度设定，开发程度为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“四通一平”（通路、通上水、通电、通讯，宗地内场地平整）。</w:t>
      </w: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二、达拉特旗树林召镇各类用地基准地价表</w:t>
      </w:r>
    </w:p>
    <w:tbl>
      <w:tblPr>
        <w:tblW w:w="53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1"/>
        <w:gridCol w:w="736"/>
        <w:gridCol w:w="802"/>
        <w:gridCol w:w="769"/>
        <w:gridCol w:w="797"/>
        <w:gridCol w:w="754"/>
        <w:gridCol w:w="794"/>
        <w:gridCol w:w="918"/>
        <w:gridCol w:w="1203"/>
        <w:gridCol w:w="1051"/>
        <w:gridCol w:w="1065"/>
      </w:tblGrid>
      <w:tr w:rsidR="000976C9" w:rsidTr="00CF1E75">
        <w:trPr>
          <w:trHeight w:val="397"/>
          <w:jc w:val="center"/>
        </w:trPr>
        <w:tc>
          <w:tcPr>
            <w:tcW w:w="441" w:type="pct"/>
            <w:vMerge w:val="restart"/>
            <w:tcBorders>
              <w:tl2br w:val="single" w:sz="6" w:space="0" w:color="auto"/>
            </w:tcBorders>
            <w:vAlign w:val="center"/>
          </w:tcPr>
          <w:p w:rsidR="000976C9" w:rsidRDefault="000976C9" w:rsidP="00CF1E75">
            <w:pPr>
              <w:spacing w:line="560" w:lineRule="exact"/>
              <w:jc w:val="right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用途</w:t>
            </w:r>
          </w:p>
          <w:p w:rsidR="000976C9" w:rsidRDefault="000976C9" w:rsidP="00CF1E75">
            <w:pPr>
              <w:pStyle w:val="2"/>
              <w:spacing w:line="560" w:lineRule="exact"/>
            </w:pPr>
          </w:p>
          <w:p w:rsidR="000976C9" w:rsidRDefault="000976C9" w:rsidP="00CF1E75">
            <w:pPr>
              <w:spacing w:line="560" w:lineRule="exact"/>
              <w:jc w:val="left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级别</w:t>
            </w:r>
          </w:p>
        </w:tc>
        <w:tc>
          <w:tcPr>
            <w:tcW w:w="788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商服</w:t>
            </w:r>
          </w:p>
        </w:tc>
        <w:tc>
          <w:tcPr>
            <w:tcW w:w="802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住宅</w:t>
            </w:r>
          </w:p>
        </w:tc>
        <w:tc>
          <w:tcPr>
            <w:tcW w:w="793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工业</w:t>
            </w:r>
          </w:p>
        </w:tc>
        <w:tc>
          <w:tcPr>
            <w:tcW w:w="1088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 w:hint="eastAsia"/>
                <w:sz w:val="22"/>
              </w:rPr>
              <w:t>公共服务项目用地（保障性安居工程、养老、教育、文化和体育用地）</w:t>
            </w:r>
          </w:p>
        </w:tc>
        <w:tc>
          <w:tcPr>
            <w:tcW w:w="1085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 w:hint="eastAsia"/>
                <w:sz w:val="22"/>
              </w:rPr>
              <w:t>公共服务项目用地（能源、环境保护、供水、燃气供应、供热设施用地）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1" w:type="pct"/>
            <w:vMerge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</w:p>
        </w:tc>
        <w:tc>
          <w:tcPr>
            <w:tcW w:w="37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1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394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0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0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539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54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Ⅰ</w:t>
            </w:r>
          </w:p>
        </w:tc>
        <w:tc>
          <w:tcPr>
            <w:tcW w:w="37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等线" w:hAnsi="Calibri"/>
                <w:color w:val="000000"/>
                <w:kern w:val="0"/>
                <w:sz w:val="22"/>
              </w:rPr>
            </w:pPr>
            <w:r>
              <w:rPr>
                <w:rFonts w:ascii="Calibri" w:eastAsia="等线" w:hAnsi="Calibri"/>
                <w:color w:val="000000"/>
                <w:sz w:val="22"/>
              </w:rPr>
              <w:t>330</w:t>
            </w:r>
          </w:p>
        </w:tc>
        <w:tc>
          <w:tcPr>
            <w:tcW w:w="41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等线" w:hAnsi="Calibri"/>
                <w:color w:val="000000"/>
                <w:sz w:val="22"/>
              </w:rPr>
            </w:pPr>
            <w:r>
              <w:rPr>
                <w:rFonts w:ascii="Calibri" w:eastAsia="等线" w:hAnsi="Calibri"/>
                <w:color w:val="000000"/>
                <w:sz w:val="22"/>
              </w:rPr>
              <w:t xml:space="preserve">22.00 </w:t>
            </w:r>
          </w:p>
        </w:tc>
        <w:tc>
          <w:tcPr>
            <w:tcW w:w="394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等线" w:hAnsi="Calibri"/>
                <w:color w:val="000000"/>
                <w:sz w:val="22"/>
              </w:rPr>
            </w:pPr>
            <w:r>
              <w:rPr>
                <w:rFonts w:ascii="Calibri" w:eastAsia="等线" w:hAnsi="Calibri"/>
                <w:color w:val="000000"/>
                <w:sz w:val="22"/>
              </w:rPr>
              <w:t>200</w:t>
            </w:r>
          </w:p>
        </w:tc>
        <w:tc>
          <w:tcPr>
            <w:tcW w:w="40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等线" w:hAnsi="Calibri"/>
                <w:color w:val="000000"/>
                <w:sz w:val="22"/>
              </w:rPr>
            </w:pPr>
            <w:r>
              <w:rPr>
                <w:rFonts w:ascii="Calibri" w:eastAsia="等线" w:hAnsi="Calibri"/>
                <w:color w:val="000000"/>
                <w:sz w:val="22"/>
              </w:rPr>
              <w:t xml:space="preserve">13.33 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等线" w:hAnsi="Calibri"/>
                <w:color w:val="000000"/>
                <w:sz w:val="22"/>
              </w:rPr>
            </w:pPr>
            <w:r>
              <w:rPr>
                <w:rFonts w:ascii="Calibri" w:eastAsia="等线" w:hAnsi="Calibri"/>
                <w:color w:val="000000"/>
                <w:sz w:val="22"/>
              </w:rPr>
              <w:t>109</w:t>
            </w:r>
          </w:p>
        </w:tc>
        <w:tc>
          <w:tcPr>
            <w:tcW w:w="40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等线" w:hAnsi="Calibri"/>
                <w:color w:val="000000"/>
                <w:sz w:val="22"/>
              </w:rPr>
            </w:pPr>
            <w:r>
              <w:rPr>
                <w:rFonts w:ascii="Calibri" w:eastAsia="等线" w:hAnsi="Calibri"/>
                <w:color w:val="000000"/>
                <w:sz w:val="22"/>
              </w:rPr>
              <w:t xml:space="preserve">7.27 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等线" w:hAnsi="Calibri"/>
                <w:color w:val="000000"/>
                <w:sz w:val="22"/>
              </w:rPr>
            </w:pPr>
            <w:r>
              <w:rPr>
                <w:rFonts w:ascii="Calibri" w:eastAsia="等线" w:hAnsi="Calibri"/>
                <w:color w:val="000000"/>
                <w:sz w:val="22"/>
              </w:rPr>
              <w:t>170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等线" w:hAnsi="Calibri"/>
                <w:color w:val="000000"/>
                <w:sz w:val="22"/>
              </w:rPr>
            </w:pPr>
            <w:r>
              <w:rPr>
                <w:rFonts w:ascii="Calibri" w:eastAsia="等线" w:hAnsi="Calibri"/>
                <w:color w:val="000000"/>
                <w:sz w:val="22"/>
              </w:rPr>
              <w:t xml:space="preserve">11.33 </w:t>
            </w:r>
          </w:p>
        </w:tc>
        <w:tc>
          <w:tcPr>
            <w:tcW w:w="539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等线" w:hAnsi="Calibri"/>
                <w:color w:val="000000"/>
                <w:sz w:val="22"/>
              </w:rPr>
            </w:pPr>
            <w:r>
              <w:rPr>
                <w:rFonts w:ascii="Calibri" w:eastAsia="等线" w:hAnsi="Calibri"/>
                <w:color w:val="000000"/>
                <w:sz w:val="22"/>
              </w:rPr>
              <w:t>114</w:t>
            </w:r>
          </w:p>
        </w:tc>
        <w:tc>
          <w:tcPr>
            <w:tcW w:w="54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等线" w:hAnsi="Calibri"/>
                <w:color w:val="000000"/>
                <w:sz w:val="22"/>
              </w:rPr>
            </w:pPr>
            <w:r>
              <w:rPr>
                <w:rFonts w:ascii="Calibri" w:eastAsia="等线" w:hAnsi="Calibri"/>
                <w:color w:val="000000"/>
                <w:sz w:val="22"/>
              </w:rPr>
              <w:t xml:space="preserve">7.60 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Ⅱ</w:t>
            </w:r>
          </w:p>
        </w:tc>
        <w:tc>
          <w:tcPr>
            <w:tcW w:w="37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等线" w:hAnsi="Calibri"/>
                <w:color w:val="000000"/>
                <w:sz w:val="22"/>
              </w:rPr>
            </w:pPr>
            <w:r>
              <w:rPr>
                <w:rFonts w:ascii="Calibri" w:eastAsia="等线" w:hAnsi="Calibri"/>
                <w:color w:val="000000"/>
                <w:sz w:val="22"/>
              </w:rPr>
              <w:t>240</w:t>
            </w:r>
          </w:p>
        </w:tc>
        <w:tc>
          <w:tcPr>
            <w:tcW w:w="41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等线" w:hAnsi="Calibri"/>
                <w:color w:val="000000"/>
                <w:sz w:val="22"/>
              </w:rPr>
            </w:pPr>
            <w:r>
              <w:rPr>
                <w:rFonts w:ascii="Calibri" w:eastAsia="等线" w:hAnsi="Calibri"/>
                <w:color w:val="000000"/>
                <w:sz w:val="22"/>
              </w:rPr>
              <w:t xml:space="preserve">16.00 </w:t>
            </w:r>
          </w:p>
        </w:tc>
        <w:tc>
          <w:tcPr>
            <w:tcW w:w="394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等线" w:hAnsi="Calibri"/>
                <w:color w:val="000000"/>
                <w:sz w:val="22"/>
              </w:rPr>
            </w:pPr>
            <w:r>
              <w:rPr>
                <w:rFonts w:ascii="Calibri" w:eastAsia="等线" w:hAnsi="Calibri"/>
                <w:color w:val="000000"/>
                <w:sz w:val="22"/>
              </w:rPr>
              <w:t>140</w:t>
            </w:r>
          </w:p>
        </w:tc>
        <w:tc>
          <w:tcPr>
            <w:tcW w:w="40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等线" w:hAnsi="Calibri"/>
                <w:color w:val="000000"/>
                <w:sz w:val="22"/>
              </w:rPr>
            </w:pPr>
            <w:r>
              <w:rPr>
                <w:rFonts w:ascii="Calibri" w:eastAsia="等线" w:hAnsi="Calibri"/>
                <w:color w:val="000000"/>
                <w:sz w:val="22"/>
              </w:rPr>
              <w:t xml:space="preserve">9.33 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等线" w:hAnsi="Calibri"/>
                <w:color w:val="000000"/>
                <w:sz w:val="22"/>
              </w:rPr>
            </w:pPr>
            <w:r>
              <w:rPr>
                <w:rFonts w:ascii="Calibri" w:eastAsia="等线" w:hAnsi="Calibri"/>
                <w:color w:val="000000"/>
                <w:sz w:val="22"/>
              </w:rPr>
              <w:t>89</w:t>
            </w:r>
          </w:p>
        </w:tc>
        <w:tc>
          <w:tcPr>
            <w:tcW w:w="40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等线" w:hAnsi="Calibri"/>
                <w:color w:val="000000"/>
                <w:sz w:val="22"/>
              </w:rPr>
            </w:pPr>
            <w:r>
              <w:rPr>
                <w:rFonts w:ascii="Calibri" w:eastAsia="等线" w:hAnsi="Calibri"/>
                <w:color w:val="000000"/>
                <w:sz w:val="22"/>
              </w:rPr>
              <w:t xml:space="preserve">5.93 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等线" w:hAnsi="Calibri"/>
                <w:color w:val="000000"/>
                <w:sz w:val="22"/>
              </w:rPr>
            </w:pPr>
            <w:r>
              <w:rPr>
                <w:rFonts w:ascii="Calibri" w:eastAsia="等线" w:hAnsi="Calibri"/>
                <w:color w:val="000000"/>
                <w:sz w:val="22"/>
              </w:rPr>
              <w:t>100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等线" w:hAnsi="Calibri"/>
                <w:color w:val="000000"/>
                <w:sz w:val="22"/>
              </w:rPr>
            </w:pPr>
            <w:r>
              <w:rPr>
                <w:rFonts w:ascii="Calibri" w:eastAsia="等线" w:hAnsi="Calibri"/>
                <w:color w:val="000000"/>
                <w:sz w:val="22"/>
              </w:rPr>
              <w:t xml:space="preserve">6.67 </w:t>
            </w:r>
          </w:p>
        </w:tc>
        <w:tc>
          <w:tcPr>
            <w:tcW w:w="539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等线" w:hAnsi="Calibri"/>
                <w:color w:val="000000"/>
                <w:sz w:val="22"/>
              </w:rPr>
            </w:pPr>
            <w:r>
              <w:rPr>
                <w:rFonts w:ascii="Calibri" w:eastAsia="等线" w:hAnsi="Calibri"/>
                <w:color w:val="000000"/>
                <w:sz w:val="22"/>
              </w:rPr>
              <w:t>93</w:t>
            </w:r>
          </w:p>
        </w:tc>
        <w:tc>
          <w:tcPr>
            <w:tcW w:w="54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等线" w:hAnsi="Calibri"/>
                <w:color w:val="000000"/>
                <w:sz w:val="22"/>
              </w:rPr>
            </w:pPr>
            <w:r>
              <w:rPr>
                <w:rFonts w:ascii="Calibri" w:eastAsia="等线" w:hAnsi="Calibri"/>
                <w:color w:val="000000"/>
                <w:sz w:val="22"/>
              </w:rPr>
              <w:t xml:space="preserve">6.20 </w:t>
            </w:r>
          </w:p>
        </w:tc>
      </w:tr>
    </w:tbl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三、达拉特旗树林召镇各类用地基准地价表（变价幅度）</w:t>
      </w:r>
    </w:p>
    <w:tbl>
      <w:tblPr>
        <w:tblW w:w="78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1"/>
        <w:gridCol w:w="1143"/>
        <w:gridCol w:w="1143"/>
        <w:gridCol w:w="1143"/>
        <w:gridCol w:w="1143"/>
        <w:gridCol w:w="1143"/>
        <w:gridCol w:w="1144"/>
      </w:tblGrid>
      <w:tr w:rsidR="000976C9" w:rsidTr="00CF1E75">
        <w:trPr>
          <w:trHeight w:val="397"/>
          <w:jc w:val="center"/>
        </w:trPr>
        <w:tc>
          <w:tcPr>
            <w:tcW w:w="1031" w:type="dxa"/>
            <w:vMerge w:val="restart"/>
            <w:tcBorders>
              <w:tl2br w:val="single" w:sz="4" w:space="0" w:color="auto"/>
            </w:tcBorders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幅度</w:t>
            </w:r>
          </w:p>
          <w:p w:rsidR="000976C9" w:rsidRDefault="000976C9" w:rsidP="00CF1E75">
            <w:pPr>
              <w:spacing w:line="560" w:lineRule="exac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级别</w:t>
            </w:r>
          </w:p>
        </w:tc>
        <w:tc>
          <w:tcPr>
            <w:tcW w:w="2286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商业调整幅度(%)</w:t>
            </w:r>
          </w:p>
        </w:tc>
        <w:tc>
          <w:tcPr>
            <w:tcW w:w="2286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住宅调整幅度(%)</w:t>
            </w:r>
          </w:p>
        </w:tc>
        <w:tc>
          <w:tcPr>
            <w:tcW w:w="2287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工业调整幅度(%)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Merge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Ⅰ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14.29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-14.29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10.00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-15.33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10.09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-</w:t>
            </w:r>
            <w:r>
              <w:rPr>
                <w:rFonts w:ascii="仿宋_GB2312" w:eastAsia="仿宋_GB2312" w:hAnsi="Calibri"/>
                <w:sz w:val="24"/>
              </w:rPr>
              <w:t>8.26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Ⅱ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12.5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-12.5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15.45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-10.91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12.36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-</w:t>
            </w:r>
            <w:r>
              <w:rPr>
                <w:rFonts w:ascii="仿宋_GB2312" w:eastAsia="仿宋_GB2312" w:hAnsi="Calibri"/>
                <w:sz w:val="24"/>
              </w:rPr>
              <w:t>10.11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</w:tr>
    </w:tbl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四、达拉特旗树林召镇基准地价土地级别描述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（1）商服用地土地级别情况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I级占地面积39.1669公顷，北至定级范围边界南50米，南至定级范围边界，西至定级范围边界，东至鄂尔多斯市树林召农蓄产品市场有限公司；Ⅱ级占地面积36.4955公顷，北至定级范围边界，南至定级范围边界，西至鄂尔多斯市树林召农蓄产品市场有限公司，东至定级范围边界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（2）住宅用地土地级别情况：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I级占地面积39.1669公顷，北至定级范围边界南50米，南至定级范围边界，西至定级范围边界，东至鄂尔多斯市树林召农蓄产品市场有限公司；Ⅱ级占地面积36.4955公顷，北至定级范围边界，南至定级范围边界，西至鄂尔多斯市树林召农蓄产品市场有限公司，东至定级范围边界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（3）工业用地土地级别情况：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I级占地面积53.9404公顷，北至定级范围边界南50米，南至定级范围边界，西至定级范围边界，东至定级范围边界；Ⅱ级占地面积21.7220公顷，沿Ⅰ级用地向东、西、北三个方向扩展。北至定级范围边界，西至定级范围边界，东至定级范围边界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（4）综合土地级别情况：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I级占地面积50.7345公顷，北至定级范围边界南50米，南至定级范围边界，西至定级范围边界，东至鄂尔多斯市树林召农蓄产品市场有限公司；；Ⅱ级占地面积24.9279公顷，北至定级范围边界，南至定级范围边界，西至鄂尔多斯市树林召农蓄产品市场有限公司，东至定级范围边界。</w:t>
      </w:r>
    </w:p>
    <w:p w:rsidR="000976C9" w:rsidRDefault="000976C9" w:rsidP="000976C9">
      <w:pPr>
        <w:spacing w:line="560" w:lineRule="exact"/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0976C9" w:rsidRDefault="000976C9" w:rsidP="000976C9">
      <w:pPr>
        <w:pStyle w:val="a6"/>
        <w:rPr>
          <w:rFonts w:ascii="仿宋" w:eastAsia="仿宋" w:hAnsi="仿宋" w:cs="仿宋" w:hint="eastAsia"/>
          <w:sz w:val="30"/>
          <w:szCs w:val="30"/>
        </w:rPr>
      </w:pPr>
    </w:p>
    <w:p w:rsidR="000976C9" w:rsidRDefault="000976C9" w:rsidP="000976C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展旦召苏木基准地价更新成果</w:t>
      </w:r>
    </w:p>
    <w:p w:rsidR="000976C9" w:rsidRDefault="000976C9" w:rsidP="000976C9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一、达拉特旗展旦召苏木基准地价内涵</w:t>
      </w:r>
    </w:p>
    <w:p w:rsidR="000976C9" w:rsidRDefault="000976C9" w:rsidP="000976C9">
      <w:pPr>
        <w:spacing w:line="560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基准地价定义: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（1）估价基准日:2022年1月1日。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（2）土地使用年期:商服用地 40 年、住宅用地 70 年、工业用地 50 年;保障性安居工程用地为 70 年，养老、教育、文化体育、能源、环境保护、供水、燃气供应、供热设施用地为 50年。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(3)容积率:商服用地 1.0、住宅用地1.0、工业用地 0.6:保障性安居工程、养老、教育、文化和体育用地这五类用地容积率按住宅用地容积率设定，容积率设定为1.0，能源、环境保护、供水、燃气供应、供热设施用地这五类用地容积率按工业用地容积率设定，容积率设定为0.6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(4) 开发程度:商业用地、住宅用地、均为“五通一平”（通路、通上水、通下水、通电、通讯，场平）。工业用地平为“四通一平” （通路、通上水、通电、通讯，场平）。保障性安居工程、养老、教育、文化和体育用地这五类用地开发程度按住宅开发程度设定，开发程度为“五通一平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”（通路、通上水、通下水、通电、通讯，宗地内场地平整），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能源、环境保护、供水、燃气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供应、供热设施用地这五类用地开发程度按住宅开发程度设定，开发程度为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“四通一平”（通路、通上水、通电、通讯，宗地内场地平整）。</w:t>
      </w:r>
    </w:p>
    <w:p w:rsidR="000976C9" w:rsidRDefault="000976C9" w:rsidP="000976C9">
      <w:pPr>
        <w:spacing w:line="56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二、达拉特旗展旦召苏木各类用地基准地价表</w:t>
      </w:r>
    </w:p>
    <w:tbl>
      <w:tblPr>
        <w:tblW w:w="53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9"/>
        <w:gridCol w:w="737"/>
        <w:gridCol w:w="800"/>
        <w:gridCol w:w="770"/>
        <w:gridCol w:w="796"/>
        <w:gridCol w:w="753"/>
        <w:gridCol w:w="796"/>
        <w:gridCol w:w="918"/>
        <w:gridCol w:w="1203"/>
        <w:gridCol w:w="1053"/>
        <w:gridCol w:w="1065"/>
      </w:tblGrid>
      <w:tr w:rsidR="000976C9" w:rsidTr="00CF1E75">
        <w:trPr>
          <w:trHeight w:val="397"/>
          <w:jc w:val="center"/>
        </w:trPr>
        <w:tc>
          <w:tcPr>
            <w:tcW w:w="441" w:type="pct"/>
            <w:vMerge w:val="restart"/>
            <w:tcBorders>
              <w:tl2br w:val="single" w:sz="6" w:space="0" w:color="auto"/>
            </w:tcBorders>
            <w:vAlign w:val="center"/>
          </w:tcPr>
          <w:p w:rsidR="000976C9" w:rsidRDefault="000976C9" w:rsidP="00CF1E75">
            <w:pPr>
              <w:spacing w:line="560" w:lineRule="exact"/>
              <w:jc w:val="right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用途</w:t>
            </w:r>
          </w:p>
          <w:p w:rsidR="000976C9" w:rsidRDefault="000976C9" w:rsidP="00CF1E75">
            <w:pPr>
              <w:pStyle w:val="2"/>
              <w:spacing w:line="560" w:lineRule="exact"/>
            </w:pPr>
          </w:p>
          <w:p w:rsidR="000976C9" w:rsidRDefault="000976C9" w:rsidP="00CF1E75">
            <w:pPr>
              <w:spacing w:line="560" w:lineRule="exact"/>
              <w:jc w:val="left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级别</w:t>
            </w:r>
          </w:p>
        </w:tc>
        <w:tc>
          <w:tcPr>
            <w:tcW w:w="788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商服</w:t>
            </w:r>
          </w:p>
        </w:tc>
        <w:tc>
          <w:tcPr>
            <w:tcW w:w="803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住宅</w:t>
            </w:r>
          </w:p>
        </w:tc>
        <w:tc>
          <w:tcPr>
            <w:tcW w:w="794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工业</w:t>
            </w:r>
          </w:p>
        </w:tc>
        <w:tc>
          <w:tcPr>
            <w:tcW w:w="1088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 w:hint="eastAsia"/>
                <w:sz w:val="22"/>
              </w:rPr>
              <w:t>公共服务项目用地（保障性安居工程、养老、教育、文化和体育用地）</w:t>
            </w:r>
          </w:p>
        </w:tc>
        <w:tc>
          <w:tcPr>
            <w:tcW w:w="1087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 w:hint="eastAsia"/>
                <w:sz w:val="22"/>
              </w:rPr>
              <w:t>公共服务项目用地（能源、环境保护、供水、燃气供应、供热设施用地）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1" w:type="pct"/>
            <w:vMerge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1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54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Ⅰ</w:t>
            </w: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pacing w:val="6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210</w:t>
            </w:r>
          </w:p>
        </w:tc>
        <w:tc>
          <w:tcPr>
            <w:tcW w:w="41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14.00 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150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10.00 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109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7.27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128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 w:hint="eastAsia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8.53 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114</w:t>
            </w:r>
          </w:p>
        </w:tc>
        <w:tc>
          <w:tcPr>
            <w:tcW w:w="54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7.</w:t>
            </w:r>
            <w:r>
              <w:rPr>
                <w:rFonts w:ascii="Calibri" w:hAnsi="Calibri"/>
                <w:color w:val="000000"/>
                <w:sz w:val="22"/>
              </w:rPr>
              <w:t>60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Ⅱ</w:t>
            </w: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pacing w:val="6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160</w:t>
            </w:r>
          </w:p>
        </w:tc>
        <w:tc>
          <w:tcPr>
            <w:tcW w:w="41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10.67 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110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7.33 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89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5.93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100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6.67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93</w:t>
            </w:r>
          </w:p>
        </w:tc>
        <w:tc>
          <w:tcPr>
            <w:tcW w:w="54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6.20</w:t>
            </w:r>
          </w:p>
        </w:tc>
      </w:tr>
    </w:tbl>
    <w:p w:rsidR="000976C9" w:rsidRDefault="000976C9" w:rsidP="000976C9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三、达拉特旗展旦召苏木各类用地基准地价表（变价幅度）</w:t>
      </w:r>
    </w:p>
    <w:tbl>
      <w:tblPr>
        <w:tblW w:w="78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1"/>
        <w:gridCol w:w="1143"/>
        <w:gridCol w:w="1143"/>
        <w:gridCol w:w="1143"/>
        <w:gridCol w:w="1143"/>
        <w:gridCol w:w="1143"/>
        <w:gridCol w:w="1144"/>
      </w:tblGrid>
      <w:tr w:rsidR="000976C9" w:rsidTr="00CF1E75">
        <w:trPr>
          <w:trHeight w:val="397"/>
          <w:jc w:val="center"/>
        </w:trPr>
        <w:tc>
          <w:tcPr>
            <w:tcW w:w="1031" w:type="dxa"/>
            <w:vMerge w:val="restart"/>
            <w:tcBorders>
              <w:tl2br w:val="single" w:sz="4" w:space="0" w:color="auto"/>
            </w:tcBorders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幅度</w:t>
            </w:r>
          </w:p>
          <w:p w:rsidR="000976C9" w:rsidRDefault="000976C9" w:rsidP="00CF1E75">
            <w:pPr>
              <w:spacing w:line="560" w:lineRule="exac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级别</w:t>
            </w:r>
          </w:p>
        </w:tc>
        <w:tc>
          <w:tcPr>
            <w:tcW w:w="2286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商业调整幅度(%)</w:t>
            </w:r>
          </w:p>
        </w:tc>
        <w:tc>
          <w:tcPr>
            <w:tcW w:w="2286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住宅调整幅度(%)</w:t>
            </w:r>
          </w:p>
        </w:tc>
        <w:tc>
          <w:tcPr>
            <w:tcW w:w="2287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工业调整幅度(%)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Merge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Ⅰ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14.29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-14.29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10.00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-15.33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10.09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-</w:t>
            </w:r>
            <w:r>
              <w:rPr>
                <w:rFonts w:ascii="仿宋_GB2312" w:eastAsia="仿宋_GB2312" w:hAnsi="Calibri"/>
                <w:sz w:val="24"/>
              </w:rPr>
              <w:t>8.26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Ⅱ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12.5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-12.5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15.45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-10.91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12.36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-</w:t>
            </w:r>
            <w:r>
              <w:rPr>
                <w:rFonts w:ascii="仿宋_GB2312" w:eastAsia="仿宋_GB2312" w:hAnsi="Calibri"/>
                <w:sz w:val="24"/>
              </w:rPr>
              <w:t>10.11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</w:tr>
    </w:tbl>
    <w:p w:rsidR="000976C9" w:rsidRDefault="000976C9" w:rsidP="000976C9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四、达拉特旗展旦召苏木基准地价土地级别描述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（1）商服用地土地级别情况：I级占地面积50.1720公顷，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北至展旦召苏木中心小学南80米，南至S316道路南160米，西至盛丰源农资经销部东10米，东至定级范围边界；Ⅱ级占地面积107.7103公顷，北至定级范围边界，南至定级范围边界，西至定级范围边界，东至定级范围边界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住宅用地土地级别情况：I级占地面积50.1720公顷，北至展旦召苏木中心小学南80米，南至S316道路南160米，西至盛丰源农资经销部东10米，东至定级范围边界；Ⅱ级占地面积107.7103公顷，北至定级范围边界，南至定级范围边界，西至定级范围边界，东至定级范围边界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工业用地土地级别情况：I级占地面积74.6230公顷，北至定级范围边界，南至S316道路南160米，西至盛丰源农资经销部东10米，东至定级范围边界；Ⅱ级占地面积83.2593公顷，北至定级范围边界，南至定级范围边界，西至定级范围边界，东至定级范围边界。</w:t>
      </w: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综合土地级别情况：I级占地面积74.6230公顷，北至定级范围边界，南至S316道路南160米，西至盛丰源农资经销部东10米，东至定级范围边界；Ⅱ级占地面积83.2593公顷，北至定级范围边界，南至定级范围边界，西至定级范围边界，东至定级范围边界。</w:t>
      </w: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0976C9" w:rsidRDefault="000976C9" w:rsidP="000976C9">
      <w:pPr>
        <w:spacing w:line="560" w:lineRule="exact"/>
        <w:rPr>
          <w:rFonts w:ascii="仿宋" w:eastAsia="仿宋" w:hAnsi="仿宋" w:cs="仿宋" w:hint="eastAsia"/>
          <w:sz w:val="30"/>
          <w:szCs w:val="30"/>
        </w:rPr>
      </w:pPr>
    </w:p>
    <w:p w:rsidR="000976C9" w:rsidRDefault="000976C9" w:rsidP="000976C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王爱召镇基准地价更新成果</w:t>
      </w: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一、达拉特旗王爱召镇基准地价内涵</w:t>
      </w:r>
    </w:p>
    <w:p w:rsidR="000976C9" w:rsidRDefault="000976C9" w:rsidP="000976C9">
      <w:pPr>
        <w:spacing w:line="560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基准地价定义: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（1）估价基准日:2022年1月1日。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（2）土地使用年期:商服用地 40 年、住宅用地 70 年、工业用地 50 年;保障性安居工程用地为 70 年，养老、教育、文化体育、能源、环境保护、供水、燃气供应、供热设施用地为 50年。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(3)容积率:商服用地 1.0、住宅用地1.0、工业用地 0.6:保障性安居工程、养老、教育、文化和体育用地这五类用地容积率按住宅用地容积率设定，容积率设定为1.0，能源、环境保护、供水、燃气供应、供热设施用地这五类用地容积率按工业用地容积率设定，容积率设定为0.6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(4) 开发程度:商业用地、住宅用地、均为“五通一平”（通路、通上水、通下水、通电、通讯，场平）。工业用地平为“四通一平” （通路、通上水、通电、通讯，场平）。保障性安居工程、养老、教育、文化和体育用地这五类用地开发程度按住宅开发程度设定，开发程度为“五通一平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”（通路、通上水、通下水、通电、通讯，宗地内场地平整），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能源、环境保护、供水、燃气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供应、供热设施用地这五类用地开发程度按住宅开发程度设定，开发程度为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“四通一平”（通路、通上水、通电、通讯，宗地</w:t>
      </w:r>
      <w:r>
        <w:rPr>
          <w:rFonts w:ascii="仿宋_GB2312" w:eastAsia="仿宋_GB2312" w:hAnsi="仿宋_GB2312" w:cs="仿宋_GB2312" w:hint="eastAsia"/>
          <w:sz w:val="32"/>
          <w:szCs w:val="32"/>
        </w:rPr>
        <w:t>内场地平整）。</w:t>
      </w:r>
    </w:p>
    <w:p w:rsidR="000976C9" w:rsidRDefault="000976C9" w:rsidP="000976C9">
      <w:pPr>
        <w:spacing w:line="560" w:lineRule="exact"/>
        <w:rPr>
          <w:rFonts w:ascii="仿宋" w:eastAsia="仿宋" w:hAnsi="仿宋" w:cs="仿宋" w:hint="eastAsia"/>
          <w:sz w:val="30"/>
          <w:szCs w:val="30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二、达拉特旗王爱召镇各类用地基准地价表</w:t>
      </w:r>
    </w:p>
    <w:tbl>
      <w:tblPr>
        <w:tblW w:w="53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9"/>
        <w:gridCol w:w="737"/>
        <w:gridCol w:w="800"/>
        <w:gridCol w:w="770"/>
        <w:gridCol w:w="796"/>
        <w:gridCol w:w="753"/>
        <w:gridCol w:w="796"/>
        <w:gridCol w:w="918"/>
        <w:gridCol w:w="1203"/>
        <w:gridCol w:w="1053"/>
        <w:gridCol w:w="1065"/>
      </w:tblGrid>
      <w:tr w:rsidR="000976C9" w:rsidTr="00CF1E75">
        <w:trPr>
          <w:trHeight w:val="397"/>
          <w:jc w:val="center"/>
        </w:trPr>
        <w:tc>
          <w:tcPr>
            <w:tcW w:w="441" w:type="pct"/>
            <w:vMerge w:val="restart"/>
            <w:tcBorders>
              <w:tl2br w:val="single" w:sz="6" w:space="0" w:color="auto"/>
            </w:tcBorders>
            <w:vAlign w:val="center"/>
          </w:tcPr>
          <w:p w:rsidR="000976C9" w:rsidRDefault="000976C9" w:rsidP="00CF1E75">
            <w:pPr>
              <w:spacing w:line="560" w:lineRule="exact"/>
              <w:jc w:val="right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用途</w:t>
            </w:r>
          </w:p>
          <w:p w:rsidR="000976C9" w:rsidRDefault="000976C9" w:rsidP="00CF1E75">
            <w:pPr>
              <w:pStyle w:val="2"/>
              <w:spacing w:line="560" w:lineRule="exact"/>
            </w:pPr>
          </w:p>
          <w:p w:rsidR="000976C9" w:rsidRDefault="000976C9" w:rsidP="00CF1E75">
            <w:pPr>
              <w:spacing w:line="560" w:lineRule="exact"/>
              <w:jc w:val="left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级别</w:t>
            </w:r>
          </w:p>
        </w:tc>
        <w:tc>
          <w:tcPr>
            <w:tcW w:w="788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商服</w:t>
            </w:r>
          </w:p>
        </w:tc>
        <w:tc>
          <w:tcPr>
            <w:tcW w:w="803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住宅</w:t>
            </w:r>
          </w:p>
        </w:tc>
        <w:tc>
          <w:tcPr>
            <w:tcW w:w="794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工业</w:t>
            </w:r>
          </w:p>
        </w:tc>
        <w:tc>
          <w:tcPr>
            <w:tcW w:w="1088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 w:hint="eastAsia"/>
                <w:sz w:val="22"/>
              </w:rPr>
              <w:t>公共服务项目用地（保障性安居工程、养老、教育、文化和体育用地）</w:t>
            </w:r>
          </w:p>
        </w:tc>
        <w:tc>
          <w:tcPr>
            <w:tcW w:w="1087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 w:hint="eastAsia"/>
                <w:sz w:val="22"/>
              </w:rPr>
              <w:t>公共服务项目用地（能源、环境保护、供水、燃气供应、供热设施用地）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1" w:type="pct"/>
            <w:vMerge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1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54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Ⅰ</w:t>
            </w: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pacing w:val="6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210</w:t>
            </w:r>
          </w:p>
        </w:tc>
        <w:tc>
          <w:tcPr>
            <w:tcW w:w="41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14.00 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150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10.00 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109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7.27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128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 w:hint="eastAsia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8.53 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114</w:t>
            </w:r>
          </w:p>
        </w:tc>
        <w:tc>
          <w:tcPr>
            <w:tcW w:w="54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7.</w:t>
            </w:r>
            <w:r>
              <w:rPr>
                <w:rFonts w:ascii="Calibri" w:hAnsi="Calibri"/>
                <w:color w:val="000000"/>
                <w:sz w:val="22"/>
              </w:rPr>
              <w:t>60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Ⅱ</w:t>
            </w: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pacing w:val="6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160</w:t>
            </w:r>
          </w:p>
        </w:tc>
        <w:tc>
          <w:tcPr>
            <w:tcW w:w="41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10.67 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110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7.33 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89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5.93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100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6.67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93</w:t>
            </w:r>
          </w:p>
        </w:tc>
        <w:tc>
          <w:tcPr>
            <w:tcW w:w="54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6.20</w:t>
            </w:r>
          </w:p>
        </w:tc>
      </w:tr>
    </w:tbl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rPr>
          <w:rFonts w:hint="eastAsia"/>
        </w:rPr>
      </w:pPr>
      <w:r>
        <w:rPr>
          <w:rFonts w:ascii="黑体" w:eastAsia="黑体" w:hAnsi="黑体" w:cs="黑体" w:hint="eastAsia"/>
          <w:sz w:val="32"/>
          <w:szCs w:val="32"/>
        </w:rPr>
        <w:t>三、达拉特旗王爱召镇各类用地基准地价表（变价幅度）</w:t>
      </w:r>
    </w:p>
    <w:tbl>
      <w:tblPr>
        <w:tblW w:w="78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1"/>
        <w:gridCol w:w="1143"/>
        <w:gridCol w:w="1143"/>
        <w:gridCol w:w="1143"/>
        <w:gridCol w:w="1143"/>
        <w:gridCol w:w="1143"/>
        <w:gridCol w:w="1144"/>
      </w:tblGrid>
      <w:tr w:rsidR="000976C9" w:rsidTr="00CF1E75">
        <w:trPr>
          <w:trHeight w:val="397"/>
          <w:jc w:val="center"/>
        </w:trPr>
        <w:tc>
          <w:tcPr>
            <w:tcW w:w="1031" w:type="dxa"/>
            <w:vMerge w:val="restart"/>
            <w:tcBorders>
              <w:tl2br w:val="single" w:sz="4" w:space="0" w:color="auto"/>
            </w:tcBorders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幅度</w:t>
            </w:r>
          </w:p>
          <w:p w:rsidR="000976C9" w:rsidRDefault="000976C9" w:rsidP="00CF1E75">
            <w:pPr>
              <w:spacing w:line="560" w:lineRule="exac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级别</w:t>
            </w:r>
          </w:p>
        </w:tc>
        <w:tc>
          <w:tcPr>
            <w:tcW w:w="2286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商业调整幅度(%)</w:t>
            </w:r>
          </w:p>
        </w:tc>
        <w:tc>
          <w:tcPr>
            <w:tcW w:w="2286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住宅调整幅度(%)</w:t>
            </w:r>
          </w:p>
        </w:tc>
        <w:tc>
          <w:tcPr>
            <w:tcW w:w="2287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工业调整幅度(%)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Merge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Ⅰ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14.29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-14.29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10.00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-15.33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10.09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-</w:t>
            </w:r>
            <w:r>
              <w:rPr>
                <w:rFonts w:ascii="仿宋_GB2312" w:eastAsia="仿宋_GB2312" w:hAnsi="Calibri"/>
                <w:sz w:val="24"/>
              </w:rPr>
              <w:t>8.26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Ⅱ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12.5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-12.5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15.45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-10.91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12.36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-</w:t>
            </w:r>
            <w:r>
              <w:rPr>
                <w:rFonts w:ascii="仿宋_GB2312" w:eastAsia="仿宋_GB2312" w:hAnsi="Calibri"/>
                <w:sz w:val="24"/>
              </w:rPr>
              <w:t>10.11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</w:tr>
    </w:tbl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</w:pPr>
      <w:r>
        <w:rPr>
          <w:rFonts w:ascii="黑体" w:eastAsia="黑体" w:hAnsi="黑体" w:cs="黑体" w:hint="eastAsia"/>
          <w:sz w:val="32"/>
          <w:szCs w:val="32"/>
        </w:rPr>
        <w:t>四、达拉特旗王爱召镇基准地价土地级别描述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（1）商服用地土地级别情况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I级占地面积36.9949公顷，北至G512道路，南至定级范围边界，西至加油站右侧道路，东至德敖线；Ⅱ级占地面积25.0302公顷，北至定级范围边界，南至定级范围边界，西至定级范围边界，东至定级范围边界。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住宅用地土地级别情况：I级占地面积36.9949公顷，北至G512道路，南至定级范围边界，西至加油站右侧道路，东至德敖线；Ⅱ级占地面积25.0302公顷，北至定级范围边界，南至定级范围边界，西至定级范围边界，东至定级范围边界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（3）工业用地土地级别情况：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I级占地面积33.3148公顷，北至G512道路，南至定级范围边界，西至加油站右侧道路，东至德敖线；Ⅱ级占地面积28.7103公顷，北至定级范围边界，南至定级范围边界，西至定级范围边界，东至定级范围边界。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（4）综合土地级别情况：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I级占地面积36.9949公顷，北至G512道路，南至定级范围边界，西至加油站右侧道路，东至德敖线；Ⅱ级占地面积25.0302公顷，北至定级范围边界，南至定级范围边界，西至定级范围边界，东至定级范围边界。</w:t>
      </w: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0976C9" w:rsidRDefault="000976C9" w:rsidP="000976C9">
      <w:pPr>
        <w:spacing w:line="560" w:lineRule="exact"/>
        <w:rPr>
          <w:rFonts w:ascii="仿宋" w:eastAsia="仿宋" w:hAnsi="仿宋" w:cs="仿宋" w:hint="eastAsia"/>
          <w:sz w:val="30"/>
          <w:szCs w:val="30"/>
        </w:rPr>
      </w:pPr>
    </w:p>
    <w:p w:rsidR="000976C9" w:rsidRDefault="000976C9" w:rsidP="000976C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昭君镇基准地价更新成果</w:t>
      </w: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一、达拉特旗昭君镇基准地价内涵</w:t>
      </w:r>
    </w:p>
    <w:p w:rsidR="000976C9" w:rsidRDefault="000976C9" w:rsidP="000976C9">
      <w:pPr>
        <w:spacing w:line="560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基准地价定义: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（1）估价基准日:2022年1月1日。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（2）土地使用年期:商服用地 40 年、住宅用地 70 年、工业用地 50 年;保障性安居工程用地为 70 年，养老、教育、文化体育、能源、环境保护、供水、燃气供应、供热设施用地为 50年。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(3)容积率:商服用地 1.0、住宅用地1.0、工业用地 0.6:保障性安居工程、养老、教育、文化和体育用地这五类用地容积率按住宅用地容积率设定，容积率设定为1.0，能源、环境保护、供水、燃气供应、供热设施用地这五类用地容积率按工业用地容积率设定，容积率设定为0.6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(4) 开发程度:商业用地、住宅用地、均为“五通一平”（通路、通上水、通下水、通电、通讯，场平）。工业用地平为“四通一平” （通路、通上水、通电、通讯，场平）。保障性安居工程、养老、教育、文化和体育用地这五类用地开发程度按住宅开发程度设定，开发程度为“五通一平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”（通路、通上水、通下水、通电、通讯，宗地内场地平整），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能源、环境保护、供水、燃气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供应、供热设施用地这五类用地开发程度按住宅开发程度设定，开发程度为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“四通一平”（通路、通上水、通电、通讯，宗地</w:t>
      </w:r>
      <w:r>
        <w:rPr>
          <w:rFonts w:ascii="仿宋_GB2312" w:eastAsia="仿宋_GB2312" w:hAnsi="仿宋_GB2312" w:cs="仿宋_GB2312" w:hint="eastAsia"/>
          <w:sz w:val="32"/>
          <w:szCs w:val="32"/>
        </w:rPr>
        <w:t>内场地平整）。</w:t>
      </w:r>
    </w:p>
    <w:p w:rsidR="000976C9" w:rsidRDefault="000976C9" w:rsidP="000976C9">
      <w:pPr>
        <w:spacing w:line="560" w:lineRule="exact"/>
        <w:rPr>
          <w:rFonts w:ascii="仿宋" w:eastAsia="仿宋" w:hAnsi="仿宋" w:cs="仿宋" w:hint="eastAsia"/>
          <w:sz w:val="30"/>
          <w:szCs w:val="30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二、达拉特旗昭君镇各类用地基准地价表</w:t>
      </w:r>
    </w:p>
    <w:tbl>
      <w:tblPr>
        <w:tblW w:w="53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9"/>
        <w:gridCol w:w="737"/>
        <w:gridCol w:w="796"/>
        <w:gridCol w:w="770"/>
        <w:gridCol w:w="796"/>
        <w:gridCol w:w="753"/>
        <w:gridCol w:w="796"/>
        <w:gridCol w:w="918"/>
        <w:gridCol w:w="1203"/>
        <w:gridCol w:w="1053"/>
        <w:gridCol w:w="1069"/>
      </w:tblGrid>
      <w:tr w:rsidR="000976C9" w:rsidTr="00CF1E75">
        <w:trPr>
          <w:trHeight w:val="397"/>
          <w:jc w:val="center"/>
        </w:trPr>
        <w:tc>
          <w:tcPr>
            <w:tcW w:w="441" w:type="pct"/>
            <w:vMerge w:val="restart"/>
            <w:tcBorders>
              <w:tl2br w:val="single" w:sz="6" w:space="0" w:color="auto"/>
            </w:tcBorders>
            <w:vAlign w:val="center"/>
          </w:tcPr>
          <w:p w:rsidR="000976C9" w:rsidRDefault="000976C9" w:rsidP="00CF1E75">
            <w:pPr>
              <w:spacing w:line="560" w:lineRule="exact"/>
              <w:jc w:val="right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用途</w:t>
            </w:r>
          </w:p>
          <w:p w:rsidR="000976C9" w:rsidRDefault="000976C9" w:rsidP="00CF1E75">
            <w:pPr>
              <w:pStyle w:val="2"/>
              <w:spacing w:line="560" w:lineRule="exact"/>
            </w:pPr>
          </w:p>
          <w:p w:rsidR="000976C9" w:rsidRDefault="000976C9" w:rsidP="00CF1E75">
            <w:pPr>
              <w:spacing w:line="560" w:lineRule="exact"/>
              <w:jc w:val="left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级别</w:t>
            </w:r>
          </w:p>
        </w:tc>
        <w:tc>
          <w:tcPr>
            <w:tcW w:w="786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商服</w:t>
            </w:r>
          </w:p>
        </w:tc>
        <w:tc>
          <w:tcPr>
            <w:tcW w:w="803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住宅</w:t>
            </w:r>
          </w:p>
        </w:tc>
        <w:tc>
          <w:tcPr>
            <w:tcW w:w="794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工业</w:t>
            </w:r>
          </w:p>
        </w:tc>
        <w:tc>
          <w:tcPr>
            <w:tcW w:w="1088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 w:hint="eastAsia"/>
                <w:sz w:val="22"/>
              </w:rPr>
              <w:t>公共服务项目用地（保障性安居工程、养老、教育、文化和体育用地）</w:t>
            </w:r>
          </w:p>
        </w:tc>
        <w:tc>
          <w:tcPr>
            <w:tcW w:w="1089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 w:hint="eastAsia"/>
                <w:sz w:val="22"/>
              </w:rPr>
              <w:t>公共服务项目用地（能源、环境保护、供水、燃气供应、供热设施用地）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1" w:type="pct"/>
            <w:vMerge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549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Ⅰ</w:t>
            </w: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pacing w:val="6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180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12.00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125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8.33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109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7.27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119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7.92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114</w:t>
            </w:r>
          </w:p>
        </w:tc>
        <w:tc>
          <w:tcPr>
            <w:tcW w:w="549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7.</w:t>
            </w:r>
            <w:r>
              <w:rPr>
                <w:rFonts w:ascii="Calibri" w:hAnsi="Calibri"/>
                <w:color w:val="000000"/>
                <w:sz w:val="22"/>
              </w:rPr>
              <w:t>60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Ⅱ</w:t>
            </w: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pacing w:val="6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140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9.33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105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7.</w:t>
            </w:r>
            <w:r>
              <w:rPr>
                <w:rFonts w:ascii="Calibri" w:hAnsi="Calibri"/>
                <w:color w:val="000000"/>
                <w:sz w:val="22"/>
              </w:rPr>
              <w:t>00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89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5.93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100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6.67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93</w:t>
            </w:r>
          </w:p>
        </w:tc>
        <w:tc>
          <w:tcPr>
            <w:tcW w:w="549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6.20</w:t>
            </w:r>
          </w:p>
        </w:tc>
      </w:tr>
    </w:tbl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rPr>
          <w:rFonts w:ascii="仿宋" w:eastAsia="仿宋" w:hAnsi="仿宋" w:cs="仿宋" w:hint="eastAsia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三、达拉特旗昭君镇各类用地基准地价表（变价幅度）</w:t>
      </w:r>
    </w:p>
    <w:tbl>
      <w:tblPr>
        <w:tblW w:w="78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1"/>
        <w:gridCol w:w="1143"/>
        <w:gridCol w:w="1143"/>
        <w:gridCol w:w="1143"/>
        <w:gridCol w:w="1143"/>
        <w:gridCol w:w="1143"/>
        <w:gridCol w:w="1144"/>
      </w:tblGrid>
      <w:tr w:rsidR="000976C9" w:rsidTr="00CF1E75">
        <w:trPr>
          <w:trHeight w:val="397"/>
          <w:jc w:val="center"/>
        </w:trPr>
        <w:tc>
          <w:tcPr>
            <w:tcW w:w="1031" w:type="dxa"/>
            <w:vMerge w:val="restart"/>
            <w:tcBorders>
              <w:tl2br w:val="single" w:sz="4" w:space="0" w:color="auto"/>
            </w:tcBorders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幅度</w:t>
            </w:r>
          </w:p>
          <w:p w:rsidR="000976C9" w:rsidRDefault="000976C9" w:rsidP="00CF1E75">
            <w:pPr>
              <w:spacing w:line="560" w:lineRule="exac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级别</w:t>
            </w:r>
          </w:p>
        </w:tc>
        <w:tc>
          <w:tcPr>
            <w:tcW w:w="2286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商业调整幅度(%)</w:t>
            </w:r>
          </w:p>
        </w:tc>
        <w:tc>
          <w:tcPr>
            <w:tcW w:w="2286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住宅调整幅度(%)</w:t>
            </w:r>
          </w:p>
        </w:tc>
        <w:tc>
          <w:tcPr>
            <w:tcW w:w="2287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工业调整幅度(%)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Merge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Ⅰ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11.11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-11.11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8.00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-8.00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10.09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-</w:t>
            </w:r>
            <w:r>
              <w:rPr>
                <w:rFonts w:ascii="仿宋_GB2312" w:eastAsia="仿宋_GB2312" w:hAnsi="Calibri"/>
                <w:sz w:val="24"/>
              </w:rPr>
              <w:t>8.26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Ⅱ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14.29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-14.29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9.52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-9.52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12.36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-</w:t>
            </w:r>
            <w:r>
              <w:rPr>
                <w:rFonts w:ascii="仿宋_GB2312" w:eastAsia="仿宋_GB2312" w:hAnsi="Calibri"/>
                <w:sz w:val="24"/>
              </w:rPr>
              <w:t>10.11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</w:tr>
    </w:tbl>
    <w:p w:rsidR="000976C9" w:rsidRDefault="000976C9" w:rsidP="000976C9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四、达拉特旗昭君镇基准地价土地级别描述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（1）商服用地土地级别情况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I级占地面积38.8929公顷，北至定级范围边界，南至昭君镇政府北80米，西至定级范围边界东500米，东至定级范围边界；Ⅱ级占地面积30.9697公顷，北至一级地边界，南至定级范围边界，西至定级范围边界，东至定级范围边界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（2）住宅用地土地级别情况：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I级占地面积38.8929公顷，北至定级范围边界，南至昭君镇政府北80米，西至定级范围边界东500米，东至定级范围边界；Ⅱ级占地面积30.9697公顷，北至一级地边界，南至定级范围边界，西至定级范围边界，东至定级范围边界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（3）工业用地土地级别情况：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I级占地面积55.8733公顷，北至定级范围边界，南至定级范围边界，西至昭君镇中心小学，东至定级范围边界；Ⅱ级占地面积13.9893公顷，北至定级范围边界，南至定级范围边界，西至定级范围边界，昭君镇中心小学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（4）综合土地级别情况：</w:t>
      </w:r>
    </w:p>
    <w:p w:rsidR="000976C9" w:rsidRDefault="000976C9" w:rsidP="000976C9">
      <w:pPr>
        <w:pStyle w:val="a6"/>
        <w:rPr>
          <w:rFonts w:hint="eastAsia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I级占地面积62.2331公顷，北至定级范围边界，南至定级范围边界，西至内蒙古农村信用社西190米，东至定级范围边界；Ⅱ级占地面积7.6295公顷，北至定级范围边界，南至定级范围边界，东至内蒙古农村信用社西190米，西至定级范围边界。</w:t>
      </w: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附件5</w:t>
      </w:r>
    </w:p>
    <w:p w:rsidR="000976C9" w:rsidRDefault="000976C9" w:rsidP="000976C9">
      <w:pPr>
        <w:spacing w:line="560" w:lineRule="exact"/>
        <w:jc w:val="left"/>
      </w:pPr>
    </w:p>
    <w:p w:rsidR="000976C9" w:rsidRDefault="000976C9" w:rsidP="000976C9">
      <w:pPr>
        <w:spacing w:line="560" w:lineRule="exact"/>
        <w:jc w:val="center"/>
        <w:rPr>
          <w:rFonts w:ascii="仿宋" w:eastAsia="仿宋" w:hAnsi="仿宋" w:cs="仿宋" w:hint="eastAsia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白泥井镇基准地价更新成果</w:t>
      </w:r>
    </w:p>
    <w:p w:rsidR="000976C9" w:rsidRDefault="000976C9" w:rsidP="000976C9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一、达拉特旗白泥井镇基准地价内涵</w:t>
      </w:r>
    </w:p>
    <w:p w:rsidR="000976C9" w:rsidRDefault="000976C9" w:rsidP="000976C9">
      <w:pPr>
        <w:spacing w:line="560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基准地价定义: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（1）估价基准日:2022年1月1日。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（2）土地使用年期:商服用地 40 年、住宅用地 70 年、工业用地 50 年;保障性安居工程用地为 70 年，养老、教育、文化体育、能源、环境保护、供水、燃气供应、供热设施用地为 50年。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(3)容积率:商服用地 1.0、住宅用地1.0、工业用地 0.6:保障性安居工程、养老、教育、文化和体育用地这五类用地容积率按住宅用地容积率设定，容积率设定为1.0，能源、环境保护、供水、燃气供应、供热设施用地这五类用地容积率按工业用地容积率设定，容积率设定为0.6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(4) 开发程度:商业用地、住宅用地、均为“五通一平”（通路、通上水、通下水、通电、通讯，场平）。工业用地平为“四通一平” （通路、通上水、通电、通讯，场平）。保障性安居工程、养老、教育、文化和体育用地这五类用地开发程度按住宅开发程度设定，开发程度为“五通一平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”（通路、通上水、通下水、通电、通讯，宗地内场地平整），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能源、环境保护、供水、燃气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供应、供热设施用地这五类用地开发程度按住宅开发程度设定，开发程度为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“四通一平”（通路、通上水、通电、通讯，宗地内场地平整）。</w:t>
      </w:r>
    </w:p>
    <w:p w:rsidR="000976C9" w:rsidRDefault="000976C9" w:rsidP="000976C9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二、达拉特旗白泥井镇各类用地基准地价表</w:t>
      </w:r>
    </w:p>
    <w:tbl>
      <w:tblPr>
        <w:tblpPr w:leftFromText="180" w:rightFromText="180" w:vertAnchor="text" w:horzAnchor="page" w:tblpX="1474" w:tblpY="251"/>
        <w:tblOverlap w:val="never"/>
        <w:tblW w:w="538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1"/>
        <w:gridCol w:w="737"/>
        <w:gridCol w:w="794"/>
        <w:gridCol w:w="770"/>
        <w:gridCol w:w="796"/>
        <w:gridCol w:w="753"/>
        <w:gridCol w:w="796"/>
        <w:gridCol w:w="918"/>
        <w:gridCol w:w="1203"/>
        <w:gridCol w:w="1053"/>
        <w:gridCol w:w="1069"/>
      </w:tblGrid>
      <w:tr w:rsidR="000976C9" w:rsidTr="00CF1E75">
        <w:trPr>
          <w:trHeight w:val="397"/>
        </w:trPr>
        <w:tc>
          <w:tcPr>
            <w:tcW w:w="442" w:type="pct"/>
            <w:vMerge w:val="restart"/>
            <w:tcBorders>
              <w:tl2br w:val="single" w:sz="6" w:space="0" w:color="auto"/>
            </w:tcBorders>
            <w:vAlign w:val="center"/>
          </w:tcPr>
          <w:p w:rsidR="000976C9" w:rsidRDefault="000976C9" w:rsidP="00CF1E75">
            <w:pPr>
              <w:spacing w:line="560" w:lineRule="exact"/>
              <w:jc w:val="right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用途</w:t>
            </w:r>
          </w:p>
          <w:p w:rsidR="000976C9" w:rsidRDefault="000976C9" w:rsidP="00CF1E75">
            <w:pPr>
              <w:pStyle w:val="2"/>
              <w:spacing w:line="560" w:lineRule="exact"/>
            </w:pPr>
          </w:p>
          <w:p w:rsidR="000976C9" w:rsidRDefault="000976C9" w:rsidP="00CF1E75">
            <w:pPr>
              <w:spacing w:line="560" w:lineRule="exact"/>
              <w:jc w:val="left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级别</w:t>
            </w:r>
          </w:p>
        </w:tc>
        <w:tc>
          <w:tcPr>
            <w:tcW w:w="785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商服</w:t>
            </w:r>
          </w:p>
        </w:tc>
        <w:tc>
          <w:tcPr>
            <w:tcW w:w="803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住宅</w:t>
            </w:r>
          </w:p>
        </w:tc>
        <w:tc>
          <w:tcPr>
            <w:tcW w:w="794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工业</w:t>
            </w:r>
          </w:p>
        </w:tc>
        <w:tc>
          <w:tcPr>
            <w:tcW w:w="1088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 w:hint="eastAsia"/>
                <w:sz w:val="22"/>
              </w:rPr>
              <w:t>公共服务项目用地（保障性安居工程、养老、教育、文化和体育用地）</w:t>
            </w:r>
          </w:p>
        </w:tc>
        <w:tc>
          <w:tcPr>
            <w:tcW w:w="1089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 w:hint="eastAsia"/>
                <w:sz w:val="22"/>
              </w:rPr>
              <w:t>公共服务项目用地（能源、环境保护、供水、燃气供应、供热设施用地）</w:t>
            </w:r>
          </w:p>
        </w:tc>
      </w:tr>
      <w:tr w:rsidR="000976C9" w:rsidTr="00CF1E75">
        <w:trPr>
          <w:trHeight w:val="397"/>
        </w:trPr>
        <w:tc>
          <w:tcPr>
            <w:tcW w:w="442" w:type="pct"/>
            <w:vMerge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0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549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</w:tr>
      <w:tr w:rsidR="000976C9" w:rsidTr="00CF1E75">
        <w:trPr>
          <w:trHeight w:val="397"/>
        </w:trPr>
        <w:tc>
          <w:tcPr>
            <w:tcW w:w="442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Ⅰ</w:t>
            </w: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pacing w:val="6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240</w:t>
            </w:r>
          </w:p>
        </w:tc>
        <w:tc>
          <w:tcPr>
            <w:tcW w:w="40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 w:hint="eastAsia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16.00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 w:hint="eastAsia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150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 w:hint="eastAsia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10.00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 w:hint="eastAsia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109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 w:hint="eastAsia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7.27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 w:hint="eastAsia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128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 w:hint="eastAsia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8.53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 w:hint="eastAsia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114</w:t>
            </w:r>
          </w:p>
        </w:tc>
        <w:tc>
          <w:tcPr>
            <w:tcW w:w="549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 w:hint="eastAsia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7.</w:t>
            </w:r>
            <w:r>
              <w:rPr>
                <w:rFonts w:ascii="Calibri" w:hAnsi="Calibri"/>
                <w:color w:val="000000"/>
                <w:sz w:val="22"/>
              </w:rPr>
              <w:t>60</w:t>
            </w:r>
          </w:p>
        </w:tc>
      </w:tr>
      <w:tr w:rsidR="000976C9" w:rsidTr="00CF1E75">
        <w:trPr>
          <w:trHeight w:val="397"/>
        </w:trPr>
        <w:tc>
          <w:tcPr>
            <w:tcW w:w="442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Ⅱ</w:t>
            </w: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pacing w:val="6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190</w:t>
            </w:r>
          </w:p>
        </w:tc>
        <w:tc>
          <w:tcPr>
            <w:tcW w:w="40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 w:hint="eastAsia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12.67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 w:hint="eastAsia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110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 w:hint="eastAsia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7.33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 w:hint="eastAsia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89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 w:hint="eastAsia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5.93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 w:hint="eastAsia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100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 w:hint="eastAsia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6.67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 w:hint="eastAsia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93</w:t>
            </w:r>
          </w:p>
        </w:tc>
        <w:tc>
          <w:tcPr>
            <w:tcW w:w="549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 w:hint="eastAsia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6.20</w:t>
            </w:r>
          </w:p>
        </w:tc>
      </w:tr>
    </w:tbl>
    <w:p w:rsidR="000976C9" w:rsidRDefault="000976C9" w:rsidP="000976C9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三、达拉特旗白泥井镇各类用地基准地价表（变价幅度）</w:t>
      </w:r>
    </w:p>
    <w:tbl>
      <w:tblPr>
        <w:tblW w:w="78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1"/>
        <w:gridCol w:w="1143"/>
        <w:gridCol w:w="1143"/>
        <w:gridCol w:w="1143"/>
        <w:gridCol w:w="1143"/>
        <w:gridCol w:w="1143"/>
        <w:gridCol w:w="1144"/>
      </w:tblGrid>
      <w:tr w:rsidR="000976C9" w:rsidTr="00CF1E75">
        <w:trPr>
          <w:trHeight w:val="397"/>
          <w:jc w:val="center"/>
        </w:trPr>
        <w:tc>
          <w:tcPr>
            <w:tcW w:w="1031" w:type="dxa"/>
            <w:vMerge w:val="restart"/>
            <w:tcBorders>
              <w:tl2br w:val="single" w:sz="4" w:space="0" w:color="auto"/>
            </w:tcBorders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幅度</w:t>
            </w:r>
          </w:p>
          <w:p w:rsidR="000976C9" w:rsidRDefault="000976C9" w:rsidP="00CF1E75">
            <w:pPr>
              <w:spacing w:line="560" w:lineRule="exac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级别</w:t>
            </w:r>
          </w:p>
        </w:tc>
        <w:tc>
          <w:tcPr>
            <w:tcW w:w="2286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商业调整幅度(%)</w:t>
            </w:r>
          </w:p>
        </w:tc>
        <w:tc>
          <w:tcPr>
            <w:tcW w:w="2286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住宅调整幅度(%)</w:t>
            </w:r>
          </w:p>
        </w:tc>
        <w:tc>
          <w:tcPr>
            <w:tcW w:w="2287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工业调整幅度(%)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Merge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Ⅰ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10.42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-12.50%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10.00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-15.33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10.09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-</w:t>
            </w:r>
            <w:r>
              <w:rPr>
                <w:rFonts w:ascii="仿宋_GB2312" w:eastAsia="仿宋_GB2312" w:hAnsi="Calibri"/>
                <w:sz w:val="24"/>
              </w:rPr>
              <w:t>8.26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Ⅱ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10.53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-10.53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15.45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-10.91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12.36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-</w:t>
            </w:r>
            <w:r>
              <w:rPr>
                <w:rFonts w:ascii="仿宋_GB2312" w:eastAsia="仿宋_GB2312" w:hAnsi="Calibri"/>
                <w:sz w:val="24"/>
              </w:rPr>
              <w:t>10.11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</w:tr>
    </w:tbl>
    <w:p w:rsidR="000976C9" w:rsidRDefault="000976C9" w:rsidP="000976C9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四、达拉特旗白泥井镇基准地价土地级别描述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（1）商服用地土地级别情况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I级占地面积80.8155公顷，东至白泥井镇新村东侧，南至白泥井镇新村南侧，西至203乡道西290米，北至白泥井镇中心小学100米；Ⅱ级占地面积156.1116公顷，向东扩定级范围边界，向西扩至定级范围边界，向北扩至定级范围边界，向南扩至定级范围边界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（2）住宅用地土地级别情况：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I级占地面积80.8155公顷，东至白泥井镇新村东侧，南至白泥井镇新村南侧，西至203乡道西290米，北至白泥井镇中心小学100米；Ⅱ级占地面积156.1116公顷，向东扩定级范围边界，向西扩至定级范围边界，向北扩至定级范围边界，向南扩至定级范围边界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（3）工业用地土地级别情况：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I级占地面积80.8532公顷，东至白泥井镇新村东侧，南至白泥井镇新村南侧，西至203乡道西290米，北至白泥井镇中心小学100米；Ⅱ级占地面积156.0739公顷，向东扩定级范围边界，向西扩至定级范围边界，向北扩至定级范围边界，向南扩至定级范围边界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（4）综合土地级别情况：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I级占地面积80.8532公顷，东至白泥井镇新村东侧，南至白泥井镇新村南侧，西至203乡道西290米，北至白泥井镇中心小学100米；Ⅱ级占地面积156.0739公顷，向东扩定级范围边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界，向西扩至定级范围边界，向北扩至定级范围边界，向南扩至定级范围边界。</w:t>
      </w: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附件6</w:t>
      </w:r>
    </w:p>
    <w:p w:rsidR="000976C9" w:rsidRDefault="000976C9" w:rsidP="000976C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976C9" w:rsidRDefault="000976C9" w:rsidP="000976C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恩格贝镇基准地价更新成果</w:t>
      </w:r>
    </w:p>
    <w:p w:rsidR="000976C9" w:rsidRDefault="000976C9" w:rsidP="000976C9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一、达拉特旗恩格贝镇基准地价内涵</w:t>
      </w:r>
    </w:p>
    <w:p w:rsidR="000976C9" w:rsidRDefault="000976C9" w:rsidP="000976C9">
      <w:pPr>
        <w:spacing w:line="560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基准地价定义: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（1）估价基准日:2022年1月1日。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（2）土地使用年期:商服用地 40 年、住宅用地 70 年、工业用地 50 年;保障性安居工程用地为 70 年，养老、教育、文化体育、能源、环境保护、供水、燃气供应、供热设施用地为 50年。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(3)容积率:商服用地 1.0、住宅用地1.0、工业用地 0.6:保障性安居工程、养老、教育、文化和体育用地这五类用地容积率按住宅用地容积率设定，容积率设定为1.0，能源、环境保护、供水、燃气供应、供热设施用地这五类用地容积率按工业用地容积率设定，容积率设定为0.6。</w:t>
      </w:r>
    </w:p>
    <w:p w:rsidR="000976C9" w:rsidRDefault="000976C9" w:rsidP="000976C9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(4) 开发程度:商业用地、住宅用地、均为“五通一平”（通路、通上水、通下水、通电、通讯，场平）。工业用地平为“四通一平” （通路、通上水、通电、通讯，场平）。保障性安居工程、养老、教育、文化和体育用地这五类用地开发程度按住宅开发程度设定，开发程度为“五通一平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”（通路、通上水、通下水、通电、通讯，宗地内场地平整），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能源、环境保护、供水、燃气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供应、供热设施用地这五类用地开发程度按住宅开发程度设定，开发程度为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“四通一平”（通路、通上水、通电、通讯，宗地内场地平整）。</w:t>
      </w: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二、达拉特旗恩格贝镇各类用地基准地价表</w:t>
      </w:r>
    </w:p>
    <w:tbl>
      <w:tblPr>
        <w:tblW w:w="53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9"/>
        <w:gridCol w:w="737"/>
        <w:gridCol w:w="796"/>
        <w:gridCol w:w="770"/>
        <w:gridCol w:w="796"/>
        <w:gridCol w:w="753"/>
        <w:gridCol w:w="796"/>
        <w:gridCol w:w="918"/>
        <w:gridCol w:w="1203"/>
        <w:gridCol w:w="1053"/>
        <w:gridCol w:w="1069"/>
      </w:tblGrid>
      <w:tr w:rsidR="000976C9" w:rsidTr="00CF1E75">
        <w:trPr>
          <w:trHeight w:val="397"/>
          <w:jc w:val="center"/>
        </w:trPr>
        <w:tc>
          <w:tcPr>
            <w:tcW w:w="441" w:type="pct"/>
            <w:vMerge w:val="restart"/>
            <w:tcBorders>
              <w:tl2br w:val="single" w:sz="6" w:space="0" w:color="auto"/>
            </w:tcBorders>
            <w:vAlign w:val="center"/>
          </w:tcPr>
          <w:p w:rsidR="000976C9" w:rsidRDefault="000976C9" w:rsidP="00CF1E75">
            <w:pPr>
              <w:spacing w:line="560" w:lineRule="exact"/>
              <w:jc w:val="right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用途</w:t>
            </w:r>
          </w:p>
          <w:p w:rsidR="000976C9" w:rsidRDefault="000976C9" w:rsidP="00CF1E75">
            <w:pPr>
              <w:pStyle w:val="2"/>
              <w:spacing w:line="560" w:lineRule="exact"/>
            </w:pPr>
          </w:p>
          <w:p w:rsidR="000976C9" w:rsidRDefault="000976C9" w:rsidP="00CF1E75">
            <w:pPr>
              <w:spacing w:line="560" w:lineRule="exact"/>
              <w:jc w:val="left"/>
              <w:rPr>
                <w:rFonts w:eastAsia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级别</w:t>
            </w:r>
          </w:p>
        </w:tc>
        <w:tc>
          <w:tcPr>
            <w:tcW w:w="786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商服</w:t>
            </w:r>
          </w:p>
        </w:tc>
        <w:tc>
          <w:tcPr>
            <w:tcW w:w="803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住宅</w:t>
            </w:r>
          </w:p>
        </w:tc>
        <w:tc>
          <w:tcPr>
            <w:tcW w:w="794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工业</w:t>
            </w:r>
          </w:p>
        </w:tc>
        <w:tc>
          <w:tcPr>
            <w:tcW w:w="1088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 w:hint="eastAsia"/>
                <w:sz w:val="22"/>
              </w:rPr>
              <w:t>公共服务项目用地（保障性安居工程、养老、教育、文化和体育用地）</w:t>
            </w:r>
          </w:p>
        </w:tc>
        <w:tc>
          <w:tcPr>
            <w:tcW w:w="1089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 w:hint="eastAsia"/>
                <w:sz w:val="22"/>
              </w:rPr>
              <w:t>公共服务项目用地（能源、环境保护、供水、燃气供应、供热设施用地）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1" w:type="pct"/>
            <w:vMerge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/>
                <w:sz w:val="22"/>
              </w:rPr>
            </w:pP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元</w:t>
            </w:r>
            <w:r>
              <w:rPr>
                <w:rFonts w:eastAsia="华文仿宋"/>
                <w:sz w:val="22"/>
              </w:rPr>
              <w:t>/m</w:t>
            </w:r>
            <w:r>
              <w:rPr>
                <w:rFonts w:eastAsia="华文仿宋"/>
                <w:sz w:val="22"/>
                <w:vertAlign w:val="superscript"/>
              </w:rPr>
              <w:t>2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万元</w:t>
            </w:r>
            <w:r>
              <w:rPr>
                <w:rFonts w:eastAsia="华文仿宋"/>
                <w:sz w:val="22"/>
              </w:rPr>
              <w:t>/</w:t>
            </w:r>
            <w:r>
              <w:rPr>
                <w:rFonts w:eastAsia="华文仿宋" w:hAnsi="华文仿宋"/>
                <w:sz w:val="22"/>
              </w:rPr>
              <w:t>亩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元</w:t>
            </w:r>
            <w:r>
              <w:rPr>
                <w:rFonts w:eastAsia="华文仿宋"/>
                <w:sz w:val="22"/>
              </w:rPr>
              <w:t>/m</w:t>
            </w:r>
            <w:r>
              <w:rPr>
                <w:rFonts w:eastAsia="华文仿宋"/>
                <w:sz w:val="22"/>
                <w:vertAlign w:val="superscript"/>
              </w:rPr>
              <w:t>2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万元</w:t>
            </w:r>
            <w:r>
              <w:rPr>
                <w:rFonts w:eastAsia="华文仿宋"/>
                <w:sz w:val="22"/>
              </w:rPr>
              <w:t>/</w:t>
            </w:r>
            <w:r>
              <w:rPr>
                <w:rFonts w:eastAsia="华文仿宋" w:hAnsi="华文仿宋"/>
                <w:sz w:val="22"/>
              </w:rPr>
              <w:t>亩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元</w:t>
            </w:r>
            <w:r>
              <w:rPr>
                <w:rFonts w:eastAsia="华文仿宋"/>
                <w:sz w:val="22"/>
              </w:rPr>
              <w:t>/m</w:t>
            </w:r>
            <w:r>
              <w:rPr>
                <w:rFonts w:eastAsia="华文仿宋"/>
                <w:sz w:val="22"/>
                <w:vertAlign w:val="superscript"/>
              </w:rPr>
              <w:t>2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万元</w:t>
            </w:r>
            <w:r>
              <w:rPr>
                <w:rFonts w:eastAsia="华文仿宋"/>
                <w:sz w:val="22"/>
              </w:rPr>
              <w:t>/</w:t>
            </w:r>
            <w:r>
              <w:rPr>
                <w:rFonts w:eastAsia="华文仿宋" w:hAnsi="华文仿宋"/>
                <w:sz w:val="22"/>
              </w:rPr>
              <w:t>亩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元</w:t>
            </w:r>
            <w:r>
              <w:rPr>
                <w:rFonts w:eastAsia="华文仿宋"/>
                <w:sz w:val="22"/>
              </w:rPr>
              <w:t>/m</w:t>
            </w:r>
            <w:r>
              <w:rPr>
                <w:rFonts w:eastAsia="华文仿宋"/>
                <w:sz w:val="22"/>
                <w:vertAlign w:val="superscript"/>
              </w:rPr>
              <w:t>2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万元</w:t>
            </w:r>
            <w:r>
              <w:rPr>
                <w:rFonts w:eastAsia="华文仿宋"/>
                <w:sz w:val="22"/>
              </w:rPr>
              <w:t>/</w:t>
            </w:r>
            <w:r>
              <w:rPr>
                <w:rFonts w:eastAsia="华文仿宋" w:hAnsi="华文仿宋"/>
                <w:sz w:val="22"/>
              </w:rPr>
              <w:t>亩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元</w:t>
            </w:r>
            <w:r>
              <w:rPr>
                <w:rFonts w:eastAsia="华文仿宋"/>
                <w:sz w:val="22"/>
              </w:rPr>
              <w:t>/m</w:t>
            </w:r>
            <w:r>
              <w:rPr>
                <w:rFonts w:eastAsia="华文仿宋"/>
                <w:sz w:val="22"/>
                <w:vertAlign w:val="superscript"/>
              </w:rPr>
              <w:t>2</w:t>
            </w:r>
          </w:p>
        </w:tc>
        <w:tc>
          <w:tcPr>
            <w:tcW w:w="549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万元</w:t>
            </w:r>
            <w:r>
              <w:rPr>
                <w:rFonts w:eastAsia="华文仿宋"/>
                <w:sz w:val="22"/>
              </w:rPr>
              <w:t>/</w:t>
            </w:r>
            <w:r>
              <w:rPr>
                <w:rFonts w:eastAsia="华文仿宋" w:hAnsi="华文仿宋"/>
                <w:sz w:val="22"/>
              </w:rPr>
              <w:t>亩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Ⅰ</w:t>
            </w: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/>
                <w:spacing w:val="6"/>
                <w:sz w:val="22"/>
              </w:rPr>
            </w:pPr>
            <w:r>
              <w:rPr>
                <w:color w:val="000000"/>
                <w:sz w:val="22"/>
              </w:rPr>
              <w:t>180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12.00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125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8.33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7.27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119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7.92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549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</w:t>
            </w:r>
            <w:r>
              <w:rPr>
                <w:color w:val="000000"/>
                <w:sz w:val="22"/>
              </w:rPr>
              <w:t>60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Ⅱ</w:t>
            </w: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/>
                <w:spacing w:val="6"/>
                <w:sz w:val="22"/>
              </w:rPr>
            </w:pPr>
            <w:r>
              <w:rPr>
                <w:color w:val="000000"/>
                <w:sz w:val="22"/>
              </w:rPr>
              <w:t>140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9.33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105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</w:t>
            </w:r>
            <w:r>
              <w:rPr>
                <w:color w:val="000000"/>
                <w:sz w:val="22"/>
              </w:rPr>
              <w:t>00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5.93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6.67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549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6.20</w:t>
            </w:r>
          </w:p>
        </w:tc>
      </w:tr>
    </w:tbl>
    <w:p w:rsidR="000976C9" w:rsidRDefault="000976C9" w:rsidP="000976C9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三、达拉特旗恩格贝镇各类用地基准地价表（变价幅度）</w:t>
      </w:r>
    </w:p>
    <w:tbl>
      <w:tblPr>
        <w:tblW w:w="78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1"/>
        <w:gridCol w:w="1143"/>
        <w:gridCol w:w="1143"/>
        <w:gridCol w:w="1143"/>
        <w:gridCol w:w="1143"/>
        <w:gridCol w:w="1143"/>
        <w:gridCol w:w="1144"/>
      </w:tblGrid>
      <w:tr w:rsidR="000976C9" w:rsidTr="00CF1E75">
        <w:trPr>
          <w:trHeight w:val="397"/>
          <w:jc w:val="center"/>
        </w:trPr>
        <w:tc>
          <w:tcPr>
            <w:tcW w:w="1031" w:type="dxa"/>
            <w:vMerge w:val="restart"/>
            <w:tcBorders>
              <w:tl2br w:val="single" w:sz="4" w:space="0" w:color="auto"/>
            </w:tcBorders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 w:hint="eastAsia"/>
                <w:sz w:val="22"/>
              </w:rPr>
              <w:t xml:space="preserve">   </w:t>
            </w:r>
            <w:r>
              <w:rPr>
                <w:rFonts w:eastAsia="华文仿宋" w:hAnsi="华文仿宋" w:hint="eastAsia"/>
                <w:sz w:val="22"/>
              </w:rPr>
              <w:t>幅度</w:t>
            </w:r>
          </w:p>
          <w:p w:rsidR="000976C9" w:rsidRDefault="000976C9" w:rsidP="00CF1E75">
            <w:pPr>
              <w:spacing w:line="560" w:lineRule="exact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 w:hint="eastAsia"/>
                <w:sz w:val="22"/>
              </w:rPr>
              <w:t>级别</w:t>
            </w:r>
          </w:p>
        </w:tc>
        <w:tc>
          <w:tcPr>
            <w:tcW w:w="2286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 w:hint="eastAsia"/>
                <w:sz w:val="22"/>
              </w:rPr>
              <w:t>商业调整幅度</w:t>
            </w:r>
            <w:r>
              <w:rPr>
                <w:rFonts w:eastAsia="华文仿宋" w:hAnsi="华文仿宋" w:hint="eastAsia"/>
                <w:sz w:val="22"/>
              </w:rPr>
              <w:t>(%)</w:t>
            </w:r>
          </w:p>
        </w:tc>
        <w:tc>
          <w:tcPr>
            <w:tcW w:w="2286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 w:hint="eastAsia"/>
                <w:sz w:val="22"/>
              </w:rPr>
              <w:t>住宅调整幅度</w:t>
            </w:r>
            <w:r>
              <w:rPr>
                <w:rFonts w:eastAsia="华文仿宋" w:hAnsi="华文仿宋" w:hint="eastAsia"/>
                <w:sz w:val="22"/>
              </w:rPr>
              <w:t>(%)</w:t>
            </w:r>
          </w:p>
        </w:tc>
        <w:tc>
          <w:tcPr>
            <w:tcW w:w="2287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 w:hint="eastAsia"/>
                <w:sz w:val="22"/>
              </w:rPr>
              <w:t>工业调整幅度</w:t>
            </w:r>
            <w:r>
              <w:rPr>
                <w:rFonts w:eastAsia="华文仿宋" w:hAnsi="华文仿宋" w:hint="eastAsia"/>
                <w:sz w:val="22"/>
              </w:rPr>
              <w:t>(%)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Merge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 w:hint="eastAsia"/>
                <w:sz w:val="22"/>
              </w:rPr>
              <w:t>上调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 w:hint="eastAsia"/>
                <w:sz w:val="22"/>
              </w:rPr>
              <w:t>下调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 w:hint="eastAsia"/>
                <w:sz w:val="22"/>
              </w:rPr>
              <w:t>上调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 w:hint="eastAsia"/>
                <w:sz w:val="22"/>
              </w:rPr>
              <w:t>下调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 w:hint="eastAsia"/>
                <w:sz w:val="22"/>
              </w:rPr>
              <w:t>上调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 w:hint="eastAsia"/>
                <w:sz w:val="22"/>
              </w:rPr>
              <w:t>下调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 w:hint="eastAsia"/>
                <w:sz w:val="22"/>
              </w:rPr>
              <w:t>Ⅰ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11.11</w:t>
            </w:r>
            <w:r>
              <w:rPr>
                <w:rFonts w:eastAsia="华文仿宋" w:hAnsi="华文仿宋" w:hint="eastAsia"/>
                <w:sz w:val="22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-11.11</w:t>
            </w:r>
            <w:r>
              <w:rPr>
                <w:rFonts w:eastAsia="华文仿宋" w:hAnsi="华文仿宋" w:hint="eastAsia"/>
                <w:sz w:val="22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8.00</w:t>
            </w:r>
            <w:r>
              <w:rPr>
                <w:rFonts w:eastAsia="华文仿宋" w:hAnsi="华文仿宋" w:hint="eastAsia"/>
                <w:sz w:val="22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-8.00</w:t>
            </w:r>
            <w:r>
              <w:rPr>
                <w:rFonts w:eastAsia="华文仿宋" w:hAnsi="华文仿宋" w:hint="eastAsia"/>
                <w:sz w:val="22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10.09</w:t>
            </w:r>
            <w:r>
              <w:rPr>
                <w:rFonts w:eastAsia="华文仿宋" w:hAnsi="华文仿宋" w:hint="eastAsia"/>
                <w:sz w:val="22"/>
              </w:rPr>
              <w:t>%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 w:hint="eastAsia"/>
                <w:sz w:val="22"/>
              </w:rPr>
              <w:t>-</w:t>
            </w:r>
            <w:r>
              <w:rPr>
                <w:rFonts w:eastAsia="华文仿宋" w:hAnsi="华文仿宋"/>
                <w:sz w:val="22"/>
              </w:rPr>
              <w:t>8.26</w:t>
            </w:r>
            <w:r>
              <w:rPr>
                <w:rFonts w:eastAsia="华文仿宋" w:hAnsi="华文仿宋" w:hint="eastAsia"/>
                <w:sz w:val="22"/>
              </w:rPr>
              <w:t>%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 w:hint="eastAsia"/>
                <w:sz w:val="22"/>
              </w:rPr>
              <w:t>Ⅱ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14.29</w:t>
            </w:r>
            <w:r>
              <w:rPr>
                <w:rFonts w:eastAsia="华文仿宋" w:hAnsi="华文仿宋" w:hint="eastAsia"/>
                <w:sz w:val="22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-14.29</w:t>
            </w:r>
            <w:r>
              <w:rPr>
                <w:rFonts w:eastAsia="华文仿宋" w:hAnsi="华文仿宋" w:hint="eastAsia"/>
                <w:sz w:val="22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9.52</w:t>
            </w:r>
            <w:r>
              <w:rPr>
                <w:rFonts w:eastAsia="华文仿宋" w:hAnsi="华文仿宋" w:hint="eastAsia"/>
                <w:sz w:val="22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-9.52</w:t>
            </w:r>
            <w:r>
              <w:rPr>
                <w:rFonts w:eastAsia="华文仿宋" w:hAnsi="华文仿宋" w:hint="eastAsia"/>
                <w:sz w:val="22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/>
                <w:sz w:val="22"/>
              </w:rPr>
              <w:t>12.36</w:t>
            </w:r>
            <w:r>
              <w:rPr>
                <w:rFonts w:eastAsia="华文仿宋" w:hAnsi="华文仿宋" w:hint="eastAsia"/>
                <w:sz w:val="22"/>
              </w:rPr>
              <w:t>%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eastAsia="华文仿宋" w:hAnsi="华文仿宋"/>
                <w:sz w:val="22"/>
              </w:rPr>
            </w:pPr>
            <w:r>
              <w:rPr>
                <w:rFonts w:eastAsia="华文仿宋" w:hAnsi="华文仿宋" w:hint="eastAsia"/>
                <w:sz w:val="22"/>
              </w:rPr>
              <w:t>-</w:t>
            </w:r>
            <w:r>
              <w:rPr>
                <w:rFonts w:eastAsia="华文仿宋" w:hAnsi="华文仿宋"/>
                <w:sz w:val="22"/>
              </w:rPr>
              <w:t>10.11</w:t>
            </w:r>
            <w:r>
              <w:rPr>
                <w:rFonts w:eastAsia="华文仿宋" w:hAnsi="华文仿宋" w:hint="eastAsia"/>
                <w:sz w:val="22"/>
              </w:rPr>
              <w:t>%</w:t>
            </w:r>
          </w:p>
        </w:tc>
      </w:tr>
    </w:tbl>
    <w:p w:rsidR="000976C9" w:rsidRDefault="000976C9" w:rsidP="000976C9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四、达拉特旗恩格贝镇基准地价土地级别描述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（1）商服用地土地级别情况：I级占地面积66.7784公顷，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北至定级范围边界，南至定级范围边界，西至加油站东240米，定级范围边界；Ⅱ级占地面积54.5191公顷，北至定级范围边界，南至定级范围边界，西至定级范围边界，东至加油站东240米。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住宅用地土地级别情况：I级占地面积66.7784公顷，北至定级范围边界，南至定级范围边界，西至加油站东240米，定级范围边界；Ⅱ级占地面积54.5191公顷，北至定级范围边界，南至定级范围边界，西至定级范围边界，东至加油站东240米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工业用地土地级别情况：I级占地面积53.7264公顷，北至定级范围边界，南至定级范围边界，西至居委会西240米，东至定级范围边界；Ⅱ级占地面积67.5711公顷，北至定级范围边界，南至定级范围边界，西至定级范围边界，东至居委会西240米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综合土地级别情况：I级占地面积57.0054公顷，北至定级范围边界，南至定级范围边界，西至居委会西250米，东至定级范围边界；Ⅱ级占地面积64.2921公顷，北至定级范围边界，南至定级范围边界，西至定级范围边界，东至居委会西250米。</w:t>
      </w:r>
    </w:p>
    <w:p w:rsidR="000976C9" w:rsidRDefault="000976C9" w:rsidP="000976C9">
      <w:pPr>
        <w:spacing w:line="560" w:lineRule="exact"/>
        <w:rPr>
          <w:rFonts w:hint="eastAsia"/>
        </w:rPr>
      </w:pPr>
    </w:p>
    <w:p w:rsidR="000976C9" w:rsidRDefault="000976C9" w:rsidP="000976C9">
      <w:pPr>
        <w:spacing w:line="560" w:lineRule="exact"/>
        <w:rPr>
          <w:rFonts w:hint="eastAsia"/>
        </w:rPr>
      </w:pPr>
    </w:p>
    <w:p w:rsidR="000976C9" w:rsidRDefault="000976C9" w:rsidP="000976C9">
      <w:pPr>
        <w:spacing w:line="560" w:lineRule="exact"/>
        <w:rPr>
          <w:rFonts w:hint="eastAsia"/>
        </w:rPr>
      </w:pPr>
    </w:p>
    <w:p w:rsidR="000976C9" w:rsidRDefault="000976C9" w:rsidP="000976C9">
      <w:pPr>
        <w:spacing w:line="560" w:lineRule="exact"/>
        <w:rPr>
          <w:rFonts w:hint="eastAsia"/>
        </w:rPr>
      </w:pPr>
    </w:p>
    <w:p w:rsidR="000976C9" w:rsidRDefault="000976C9" w:rsidP="000976C9">
      <w:pPr>
        <w:spacing w:line="560" w:lineRule="exact"/>
        <w:rPr>
          <w:rFonts w:hint="eastAsia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附件7</w:t>
      </w:r>
    </w:p>
    <w:p w:rsidR="000976C9" w:rsidRDefault="000976C9" w:rsidP="000976C9">
      <w:pPr>
        <w:spacing w:line="560" w:lineRule="exact"/>
        <w:rPr>
          <w:rFonts w:ascii="仿宋" w:eastAsia="仿宋" w:hAnsi="仿宋" w:cs="仿宋" w:hint="eastAsia"/>
          <w:sz w:val="30"/>
          <w:szCs w:val="30"/>
        </w:rPr>
      </w:pPr>
    </w:p>
    <w:p w:rsidR="000976C9" w:rsidRDefault="000976C9" w:rsidP="000976C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吉格斯太镇基准地价更新成果</w:t>
      </w:r>
    </w:p>
    <w:p w:rsidR="000976C9" w:rsidRDefault="000976C9" w:rsidP="000976C9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一、达拉特旗吉格斯太镇基准地价内涵</w:t>
      </w:r>
    </w:p>
    <w:p w:rsidR="000976C9" w:rsidRDefault="000976C9" w:rsidP="000976C9">
      <w:pPr>
        <w:spacing w:line="560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基准地价定义: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（1）估价基准日:2022年1月1日。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（2）土地使用年期:商服用地 40 年、住宅用地 70 年、工业用地 50 年;保障性安居工程用地为 70 年，养老、教育、文化体育、能源、环境保护、供水、燃气供应、供热设施用地为 50年。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(3)容积率:商服用地 1.0、住宅用地1.0、工业用地 0.6:保障性安居工程、养老、教育、文化和体育用地这五类用地容积率按住宅用地容积率设定，容积率设定为1.0，能源、环境保护、供水、燃气供应、供热设施用地这五类用地容积率按工业用地容积率设定，容积率设定为0.6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(4) 开发程度:商业用地、住宅用地、均为“五通一平”（通路、通上水、通下水、通电、通讯，场平）。工业用地平为“四通一平” （通路、通上水、通电、通讯，场平）。保障性安居工程、养老、教育、文化和体育用地这五类用地开发程度按住宅开发程度设定，开发程度为“五通一平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”（通路、通上水、通下水、通电、通讯，宗地内场地平整），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能源、环境保护、供水、燃气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供应、供热设施用地这五类用地开发程度按住宅开发程度设定，开发程度为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“四通一平”（通路、通上水、通电、通讯，宗地</w:t>
      </w:r>
      <w:r>
        <w:rPr>
          <w:rFonts w:ascii="仿宋_GB2312" w:eastAsia="仿宋_GB2312" w:hAnsi="仿宋_GB2312" w:cs="仿宋_GB2312" w:hint="eastAsia"/>
          <w:sz w:val="32"/>
          <w:szCs w:val="32"/>
        </w:rPr>
        <w:t>内场地平整）。</w:t>
      </w:r>
    </w:p>
    <w:p w:rsidR="000976C9" w:rsidRDefault="000976C9" w:rsidP="000976C9">
      <w:pPr>
        <w:spacing w:line="560" w:lineRule="exact"/>
        <w:rPr>
          <w:rFonts w:ascii="仿宋" w:eastAsia="仿宋" w:hAnsi="仿宋" w:cs="仿宋" w:hint="eastAsia"/>
          <w:sz w:val="30"/>
          <w:szCs w:val="30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二、达拉特旗吉格斯太镇各类用地基准地价表</w:t>
      </w:r>
    </w:p>
    <w:tbl>
      <w:tblPr>
        <w:tblW w:w="53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1"/>
        <w:gridCol w:w="737"/>
        <w:gridCol w:w="796"/>
        <w:gridCol w:w="770"/>
        <w:gridCol w:w="796"/>
        <w:gridCol w:w="753"/>
        <w:gridCol w:w="796"/>
        <w:gridCol w:w="918"/>
        <w:gridCol w:w="1203"/>
        <w:gridCol w:w="1053"/>
        <w:gridCol w:w="1067"/>
      </w:tblGrid>
      <w:tr w:rsidR="000976C9" w:rsidTr="00CF1E75">
        <w:trPr>
          <w:trHeight w:val="397"/>
          <w:jc w:val="center"/>
        </w:trPr>
        <w:tc>
          <w:tcPr>
            <w:tcW w:w="442" w:type="pct"/>
            <w:vMerge w:val="restart"/>
            <w:tcBorders>
              <w:tl2br w:val="single" w:sz="6" w:space="0" w:color="auto"/>
            </w:tcBorders>
            <w:vAlign w:val="center"/>
          </w:tcPr>
          <w:p w:rsidR="000976C9" w:rsidRDefault="000976C9" w:rsidP="00CF1E75">
            <w:pPr>
              <w:spacing w:line="560" w:lineRule="exact"/>
              <w:jc w:val="right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用途</w:t>
            </w:r>
          </w:p>
          <w:p w:rsidR="000976C9" w:rsidRDefault="000976C9" w:rsidP="00CF1E75">
            <w:pPr>
              <w:pStyle w:val="2"/>
              <w:spacing w:line="560" w:lineRule="exact"/>
            </w:pPr>
          </w:p>
          <w:p w:rsidR="000976C9" w:rsidRDefault="000976C9" w:rsidP="00CF1E75">
            <w:pPr>
              <w:spacing w:line="560" w:lineRule="exact"/>
              <w:jc w:val="left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级别</w:t>
            </w:r>
          </w:p>
        </w:tc>
        <w:tc>
          <w:tcPr>
            <w:tcW w:w="786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商服</w:t>
            </w:r>
          </w:p>
        </w:tc>
        <w:tc>
          <w:tcPr>
            <w:tcW w:w="803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住宅</w:t>
            </w:r>
          </w:p>
        </w:tc>
        <w:tc>
          <w:tcPr>
            <w:tcW w:w="794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工业</w:t>
            </w:r>
          </w:p>
        </w:tc>
        <w:tc>
          <w:tcPr>
            <w:tcW w:w="1088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 w:hint="eastAsia"/>
                <w:sz w:val="22"/>
              </w:rPr>
              <w:t>公共服务项目用地（保障性安居工程、养老、教育、文化和体育用地）</w:t>
            </w:r>
          </w:p>
        </w:tc>
        <w:tc>
          <w:tcPr>
            <w:tcW w:w="1088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 w:hint="eastAsia"/>
                <w:sz w:val="22"/>
              </w:rPr>
              <w:t>公共服务项目用地（能源、环境保护、供水、燃气供应、供热设施用地）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2" w:type="pct"/>
            <w:vMerge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54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2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Ⅰ</w:t>
            </w: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pacing w:val="6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180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12.00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125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8.33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109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7.27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119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7.92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114</w:t>
            </w:r>
          </w:p>
        </w:tc>
        <w:tc>
          <w:tcPr>
            <w:tcW w:w="54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7.</w:t>
            </w:r>
            <w:r>
              <w:rPr>
                <w:rFonts w:ascii="Calibri" w:hAnsi="Calibri"/>
                <w:color w:val="000000"/>
                <w:sz w:val="22"/>
              </w:rPr>
              <w:t>60</w:t>
            </w:r>
          </w:p>
        </w:tc>
      </w:tr>
      <w:tr w:rsidR="000976C9" w:rsidTr="00CF1E75">
        <w:trPr>
          <w:trHeight w:val="408"/>
          <w:jc w:val="center"/>
        </w:trPr>
        <w:tc>
          <w:tcPr>
            <w:tcW w:w="442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Ⅱ</w:t>
            </w: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pacing w:val="6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140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9.33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105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7.</w:t>
            </w:r>
            <w:r>
              <w:rPr>
                <w:rFonts w:ascii="Calibri" w:hAnsi="Calibri"/>
                <w:color w:val="000000"/>
                <w:sz w:val="22"/>
              </w:rPr>
              <w:t>00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89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5.93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100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6.67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93</w:t>
            </w:r>
          </w:p>
        </w:tc>
        <w:tc>
          <w:tcPr>
            <w:tcW w:w="54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6.20</w:t>
            </w:r>
          </w:p>
        </w:tc>
      </w:tr>
    </w:tbl>
    <w:p w:rsidR="000976C9" w:rsidRDefault="000976C9" w:rsidP="000976C9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三、达拉特旗吉格斯太镇各类用地基准地价表（变价幅度）</w:t>
      </w:r>
    </w:p>
    <w:tbl>
      <w:tblPr>
        <w:tblW w:w="78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1"/>
        <w:gridCol w:w="1143"/>
        <w:gridCol w:w="1143"/>
        <w:gridCol w:w="1143"/>
        <w:gridCol w:w="1143"/>
        <w:gridCol w:w="1143"/>
        <w:gridCol w:w="1144"/>
      </w:tblGrid>
      <w:tr w:rsidR="000976C9" w:rsidTr="00CF1E75">
        <w:trPr>
          <w:trHeight w:val="397"/>
          <w:jc w:val="center"/>
        </w:trPr>
        <w:tc>
          <w:tcPr>
            <w:tcW w:w="1031" w:type="dxa"/>
            <w:vMerge w:val="restart"/>
            <w:tcBorders>
              <w:tl2br w:val="single" w:sz="4" w:space="0" w:color="auto"/>
            </w:tcBorders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幅度</w:t>
            </w:r>
          </w:p>
          <w:p w:rsidR="000976C9" w:rsidRDefault="000976C9" w:rsidP="00CF1E75">
            <w:pPr>
              <w:spacing w:line="560" w:lineRule="exac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级别</w:t>
            </w:r>
          </w:p>
        </w:tc>
        <w:tc>
          <w:tcPr>
            <w:tcW w:w="2286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商业调整幅度(%)</w:t>
            </w:r>
          </w:p>
        </w:tc>
        <w:tc>
          <w:tcPr>
            <w:tcW w:w="2286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住宅调整幅度(%)</w:t>
            </w:r>
          </w:p>
        </w:tc>
        <w:tc>
          <w:tcPr>
            <w:tcW w:w="2287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工业调整幅度(%)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Merge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Ⅰ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11.11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-11.11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8.00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-8.00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10.09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-</w:t>
            </w:r>
            <w:r>
              <w:rPr>
                <w:rFonts w:ascii="仿宋_GB2312" w:eastAsia="仿宋_GB2312" w:hAnsi="Calibri"/>
                <w:sz w:val="24"/>
              </w:rPr>
              <w:t>8.26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Ⅱ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14.29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-14.29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9.52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-9.52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12.36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-</w:t>
            </w:r>
            <w:r>
              <w:rPr>
                <w:rFonts w:ascii="仿宋_GB2312" w:eastAsia="仿宋_GB2312" w:hAnsi="Calibri"/>
                <w:sz w:val="24"/>
              </w:rPr>
              <w:t>10.11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</w:tr>
    </w:tbl>
    <w:p w:rsidR="000976C9" w:rsidRDefault="000976C9" w:rsidP="000976C9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四、达拉特旗吉格斯太镇基准地价土地级别描述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（1）商服用地土地级别情况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I级占地面积34.6862公顷，北至定级范围边界，南至G512道路南130米，西至吉格斯太镇中心卫生院西250米，东至内蒙古农村信用社东300米；Ⅱ级占地面积77.2593公顷，北至定级范围边界，南至定级范围边界，西至定级范围边界，东至定级范围边界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（2）住宅用地土地级别情况：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I级占地面积34.6862公顷，北至定级范围边界，南至G512道路南130米，西至吉格斯太镇中心卫生院西250米，东至内蒙古农村信用社东300米；Ⅱ级占地面积77.2593公顷，北至定级范围边界，南至定级范围边界，西至定级范围边界，东至定级范围边界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（3）工业用地土地级别情况：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I级占地面积26.3356公顷，北至定级范围边界，，南至G512道路南130米，西至吉格斯太镇中心卫生院西110米，东至内蒙古农村信用社东60米；Ⅱ级占地面积85.6099公顷，北至定级范围边界，南至定级范围边界，西至定级范围边界，东至定级范围边界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（4）综合土地级别情况：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I级占地面积27.8255公顷，北至定级范围边界，，南至G512道路南130米，西至吉格斯太镇中心卫生院西110米，东至内蒙古农村信用社东300米；Ⅱ级占地面积111.9455公顷，北至定级范围边界，南至定级范围边界，西至定级范围边界，定级范围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边界。</w:t>
      </w: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附件8</w:t>
      </w:r>
    </w:p>
    <w:p w:rsidR="000976C9" w:rsidRDefault="000976C9" w:rsidP="000976C9">
      <w:pPr>
        <w:spacing w:line="560" w:lineRule="exact"/>
        <w:rPr>
          <w:rFonts w:ascii="仿宋" w:eastAsia="仿宋" w:hAnsi="仿宋" w:cs="仿宋" w:hint="eastAsia"/>
          <w:sz w:val="30"/>
          <w:szCs w:val="30"/>
        </w:rPr>
      </w:pPr>
    </w:p>
    <w:p w:rsidR="000976C9" w:rsidRDefault="000976C9" w:rsidP="000976C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中和西镇基准地价更新成果</w:t>
      </w:r>
    </w:p>
    <w:p w:rsidR="000976C9" w:rsidRDefault="000976C9" w:rsidP="000976C9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一、达拉特旗中和西镇基准地价内涵</w:t>
      </w:r>
    </w:p>
    <w:p w:rsidR="000976C9" w:rsidRDefault="000976C9" w:rsidP="000976C9">
      <w:pPr>
        <w:spacing w:line="560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基准地价定义: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（1）估价基准日:2022年1月1日。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（2）土地使用年期:商服用地 40 年、住宅用地 70 年、工业用地 50 年;保障性安居工程用地为 70 年，养老、教育、文化体育、能源、环境保护、供水、燃气供应、供热设施用地为 50年。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(3)容积率:商服用地 1.0、住宅用地1.0、工业用地 0.6:保障性安居工程、养老、教育、文化和体育用地这五类用地容积率按住宅用地容积率设定，容积率设定为1.0，能源、环境保护、供水、燃气供应、供热设施用地这五类用地容积率按工业用地容积率设定，容积率设定为0.6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(4) 开发程度:商业用地、住宅用地、均为“五通一平”（通路、通上水、通下水、通电、通讯，场平）。工业用地平为“四通一平” （通路、通上水、通电、通讯，场平）。保障性安居工程、养老、教育、文化和体育用地这五类用地开发程度按住宅开发程度设定，开发程度为“五通一平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”（通路、通上水、通下水、通电、通讯，宗地内场地平整），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能源、环境保护、供水、燃气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供应、供热设施用地这五类用地开发程度按住宅开发程度设定，开发程度为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“四通一平”（通路、通上水、通电、通讯，宗地内场地平整）。</w:t>
      </w:r>
    </w:p>
    <w:p w:rsidR="000976C9" w:rsidRDefault="000976C9" w:rsidP="000976C9">
      <w:pPr>
        <w:spacing w:line="560" w:lineRule="exact"/>
        <w:rPr>
          <w:rFonts w:ascii="仿宋" w:eastAsia="仿宋" w:hAnsi="仿宋" w:cs="仿宋" w:hint="eastAsia"/>
          <w:sz w:val="30"/>
          <w:szCs w:val="30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二、达拉特旗中和西镇各类用地基准地价表</w:t>
      </w:r>
    </w:p>
    <w:tbl>
      <w:tblPr>
        <w:tblW w:w="53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1"/>
        <w:gridCol w:w="737"/>
        <w:gridCol w:w="796"/>
        <w:gridCol w:w="770"/>
        <w:gridCol w:w="796"/>
        <w:gridCol w:w="753"/>
        <w:gridCol w:w="796"/>
        <w:gridCol w:w="918"/>
        <w:gridCol w:w="1203"/>
        <w:gridCol w:w="1053"/>
        <w:gridCol w:w="1067"/>
      </w:tblGrid>
      <w:tr w:rsidR="000976C9" w:rsidTr="00CF1E75">
        <w:trPr>
          <w:trHeight w:val="397"/>
          <w:jc w:val="center"/>
        </w:trPr>
        <w:tc>
          <w:tcPr>
            <w:tcW w:w="442" w:type="pct"/>
            <w:vMerge w:val="restart"/>
            <w:tcBorders>
              <w:tl2br w:val="single" w:sz="6" w:space="0" w:color="auto"/>
            </w:tcBorders>
            <w:vAlign w:val="center"/>
          </w:tcPr>
          <w:p w:rsidR="000976C9" w:rsidRDefault="000976C9" w:rsidP="00CF1E75">
            <w:pPr>
              <w:spacing w:line="560" w:lineRule="exact"/>
              <w:jc w:val="right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用途</w:t>
            </w:r>
          </w:p>
          <w:p w:rsidR="000976C9" w:rsidRDefault="000976C9" w:rsidP="00CF1E75">
            <w:pPr>
              <w:pStyle w:val="2"/>
              <w:spacing w:line="560" w:lineRule="exact"/>
            </w:pPr>
          </w:p>
          <w:p w:rsidR="000976C9" w:rsidRDefault="000976C9" w:rsidP="00CF1E75">
            <w:pPr>
              <w:spacing w:line="560" w:lineRule="exact"/>
              <w:jc w:val="left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级别</w:t>
            </w:r>
          </w:p>
        </w:tc>
        <w:tc>
          <w:tcPr>
            <w:tcW w:w="786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商服</w:t>
            </w:r>
          </w:p>
        </w:tc>
        <w:tc>
          <w:tcPr>
            <w:tcW w:w="803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住宅</w:t>
            </w:r>
          </w:p>
        </w:tc>
        <w:tc>
          <w:tcPr>
            <w:tcW w:w="794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工业</w:t>
            </w:r>
          </w:p>
        </w:tc>
        <w:tc>
          <w:tcPr>
            <w:tcW w:w="1088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 w:hint="eastAsia"/>
                <w:sz w:val="22"/>
              </w:rPr>
              <w:t>公共服务项目用地（保障性安居工程、养老、教育、文化和体育用地）</w:t>
            </w:r>
          </w:p>
        </w:tc>
        <w:tc>
          <w:tcPr>
            <w:tcW w:w="1088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 w:hint="eastAsia"/>
                <w:sz w:val="22"/>
              </w:rPr>
              <w:t>公共服务项目用地（能源、环境保护、供水、燃气供应、供热设施用地）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2" w:type="pct"/>
            <w:vMerge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54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2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Ⅰ</w:t>
            </w: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pacing w:val="6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180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12.00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125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8.33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109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7.27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119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7.92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114</w:t>
            </w:r>
          </w:p>
        </w:tc>
        <w:tc>
          <w:tcPr>
            <w:tcW w:w="54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7.</w:t>
            </w:r>
            <w:r>
              <w:rPr>
                <w:rFonts w:ascii="Calibri" w:hAnsi="Calibri"/>
                <w:color w:val="000000"/>
                <w:sz w:val="22"/>
              </w:rPr>
              <w:t>60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2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Ⅱ</w:t>
            </w: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pacing w:val="6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140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9.33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105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7.</w:t>
            </w:r>
            <w:r>
              <w:rPr>
                <w:rFonts w:ascii="Calibri" w:hAnsi="Calibri"/>
                <w:color w:val="000000"/>
                <w:sz w:val="22"/>
              </w:rPr>
              <w:t>00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89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5.93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100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6.67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93</w:t>
            </w:r>
          </w:p>
        </w:tc>
        <w:tc>
          <w:tcPr>
            <w:tcW w:w="54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6.20</w:t>
            </w:r>
          </w:p>
        </w:tc>
      </w:tr>
    </w:tbl>
    <w:p w:rsidR="000976C9" w:rsidRDefault="000976C9" w:rsidP="000976C9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三、达拉特旗中和西镇各类用地基准地价表（变价幅度）</w:t>
      </w:r>
    </w:p>
    <w:tbl>
      <w:tblPr>
        <w:tblW w:w="78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1"/>
        <w:gridCol w:w="1143"/>
        <w:gridCol w:w="1143"/>
        <w:gridCol w:w="1143"/>
        <w:gridCol w:w="1143"/>
        <w:gridCol w:w="1143"/>
        <w:gridCol w:w="1144"/>
      </w:tblGrid>
      <w:tr w:rsidR="000976C9" w:rsidTr="00CF1E75">
        <w:trPr>
          <w:trHeight w:val="397"/>
          <w:jc w:val="center"/>
        </w:trPr>
        <w:tc>
          <w:tcPr>
            <w:tcW w:w="1031" w:type="dxa"/>
            <w:vMerge w:val="restart"/>
            <w:tcBorders>
              <w:tl2br w:val="single" w:sz="4" w:space="0" w:color="auto"/>
            </w:tcBorders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幅度</w:t>
            </w:r>
          </w:p>
          <w:p w:rsidR="000976C9" w:rsidRDefault="000976C9" w:rsidP="00CF1E75">
            <w:pPr>
              <w:spacing w:line="560" w:lineRule="exac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级别</w:t>
            </w:r>
          </w:p>
        </w:tc>
        <w:tc>
          <w:tcPr>
            <w:tcW w:w="2286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商业调整幅度(%)</w:t>
            </w:r>
          </w:p>
        </w:tc>
        <w:tc>
          <w:tcPr>
            <w:tcW w:w="2286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住宅调整幅度(%)</w:t>
            </w:r>
          </w:p>
        </w:tc>
        <w:tc>
          <w:tcPr>
            <w:tcW w:w="2287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工业调整幅度(%)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Merge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Ⅰ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11.11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-11.11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8.00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-8.00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10.09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-</w:t>
            </w:r>
            <w:r>
              <w:rPr>
                <w:rFonts w:ascii="仿宋_GB2312" w:eastAsia="仿宋_GB2312" w:hAnsi="Calibri"/>
                <w:sz w:val="24"/>
              </w:rPr>
              <w:t>8.26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Ⅱ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14.29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-14.29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9.52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-9.52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12.36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-</w:t>
            </w:r>
            <w:r>
              <w:rPr>
                <w:rFonts w:ascii="仿宋_GB2312" w:eastAsia="仿宋_GB2312" w:hAnsi="Calibri"/>
                <w:sz w:val="24"/>
              </w:rPr>
              <w:t>10.11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</w:tr>
    </w:tbl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rPr>
          <w:rFonts w:ascii="仿宋" w:eastAsia="仿宋" w:hAnsi="仿宋" w:cs="仿宋" w:hint="eastAsia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四、达拉特旗中和西镇基准地价土地级别描述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（1）商服用地土地级别情况I级占地面积36.4938公顷，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北至中和西镇政府北120米，南至定级范围边界，西至中和西镇政府西500米，东至定级范围边界；Ⅱ级占地面积55.2723公顷，北至定级范围边界，南至定级范围边界，西至定级范围边界，东至定级范围边界。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（2）住宅用地土地级别情况：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I级占地面积36.4938公顷，北至中和西镇政府北120米，南至定级范围边界，西至中和西镇政府西500米，东至定级范围边界；Ⅱ级占地面积55.2723公顷，北至定级范围边界，南至定级范围边界，西至定级范围边界，东至定级范围边界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（3）工业用地土地级别情况：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I级占地面积23.8534公顷，北至中和西镇政府北80米，南至定级范围边界，西至中和西镇政府西200米，东至中和西中心小学东150米；Ⅱ级占地面积67.9127公顷，北至定级范围边界，南至定级范围边界，西至定级范围边界，东至定级范围边界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（4）综合土地级别情况：</w:t>
      </w:r>
    </w:p>
    <w:p w:rsidR="000976C9" w:rsidRDefault="000976C9" w:rsidP="000976C9">
      <w:pPr>
        <w:spacing w:line="560" w:lineRule="exact"/>
        <w:rPr>
          <w:rFonts w:hint="eastAsia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I级占地面积26.8159公顷，北至中和西镇政府北80米，南至定级范围边界，西至中和西镇政府西200米，东至中和西镇政府东300米；Ⅱ级占地面积64.9501公顷，北至定级范围边界，南至定级范围边界，西至定级范围边界，东至定级范围边界。</w:t>
      </w:r>
    </w:p>
    <w:p w:rsidR="000976C9" w:rsidRDefault="000976C9" w:rsidP="000976C9">
      <w:pPr>
        <w:spacing w:line="560" w:lineRule="exact"/>
        <w:rPr>
          <w:rFonts w:hint="eastAsia"/>
        </w:rPr>
      </w:pPr>
    </w:p>
    <w:p w:rsidR="000976C9" w:rsidRDefault="000976C9" w:rsidP="000976C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976C9" w:rsidRDefault="000976C9" w:rsidP="000976C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附件9</w:t>
      </w:r>
    </w:p>
    <w:p w:rsidR="000976C9" w:rsidRDefault="000976C9" w:rsidP="000976C9">
      <w:pPr>
        <w:pStyle w:val="a6"/>
        <w:rPr>
          <w:rFonts w:hint="eastAsia"/>
        </w:rPr>
      </w:pPr>
    </w:p>
    <w:p w:rsidR="000976C9" w:rsidRDefault="000976C9" w:rsidP="000976C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风水梁镇基准地价更新成果</w:t>
      </w:r>
    </w:p>
    <w:p w:rsidR="000976C9" w:rsidRDefault="000976C9" w:rsidP="000976C9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一、达拉特旗风水梁镇基准地价内涵</w:t>
      </w:r>
    </w:p>
    <w:p w:rsidR="000976C9" w:rsidRDefault="000976C9" w:rsidP="000976C9">
      <w:pPr>
        <w:spacing w:line="560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基准地价定义: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（1）估价基准日:2022年1月1日。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（2）土地使用年期:商服用地 40 年、住宅用地 70 年、工业用地 50 年;保障性安居工程用地为 70 年，养老、教育、文化体育、能源、环境保护、供水、燃气供应、供热设施用地为 50年。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(3)容积率:商服用地 1.0、住宅用地1.0、工业用地 0.6:保障性安居工程、养老、教育、文化和体育用地这五类用地容积率按住宅用地容积率设定，容积率设定为1.0，能源、环境保护、供水、燃气供应、供热设施用地这五类用地容积率按工业用地容积率设定，容积率设定为0.6。</w:t>
      </w:r>
    </w:p>
    <w:p w:rsidR="000976C9" w:rsidRDefault="000976C9" w:rsidP="000976C9">
      <w:pPr>
        <w:spacing w:line="560" w:lineRule="exact"/>
        <w:ind w:firstLineChars="200" w:firstLine="640"/>
        <w:rPr>
          <w:rFonts w:hint="eastAsia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(4) 开发程度:商业用地、住宅用地、工业用地均为“七通一平”（通路、通上水、通下水、通电、通讯、通暖、通气，场平）。保障性安居工程、养老、教育、文化和体育用地这五类用地开发程度按住宅开发程度设定，开发程度为“七通一平”（ 通路、通上水、通下水、通电、通讯、通暖、通气，宗地内场地平整），能源、环境保护、供水、燃气供应、供热设施用地这五类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用地开发程度按住宅开发程度设定，开发程度为“七通一平”（ 通路、通上水、通下水、通电、通讯、通暖、通气，宗地内场地平整）。</w:t>
      </w: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二、达拉特旗风水梁镇各类用地基准地价表</w:t>
      </w:r>
    </w:p>
    <w:tbl>
      <w:tblPr>
        <w:tblW w:w="53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9"/>
        <w:gridCol w:w="737"/>
        <w:gridCol w:w="794"/>
        <w:gridCol w:w="770"/>
        <w:gridCol w:w="796"/>
        <w:gridCol w:w="753"/>
        <w:gridCol w:w="796"/>
        <w:gridCol w:w="918"/>
        <w:gridCol w:w="1203"/>
        <w:gridCol w:w="1053"/>
        <w:gridCol w:w="1071"/>
      </w:tblGrid>
      <w:tr w:rsidR="000976C9" w:rsidTr="00CF1E75">
        <w:trPr>
          <w:trHeight w:val="397"/>
          <w:jc w:val="center"/>
        </w:trPr>
        <w:tc>
          <w:tcPr>
            <w:tcW w:w="441" w:type="pct"/>
            <w:vMerge w:val="restart"/>
            <w:tcBorders>
              <w:tl2br w:val="single" w:sz="6" w:space="0" w:color="auto"/>
            </w:tcBorders>
            <w:vAlign w:val="center"/>
          </w:tcPr>
          <w:p w:rsidR="000976C9" w:rsidRDefault="000976C9" w:rsidP="00CF1E75">
            <w:pPr>
              <w:spacing w:line="560" w:lineRule="exact"/>
              <w:jc w:val="right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用途</w:t>
            </w:r>
          </w:p>
          <w:p w:rsidR="000976C9" w:rsidRDefault="000976C9" w:rsidP="00CF1E75">
            <w:pPr>
              <w:pStyle w:val="2"/>
              <w:spacing w:line="560" w:lineRule="exact"/>
            </w:pPr>
          </w:p>
          <w:p w:rsidR="000976C9" w:rsidRDefault="000976C9" w:rsidP="00CF1E75">
            <w:pPr>
              <w:spacing w:line="560" w:lineRule="exact"/>
              <w:jc w:val="left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级别</w:t>
            </w:r>
          </w:p>
        </w:tc>
        <w:tc>
          <w:tcPr>
            <w:tcW w:w="785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商服</w:t>
            </w:r>
          </w:p>
        </w:tc>
        <w:tc>
          <w:tcPr>
            <w:tcW w:w="803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住宅</w:t>
            </w:r>
          </w:p>
        </w:tc>
        <w:tc>
          <w:tcPr>
            <w:tcW w:w="794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工业</w:t>
            </w:r>
          </w:p>
        </w:tc>
        <w:tc>
          <w:tcPr>
            <w:tcW w:w="1088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 w:hint="eastAsia"/>
                <w:sz w:val="22"/>
              </w:rPr>
              <w:t>公共服务项目用地（保障性安居工程、养老、教育、文化和体育用地）</w:t>
            </w:r>
          </w:p>
        </w:tc>
        <w:tc>
          <w:tcPr>
            <w:tcW w:w="1090" w:type="pct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 w:hint="eastAsia"/>
                <w:sz w:val="22"/>
              </w:rPr>
              <w:t>公共服务项目用地（能源、环境保护、供水、燃气供应、供热设施用地）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1" w:type="pct"/>
            <w:vMerge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0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元</w:t>
            </w:r>
            <w:r>
              <w:rPr>
                <w:rFonts w:ascii="Calibri" w:eastAsia="华文仿宋" w:hAnsi="Calibri"/>
                <w:sz w:val="22"/>
              </w:rPr>
              <w:t>/m</w:t>
            </w:r>
            <w:r>
              <w:rPr>
                <w:rFonts w:ascii="Calibri" w:eastAsia="华文仿宋" w:hAnsi="Calibri"/>
                <w:sz w:val="22"/>
                <w:vertAlign w:val="superscript"/>
              </w:rPr>
              <w:t>2</w:t>
            </w:r>
          </w:p>
        </w:tc>
        <w:tc>
          <w:tcPr>
            <w:tcW w:w="55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万元</w:t>
            </w:r>
            <w:r>
              <w:rPr>
                <w:rFonts w:ascii="Calibri" w:eastAsia="华文仿宋" w:hAnsi="Calibri"/>
                <w:sz w:val="22"/>
              </w:rPr>
              <w:t>/</w:t>
            </w:r>
            <w:r>
              <w:rPr>
                <w:rFonts w:ascii="Calibri" w:eastAsia="华文仿宋" w:hAnsi="华文仿宋"/>
                <w:sz w:val="22"/>
              </w:rPr>
              <w:t>亩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Ⅰ</w:t>
            </w: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190</w:t>
            </w:r>
          </w:p>
        </w:tc>
        <w:tc>
          <w:tcPr>
            <w:tcW w:w="40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12.67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148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9</w:t>
            </w:r>
            <w:r>
              <w:rPr>
                <w:rFonts w:ascii="Calibri" w:hAnsi="Calibri"/>
                <w:color w:val="000000"/>
                <w:sz w:val="22"/>
              </w:rPr>
              <w:t>.87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</w:t>
            </w:r>
            <w:r>
              <w:rPr>
                <w:rFonts w:ascii="Calibri" w:hAnsi="Calibri"/>
                <w:color w:val="000000"/>
                <w:sz w:val="22"/>
              </w:rPr>
              <w:t>30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8</w:t>
            </w:r>
            <w:r>
              <w:rPr>
                <w:rFonts w:ascii="Calibri" w:hAnsi="Calibri"/>
                <w:color w:val="000000"/>
                <w:sz w:val="22"/>
              </w:rPr>
              <w:t>.67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</w:t>
            </w:r>
            <w:r>
              <w:rPr>
                <w:rFonts w:ascii="Calibri" w:hAnsi="Calibri"/>
                <w:color w:val="000000"/>
                <w:sz w:val="22"/>
              </w:rPr>
              <w:t>41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9</w:t>
            </w:r>
            <w:r>
              <w:rPr>
                <w:rFonts w:ascii="Calibri" w:hAnsi="Calibri"/>
                <w:color w:val="000000"/>
                <w:sz w:val="22"/>
              </w:rPr>
              <w:t>.40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</w:t>
            </w:r>
            <w:r>
              <w:rPr>
                <w:rFonts w:ascii="Calibri" w:hAnsi="Calibri"/>
                <w:color w:val="000000"/>
                <w:sz w:val="22"/>
              </w:rPr>
              <w:t>36</w:t>
            </w:r>
          </w:p>
        </w:tc>
        <w:tc>
          <w:tcPr>
            <w:tcW w:w="55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9</w:t>
            </w:r>
            <w:r>
              <w:rPr>
                <w:rFonts w:ascii="Calibri" w:hAnsi="Calibri"/>
                <w:color w:val="000000"/>
                <w:sz w:val="22"/>
              </w:rPr>
              <w:t>.07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z w:val="22"/>
              </w:rPr>
            </w:pPr>
            <w:r>
              <w:rPr>
                <w:rFonts w:ascii="Calibri" w:eastAsia="华文仿宋" w:hAnsi="华文仿宋"/>
                <w:sz w:val="22"/>
              </w:rPr>
              <w:t>Ⅱ</w:t>
            </w: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Calibri"/>
                <w:spacing w:val="6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156</w:t>
            </w:r>
          </w:p>
        </w:tc>
        <w:tc>
          <w:tcPr>
            <w:tcW w:w="40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10.40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125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8</w:t>
            </w:r>
            <w:r>
              <w:rPr>
                <w:rFonts w:ascii="Calibri" w:hAnsi="Calibri"/>
                <w:color w:val="000000"/>
                <w:sz w:val="22"/>
              </w:rPr>
              <w:t>.33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</w:t>
            </w:r>
            <w:r>
              <w:rPr>
                <w:rFonts w:ascii="Calibri" w:hAnsi="Calibri"/>
                <w:color w:val="000000"/>
                <w:sz w:val="22"/>
              </w:rPr>
              <w:t>09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7</w:t>
            </w:r>
            <w:r>
              <w:rPr>
                <w:rFonts w:ascii="Calibri" w:hAnsi="Calibri"/>
                <w:color w:val="000000"/>
                <w:sz w:val="22"/>
              </w:rPr>
              <w:t>.27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</w:t>
            </w:r>
            <w:r>
              <w:rPr>
                <w:rFonts w:ascii="Calibri" w:hAnsi="Calibri"/>
                <w:color w:val="000000"/>
                <w:sz w:val="22"/>
              </w:rPr>
              <w:t>19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7</w:t>
            </w:r>
            <w:r>
              <w:rPr>
                <w:rFonts w:ascii="Calibri" w:hAnsi="Calibri"/>
                <w:color w:val="000000"/>
                <w:sz w:val="22"/>
              </w:rPr>
              <w:t>.93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</w:t>
            </w:r>
            <w:r>
              <w:rPr>
                <w:rFonts w:ascii="Calibri" w:hAnsi="Calibri"/>
                <w:color w:val="000000"/>
                <w:sz w:val="22"/>
              </w:rPr>
              <w:t>14</w:t>
            </w:r>
          </w:p>
        </w:tc>
        <w:tc>
          <w:tcPr>
            <w:tcW w:w="55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7</w:t>
            </w:r>
            <w:r>
              <w:rPr>
                <w:rFonts w:ascii="Calibri" w:hAnsi="Calibri"/>
                <w:color w:val="000000"/>
                <w:sz w:val="22"/>
              </w:rPr>
              <w:t>.60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44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eastAsia="华文仿宋" w:hAnsi="华文仿宋"/>
                <w:sz w:val="22"/>
              </w:rPr>
            </w:pPr>
            <w:r>
              <w:rPr>
                <w:rFonts w:ascii="Calibri" w:eastAsia="华文仿宋" w:hAnsi="华文仿宋" w:hint="eastAsia"/>
                <w:sz w:val="22"/>
              </w:rPr>
              <w:t>Ⅲ</w:t>
            </w:r>
          </w:p>
        </w:tc>
        <w:tc>
          <w:tcPr>
            <w:tcW w:w="37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</w:t>
            </w: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40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7</w:t>
            </w:r>
            <w:r>
              <w:rPr>
                <w:rFonts w:ascii="Calibri" w:hAnsi="Calibri"/>
                <w:color w:val="000000"/>
                <w:sz w:val="22"/>
              </w:rPr>
              <w:t>.33</w:t>
            </w:r>
          </w:p>
        </w:tc>
        <w:tc>
          <w:tcPr>
            <w:tcW w:w="395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</w:t>
            </w:r>
            <w:r>
              <w:rPr>
                <w:rFonts w:ascii="Calibri" w:hAnsi="Calibri"/>
                <w:color w:val="000000"/>
                <w:sz w:val="22"/>
              </w:rPr>
              <w:t>05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7.00</w:t>
            </w:r>
          </w:p>
        </w:tc>
        <w:tc>
          <w:tcPr>
            <w:tcW w:w="386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8</w:t>
            </w:r>
            <w:r>
              <w:rPr>
                <w:rFonts w:ascii="Calibri" w:hAnsi="Calibri"/>
                <w:color w:val="000000"/>
                <w:sz w:val="22"/>
              </w:rPr>
              <w:t>9</w:t>
            </w:r>
          </w:p>
        </w:tc>
        <w:tc>
          <w:tcPr>
            <w:tcW w:w="408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5</w:t>
            </w:r>
            <w:r>
              <w:rPr>
                <w:rFonts w:ascii="Calibri" w:hAnsi="Calibri"/>
                <w:color w:val="000000"/>
                <w:sz w:val="22"/>
              </w:rPr>
              <w:t>.93</w:t>
            </w:r>
          </w:p>
        </w:tc>
        <w:tc>
          <w:tcPr>
            <w:tcW w:w="471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1</w:t>
            </w:r>
            <w:r>
              <w:rPr>
                <w:rFonts w:ascii="Calibri" w:hAnsi="Calibri"/>
                <w:color w:val="000000"/>
                <w:sz w:val="22"/>
              </w:rPr>
              <w:t>00</w:t>
            </w:r>
          </w:p>
        </w:tc>
        <w:tc>
          <w:tcPr>
            <w:tcW w:w="617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6</w:t>
            </w:r>
            <w:r>
              <w:rPr>
                <w:rFonts w:ascii="Calibri" w:hAnsi="Calibri"/>
                <w:color w:val="000000"/>
                <w:sz w:val="22"/>
              </w:rPr>
              <w:t>.67</w:t>
            </w:r>
          </w:p>
        </w:tc>
        <w:tc>
          <w:tcPr>
            <w:tcW w:w="54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9</w:t>
            </w: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550" w:type="pct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hint="eastAsia"/>
                <w:color w:val="000000"/>
                <w:sz w:val="22"/>
              </w:rPr>
              <w:t>6</w:t>
            </w:r>
            <w:r>
              <w:rPr>
                <w:rFonts w:ascii="Calibri" w:hAnsi="Calibri"/>
                <w:color w:val="000000"/>
                <w:sz w:val="22"/>
              </w:rPr>
              <w:t>.20</w:t>
            </w:r>
          </w:p>
        </w:tc>
      </w:tr>
    </w:tbl>
    <w:p w:rsidR="000976C9" w:rsidRDefault="000976C9" w:rsidP="000976C9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rPr>
          <w:rFonts w:hint="eastAsia"/>
        </w:rPr>
      </w:pPr>
      <w:r>
        <w:rPr>
          <w:rFonts w:ascii="黑体" w:eastAsia="黑体" w:hAnsi="黑体" w:cs="黑体" w:hint="eastAsia"/>
          <w:sz w:val="32"/>
          <w:szCs w:val="32"/>
        </w:rPr>
        <w:t>三、达拉特旗风水梁镇各类用地基准地价表（变价幅度）</w:t>
      </w:r>
    </w:p>
    <w:tbl>
      <w:tblPr>
        <w:tblW w:w="78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1"/>
        <w:gridCol w:w="1143"/>
        <w:gridCol w:w="1143"/>
        <w:gridCol w:w="1143"/>
        <w:gridCol w:w="1143"/>
        <w:gridCol w:w="1143"/>
        <w:gridCol w:w="1144"/>
      </w:tblGrid>
      <w:tr w:rsidR="000976C9" w:rsidTr="00CF1E75">
        <w:trPr>
          <w:trHeight w:val="397"/>
          <w:jc w:val="center"/>
        </w:trPr>
        <w:tc>
          <w:tcPr>
            <w:tcW w:w="1031" w:type="dxa"/>
            <w:vMerge w:val="restart"/>
            <w:tcBorders>
              <w:tl2br w:val="single" w:sz="4" w:space="0" w:color="auto"/>
            </w:tcBorders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幅度</w:t>
            </w:r>
          </w:p>
          <w:p w:rsidR="000976C9" w:rsidRDefault="000976C9" w:rsidP="00CF1E75">
            <w:pPr>
              <w:spacing w:line="560" w:lineRule="exact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级别</w:t>
            </w:r>
          </w:p>
        </w:tc>
        <w:tc>
          <w:tcPr>
            <w:tcW w:w="2286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商业调整幅度(%)</w:t>
            </w:r>
          </w:p>
        </w:tc>
        <w:tc>
          <w:tcPr>
            <w:tcW w:w="2286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住宅调整幅度(%)</w:t>
            </w:r>
          </w:p>
        </w:tc>
        <w:tc>
          <w:tcPr>
            <w:tcW w:w="2287" w:type="dxa"/>
            <w:gridSpan w:val="2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工业调整幅度(%)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Merge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上调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下调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Ⅰ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10.53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-10.53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11.49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-8.78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15.38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-</w:t>
            </w:r>
            <w:r>
              <w:rPr>
                <w:rFonts w:ascii="仿宋_GB2312" w:eastAsia="仿宋_GB2312" w:hAnsi="Calibri"/>
                <w:sz w:val="24"/>
              </w:rPr>
              <w:t>7.69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Ⅱ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8.97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-17.95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8.00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-8.00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10.09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-</w:t>
            </w:r>
            <w:r>
              <w:rPr>
                <w:rFonts w:ascii="仿宋_GB2312" w:eastAsia="仿宋_GB2312" w:hAnsi="Calibri"/>
                <w:sz w:val="24"/>
              </w:rPr>
              <w:t>10.09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</w:tr>
      <w:tr w:rsidR="000976C9" w:rsidTr="00CF1E75">
        <w:trPr>
          <w:trHeight w:val="397"/>
          <w:jc w:val="center"/>
        </w:trPr>
        <w:tc>
          <w:tcPr>
            <w:tcW w:w="1031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Ⅲ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</w:t>
            </w:r>
            <w:r>
              <w:rPr>
                <w:rFonts w:ascii="仿宋_GB2312" w:eastAsia="仿宋_GB2312" w:hAnsi="Calibri"/>
                <w:sz w:val="24"/>
              </w:rPr>
              <w:t>6.36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</w:t>
            </w:r>
            <w:r>
              <w:rPr>
                <w:rFonts w:ascii="仿宋_GB2312" w:eastAsia="仿宋_GB2312" w:hAnsi="Calibri" w:hint="eastAsia"/>
                <w:sz w:val="24"/>
              </w:rPr>
              <w:t>1</w:t>
            </w:r>
            <w:r>
              <w:rPr>
                <w:rFonts w:ascii="仿宋_GB2312" w:eastAsia="仿宋_GB2312" w:hAnsi="Calibri"/>
                <w:sz w:val="24"/>
              </w:rPr>
              <w:t>6.36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9</w:t>
            </w:r>
            <w:r>
              <w:rPr>
                <w:rFonts w:ascii="仿宋_GB2312" w:eastAsia="仿宋_GB2312" w:hAnsi="Calibri"/>
                <w:sz w:val="24"/>
              </w:rPr>
              <w:t>.52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-</w:t>
            </w:r>
            <w:r>
              <w:rPr>
                <w:rFonts w:ascii="仿宋_GB2312" w:eastAsia="仿宋_GB2312" w:hAnsi="Calibri"/>
                <w:sz w:val="24"/>
              </w:rPr>
              <w:t>9.52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3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</w:t>
            </w:r>
            <w:r>
              <w:rPr>
                <w:rFonts w:ascii="仿宋_GB2312" w:eastAsia="仿宋_GB2312" w:hAnsi="Calibri"/>
                <w:sz w:val="24"/>
              </w:rPr>
              <w:t>0.11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  <w:tc>
          <w:tcPr>
            <w:tcW w:w="1144" w:type="dxa"/>
            <w:vAlign w:val="center"/>
          </w:tcPr>
          <w:p w:rsidR="000976C9" w:rsidRDefault="000976C9" w:rsidP="00CF1E75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-</w:t>
            </w:r>
            <w:r>
              <w:rPr>
                <w:rFonts w:ascii="仿宋_GB2312" w:eastAsia="仿宋_GB2312" w:hAnsi="Calibri" w:hint="eastAsia"/>
                <w:sz w:val="24"/>
              </w:rPr>
              <w:t>1</w:t>
            </w:r>
            <w:r>
              <w:rPr>
                <w:rFonts w:ascii="仿宋_GB2312" w:eastAsia="仿宋_GB2312" w:hAnsi="Calibri"/>
                <w:sz w:val="24"/>
              </w:rPr>
              <w:t>0.11</w:t>
            </w:r>
            <w:r>
              <w:rPr>
                <w:rFonts w:ascii="仿宋_GB2312" w:eastAsia="仿宋_GB2312" w:hAnsi="Calibri" w:hint="eastAsia"/>
                <w:sz w:val="24"/>
              </w:rPr>
              <w:t>%</w:t>
            </w:r>
          </w:p>
        </w:tc>
      </w:tr>
    </w:tbl>
    <w:p w:rsidR="000976C9" w:rsidRDefault="000976C9" w:rsidP="000976C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976C9" w:rsidRDefault="000976C9" w:rsidP="000976C9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四、达拉特旗风水梁镇基准地价土地级别描述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（1）商服用地土地级别情况： I级占地面积610.0965公顷，东至定级范围边界，南至电业局北侧道路，西至定级范围边界，北至定级范围边界；Ⅱ级占地面积403.3691公顷，东至定级范围边界，南至定级范围边界，北至一级地边界，西至定级范围边界。Ⅲ级占地面积1059.0222公顷,东至十期兔舍东侧,南至八期兔舍南侧,西至七期兔舍西侧,北至二期饲料厂北300米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住宅用地土地级别情况：I级占地面积610.0965公顷，东至定级范围边界，南至电业局北侧道路，西至定级范围边界，北至定级范围边界；Ⅱ级占地面积403.3691公顷，东至定级范围边界，南至定级范围边界，北至一级地边界，西至定级范围边界。Ⅲ级占地面积1059.0222公顷,东至十期兔舍东侧,南至八期兔舍南侧,西至七期兔舍西侧,北至二期饲料厂北300米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工业用地土地级别情况：I级占地面积513.8629公顷，东至定级范围边界，南至风水梁镇小学南1100米，西至定级范围边界，北至定级范围边界；Ⅱ级占地面积499.6027公顷，东至定级范围边界，南至定级范围边界，北至一级地边界，西至定级范围边界。Ⅲ级占地面积1059.0222公顷,东至十期兔舍东侧,南至八期兔舍南侧,西至七期兔舍西侧,北至二期饲料厂北300米。</w:t>
      </w: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（4）综合土地级别情况：I级占地面积431.8543公顷，东至定级范围边界，南至风水梁镇移民村南侧道路，西至定级范围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边界，北至风水梁镇小学北800米；Ⅱ级占地面积581.6113公顷，东至风水梁小学东侧道路，南至定级范围边界，北至定级范围边界，西至定级范围边界。Ⅲ级占地面积1059.0222公顷,东至十期兔舍东侧,南至八期兔舍南侧,西至七期兔舍西侧,北至二期饲料厂北300米。</w:t>
      </w:r>
    </w:p>
    <w:p w:rsidR="000976C9" w:rsidRDefault="000976C9" w:rsidP="000976C9">
      <w:pPr>
        <w:spacing w:line="56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0976C9" w:rsidRDefault="000976C9" w:rsidP="000976C9">
      <w:pPr>
        <w:spacing w:line="56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0976C9" w:rsidRDefault="000976C9" w:rsidP="000976C9">
      <w:pPr>
        <w:spacing w:line="56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0976C9" w:rsidRDefault="000976C9" w:rsidP="000976C9">
      <w:pPr>
        <w:spacing w:line="56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0976C9" w:rsidRDefault="000976C9" w:rsidP="000976C9">
      <w:pPr>
        <w:pStyle w:val="a6"/>
        <w:rPr>
          <w:rFonts w:ascii="仿宋" w:eastAsia="仿宋" w:hAnsi="仿宋" w:cs="仿宋" w:hint="eastAsia"/>
          <w:sz w:val="30"/>
          <w:szCs w:val="30"/>
        </w:rPr>
      </w:pPr>
    </w:p>
    <w:p w:rsidR="000976C9" w:rsidRDefault="000976C9" w:rsidP="000976C9">
      <w:pPr>
        <w:pStyle w:val="a6"/>
        <w:rPr>
          <w:rFonts w:ascii="仿宋" w:eastAsia="仿宋" w:hAnsi="仿宋" w:cs="仿宋" w:hint="eastAsia"/>
          <w:sz w:val="30"/>
          <w:szCs w:val="30"/>
        </w:rPr>
      </w:pP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976C9" w:rsidRDefault="000976C9" w:rsidP="000976C9">
      <w:pPr>
        <w:spacing w:line="56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0976C9" w:rsidRDefault="000976C9" w:rsidP="000976C9">
      <w:pPr>
        <w:spacing w:line="56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0976C9" w:rsidRDefault="000976C9" w:rsidP="000976C9">
      <w:pPr>
        <w:spacing w:line="56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0976C9" w:rsidRDefault="000976C9" w:rsidP="000976C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976C9" w:rsidRDefault="000976C9" w:rsidP="000976C9">
      <w:pPr>
        <w:spacing w:line="56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997300" w:rsidRPr="000976C9" w:rsidRDefault="00997300"/>
    <w:sectPr w:rsidR="00997300" w:rsidRPr="000976C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851" w:footer="147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F8" w:rsidRPr="000F61DA" w:rsidRDefault="009610F8" w:rsidP="000976C9">
      <w:pPr>
        <w:spacing w:line="240" w:lineRule="auto"/>
      </w:pPr>
      <w:r>
        <w:separator/>
      </w:r>
    </w:p>
  </w:endnote>
  <w:endnote w:type="continuationSeparator" w:id="0">
    <w:p w:rsidR="009610F8" w:rsidRPr="000F61DA" w:rsidRDefault="009610F8" w:rsidP="00097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2C" w:rsidRDefault="009610F8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1026" type="#_x0000_t202" style="position:absolute;left:0;text-align:left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18232C" w:rsidRDefault="009610F8" w:rsidP="000976C9">
                <w:pPr>
                  <w:pStyle w:val="a5"/>
                  <w:ind w:firstLineChars="100" w:firstLine="180"/>
                  <w:rPr>
                    <w:rStyle w:val="af"/>
                    <w:rFonts w:ascii="仿宋_GB2312" w:eastAsia="仿宋_GB2312" w:hAnsi="仿宋_GB2312" w:cs="仿宋_GB2312" w:hint="eastAsia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Cs w:val="28"/>
                  </w:rPr>
                  <w:fldChar w:fldCharType="begin"/>
                </w:r>
                <w:r>
                  <w:rPr>
                    <w:rStyle w:val="af"/>
                    <w:rFonts w:ascii="仿宋_GB2312" w:eastAsia="仿宋_GB2312" w:hAnsi="仿宋_GB2312" w:cs="仿宋_GB2312" w:hint="eastAsia"/>
                    <w:szCs w:val="28"/>
                  </w:rPr>
                  <w:instrText xml:space="preserve">PAGE  </w:instrText>
                </w:r>
                <w:r>
                  <w:rPr>
                    <w:rFonts w:ascii="仿宋_GB2312" w:eastAsia="仿宋_GB2312" w:hAnsi="仿宋_GB2312" w:cs="仿宋_GB2312" w:hint="eastAsia"/>
                    <w:szCs w:val="28"/>
                  </w:rPr>
                  <w:fldChar w:fldCharType="separate"/>
                </w:r>
                <w:r>
                  <w:rPr>
                    <w:rStyle w:val="af"/>
                    <w:rFonts w:ascii="仿宋_GB2312" w:eastAsia="仿宋_GB2312" w:hAnsi="仿宋_GB2312" w:cs="仿宋_GB2312" w:hint="eastAsia"/>
                    <w:szCs w:val="28"/>
                  </w:rPr>
                  <w:t>- 2 -</w:t>
                </w:r>
                <w:r>
                  <w:rPr>
                    <w:rFonts w:ascii="仿宋_GB2312" w:eastAsia="仿宋_GB2312" w:hAnsi="仿宋_GB2312" w:cs="仿宋_GB2312" w:hint="eastAsia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2C" w:rsidRDefault="009610F8">
    <w:pPr>
      <w:pStyle w:val="a5"/>
      <w:tabs>
        <w:tab w:val="right" w:pos="7952"/>
      </w:tabs>
      <w:ind w:right="360" w:firstLine="360"/>
      <w:jc w:val="both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18232C" w:rsidRDefault="009610F8" w:rsidP="000976C9">
                <w:pPr>
                  <w:pStyle w:val="a5"/>
                  <w:ind w:firstLineChars="100" w:firstLine="180"/>
                  <w:rPr>
                    <w:rStyle w:val="af"/>
                  </w:rPr>
                </w:pPr>
                <w:r>
                  <w:rPr>
                    <w:rFonts w:ascii="仿宋_GB2312" w:eastAsia="仿宋_GB2312" w:hAnsi="仿宋_GB2312" w:cs="仿宋_GB2312" w:hint="eastAsia"/>
                    <w:szCs w:val="28"/>
                  </w:rPr>
                  <w:fldChar w:fldCharType="begin"/>
                </w:r>
                <w:r>
                  <w:rPr>
                    <w:rStyle w:val="af"/>
                    <w:rFonts w:ascii="仿宋_GB2312" w:eastAsia="仿宋_GB2312" w:hAnsi="仿宋_GB2312" w:cs="仿宋_GB2312" w:hint="eastAsia"/>
                    <w:szCs w:val="28"/>
                  </w:rPr>
                  <w:instrText xml:space="preserve">PAGE  </w:instrText>
                </w:r>
                <w:r>
                  <w:rPr>
                    <w:rFonts w:ascii="仿宋_GB2312" w:eastAsia="仿宋_GB2312" w:hAnsi="仿宋_GB2312" w:cs="仿宋_GB2312" w:hint="eastAsia"/>
                    <w:szCs w:val="28"/>
                  </w:rPr>
                  <w:fldChar w:fldCharType="separate"/>
                </w:r>
                <w:r w:rsidR="000976C9">
                  <w:rPr>
                    <w:rStyle w:val="af"/>
                    <w:rFonts w:ascii="仿宋_GB2312" w:eastAsia="仿宋_GB2312" w:hAnsi="仿宋_GB2312" w:cs="仿宋_GB2312"/>
                    <w:noProof/>
                    <w:szCs w:val="28"/>
                  </w:rPr>
                  <w:t>- 30 -</w:t>
                </w:r>
                <w:r>
                  <w:rPr>
                    <w:rFonts w:ascii="仿宋_GB2312" w:eastAsia="仿宋_GB2312" w:hAnsi="仿宋_GB2312" w:cs="仿宋_GB2312" w:hint="eastAsia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Style w:val="af"/>
      </w:rPr>
      <w:tab/>
    </w:r>
    <w:r>
      <w:rPr>
        <w:rStyle w:val="af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F8" w:rsidRPr="000F61DA" w:rsidRDefault="009610F8" w:rsidP="000976C9">
      <w:pPr>
        <w:spacing w:line="240" w:lineRule="auto"/>
      </w:pPr>
      <w:r>
        <w:separator/>
      </w:r>
    </w:p>
  </w:footnote>
  <w:footnote w:type="continuationSeparator" w:id="0">
    <w:p w:rsidR="009610F8" w:rsidRPr="000F61DA" w:rsidRDefault="009610F8" w:rsidP="000976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C9" w:rsidRDefault="000976C9">
    <w:pPr>
      <w:pStyle w:val="a4"/>
      <w:pBdr>
        <w:bottom w:val="none" w:sz="0" w:space="1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2C" w:rsidRDefault="009610F8">
    <w:pPr>
      <w:pStyle w:val="a4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2C" w:rsidRDefault="009610F8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6C9"/>
    <w:rsid w:val="000976C9"/>
    <w:rsid w:val="00156925"/>
    <w:rsid w:val="001A5697"/>
    <w:rsid w:val="0033618D"/>
    <w:rsid w:val="008028DE"/>
    <w:rsid w:val="009610F8"/>
    <w:rsid w:val="00997300"/>
    <w:rsid w:val="00E8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/>
    <w:lsdException w:name="footer" w:uiPriority="0" w:qFormat="1"/>
    <w:lsdException w:name="caption" w:uiPriority="35" w:qFormat="1"/>
    <w:lsdException w:name="envelope retur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 2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C9"/>
    <w:pPr>
      <w:widowControl w:val="0"/>
      <w:spacing w:line="580" w:lineRule="exact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976C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56925"/>
    <w:rPr>
      <w:b/>
      <w:bCs/>
    </w:rPr>
  </w:style>
  <w:style w:type="paragraph" w:styleId="a4">
    <w:name w:val="header"/>
    <w:basedOn w:val="a"/>
    <w:link w:val="Char"/>
    <w:unhideWhenUsed/>
    <w:rsid w:val="00097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rsid w:val="000976C9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0976C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rsid w:val="000976C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976C9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Plain Text"/>
    <w:basedOn w:val="a"/>
    <w:link w:val="Char1"/>
    <w:unhideWhenUsed/>
    <w:rsid w:val="000976C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0976C9"/>
    <w:rPr>
      <w:rFonts w:ascii="宋体" w:eastAsia="宋体" w:hAnsi="Courier New" w:cs="Courier New"/>
      <w:szCs w:val="21"/>
    </w:rPr>
  </w:style>
  <w:style w:type="paragraph" w:styleId="a7">
    <w:name w:val="Normal Indent"/>
    <w:basedOn w:val="a"/>
    <w:next w:val="a"/>
    <w:qFormat/>
    <w:rsid w:val="000976C9"/>
    <w:pPr>
      <w:ind w:firstLineChars="200" w:firstLine="420"/>
    </w:pPr>
    <w:rPr>
      <w:rFonts w:ascii="Calibri" w:eastAsia="仿宋_GB2312" w:hAnsi="Calibri"/>
      <w:sz w:val="32"/>
    </w:rPr>
  </w:style>
  <w:style w:type="paragraph" w:styleId="a8">
    <w:name w:val="Body Text"/>
    <w:basedOn w:val="a"/>
    <w:link w:val="Char2"/>
    <w:rsid w:val="000976C9"/>
    <w:pPr>
      <w:jc w:val="center"/>
    </w:pPr>
    <w:rPr>
      <w:sz w:val="36"/>
    </w:rPr>
  </w:style>
  <w:style w:type="character" w:customStyle="1" w:styleId="Char2">
    <w:name w:val="正文文本 Char"/>
    <w:basedOn w:val="a0"/>
    <w:link w:val="a8"/>
    <w:rsid w:val="000976C9"/>
    <w:rPr>
      <w:rFonts w:ascii="Times New Roman" w:eastAsia="宋体" w:hAnsi="Times New Roman" w:cs="Times New Roman"/>
      <w:sz w:val="36"/>
      <w:szCs w:val="24"/>
    </w:rPr>
  </w:style>
  <w:style w:type="paragraph" w:styleId="a9">
    <w:name w:val="Body Text Indent"/>
    <w:basedOn w:val="a"/>
    <w:link w:val="Char3"/>
    <w:unhideWhenUsed/>
    <w:qFormat/>
    <w:rsid w:val="000976C9"/>
    <w:pPr>
      <w:spacing w:after="120"/>
      <w:ind w:leftChars="200" w:left="420"/>
    </w:pPr>
    <w:rPr>
      <w:rFonts w:ascii="Calibri" w:hAnsi="Calibri"/>
    </w:rPr>
  </w:style>
  <w:style w:type="character" w:customStyle="1" w:styleId="Char3">
    <w:name w:val="正文文本缩进 Char"/>
    <w:basedOn w:val="a0"/>
    <w:link w:val="a9"/>
    <w:rsid w:val="000976C9"/>
    <w:rPr>
      <w:rFonts w:ascii="Calibri" w:eastAsia="宋体" w:hAnsi="Calibri" w:cs="Times New Roman"/>
      <w:szCs w:val="24"/>
    </w:rPr>
  </w:style>
  <w:style w:type="paragraph" w:styleId="aa">
    <w:name w:val="Date"/>
    <w:basedOn w:val="a"/>
    <w:next w:val="a"/>
    <w:link w:val="Char4"/>
    <w:rsid w:val="000976C9"/>
    <w:pPr>
      <w:ind w:leftChars="2500" w:left="100"/>
    </w:pPr>
    <w:rPr>
      <w:lang/>
    </w:rPr>
  </w:style>
  <w:style w:type="character" w:customStyle="1" w:styleId="Char4">
    <w:name w:val="日期 Char"/>
    <w:basedOn w:val="a0"/>
    <w:link w:val="aa"/>
    <w:rsid w:val="000976C9"/>
    <w:rPr>
      <w:rFonts w:ascii="Times New Roman" w:eastAsia="宋体" w:hAnsi="Times New Roman" w:cs="Times New Roman"/>
      <w:szCs w:val="24"/>
      <w:lang/>
    </w:rPr>
  </w:style>
  <w:style w:type="paragraph" w:styleId="ab">
    <w:name w:val="Balloon Text"/>
    <w:basedOn w:val="a"/>
    <w:link w:val="Char5"/>
    <w:rsid w:val="000976C9"/>
    <w:rPr>
      <w:sz w:val="18"/>
      <w:szCs w:val="18"/>
      <w:lang/>
    </w:rPr>
  </w:style>
  <w:style w:type="character" w:customStyle="1" w:styleId="Char5">
    <w:name w:val="批注框文本 Char"/>
    <w:basedOn w:val="a0"/>
    <w:link w:val="ab"/>
    <w:rsid w:val="000976C9"/>
    <w:rPr>
      <w:rFonts w:ascii="Times New Roman" w:eastAsia="宋体" w:hAnsi="Times New Roman" w:cs="Times New Roman"/>
      <w:sz w:val="18"/>
      <w:szCs w:val="18"/>
      <w:lang/>
    </w:rPr>
  </w:style>
  <w:style w:type="paragraph" w:styleId="ac">
    <w:name w:val="envelope return"/>
    <w:basedOn w:val="a"/>
    <w:uiPriority w:val="99"/>
    <w:unhideWhenUsed/>
    <w:qFormat/>
    <w:rsid w:val="000976C9"/>
    <w:pPr>
      <w:snapToGrid w:val="0"/>
    </w:pPr>
    <w:rPr>
      <w:rFonts w:ascii="Arial" w:hAnsi="Arial"/>
    </w:rPr>
  </w:style>
  <w:style w:type="paragraph" w:styleId="10">
    <w:name w:val="toc 1"/>
    <w:basedOn w:val="a"/>
    <w:next w:val="a"/>
    <w:unhideWhenUsed/>
    <w:rsid w:val="000976C9"/>
  </w:style>
  <w:style w:type="paragraph" w:styleId="ad">
    <w:name w:val="Normal (Web)"/>
    <w:basedOn w:val="a"/>
    <w:qFormat/>
    <w:rsid w:val="000976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Title"/>
    <w:basedOn w:val="a"/>
    <w:next w:val="a"/>
    <w:link w:val="Char6"/>
    <w:qFormat/>
    <w:rsid w:val="000976C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6">
    <w:name w:val="标题 Char"/>
    <w:basedOn w:val="a0"/>
    <w:link w:val="ae"/>
    <w:rsid w:val="000976C9"/>
    <w:rPr>
      <w:rFonts w:ascii="Cambria" w:eastAsia="宋体" w:hAnsi="Cambria" w:cs="Times New Roman"/>
      <w:b/>
      <w:bCs/>
      <w:sz w:val="32"/>
      <w:szCs w:val="32"/>
    </w:rPr>
  </w:style>
  <w:style w:type="paragraph" w:styleId="2">
    <w:name w:val="Body Text First Indent 2"/>
    <w:basedOn w:val="a9"/>
    <w:link w:val="2Char"/>
    <w:uiPriority w:val="99"/>
    <w:unhideWhenUsed/>
    <w:qFormat/>
    <w:rsid w:val="000976C9"/>
    <w:pPr>
      <w:ind w:firstLineChars="200" w:firstLine="420"/>
    </w:pPr>
    <w:rPr>
      <w:rFonts w:ascii="Times New Roman" w:hAnsi="Times New Roman"/>
    </w:rPr>
  </w:style>
  <w:style w:type="character" w:customStyle="1" w:styleId="2Char">
    <w:name w:val="正文首行缩进 2 Char"/>
    <w:basedOn w:val="Char3"/>
    <w:link w:val="2"/>
    <w:uiPriority w:val="99"/>
    <w:rsid w:val="000976C9"/>
    <w:rPr>
      <w:rFonts w:ascii="Times New Roman" w:hAnsi="Times New Roman"/>
    </w:rPr>
  </w:style>
  <w:style w:type="character" w:styleId="af">
    <w:name w:val="page number"/>
    <w:basedOn w:val="a0"/>
    <w:rsid w:val="000976C9"/>
  </w:style>
  <w:style w:type="character" w:styleId="af0">
    <w:name w:val="FollowedHyperlink"/>
    <w:basedOn w:val="a0"/>
    <w:rsid w:val="000976C9"/>
    <w:rPr>
      <w:color w:val="333333"/>
      <w:u w:val="none"/>
    </w:rPr>
  </w:style>
  <w:style w:type="character" w:styleId="af1">
    <w:name w:val="Emphasis"/>
    <w:basedOn w:val="a0"/>
    <w:qFormat/>
    <w:rsid w:val="000976C9"/>
    <w:rPr>
      <w:i w:val="0"/>
      <w:iCs w:val="0"/>
    </w:rPr>
  </w:style>
  <w:style w:type="character" w:styleId="af2">
    <w:name w:val="Hyperlink"/>
    <w:basedOn w:val="a0"/>
    <w:rsid w:val="000976C9"/>
    <w:rPr>
      <w:color w:val="333333"/>
      <w:u w:val="none"/>
    </w:rPr>
  </w:style>
  <w:style w:type="character" w:customStyle="1" w:styleId="ff141">
    <w:name w:val="ff141"/>
    <w:rsid w:val="000976C9"/>
    <w:rPr>
      <w:sz w:val="21"/>
      <w:szCs w:val="21"/>
    </w:rPr>
  </w:style>
  <w:style w:type="character" w:customStyle="1" w:styleId="font31">
    <w:name w:val="font31"/>
    <w:basedOn w:val="a0"/>
    <w:rsid w:val="000976C9"/>
    <w:rPr>
      <w:rFonts w:ascii="宋体" w:eastAsia="宋体" w:hAnsi="宋体" w:cs="宋体" w:hint="eastAsia"/>
      <w:b/>
      <w:bCs/>
      <w:i w:val="0"/>
      <w:iCs w:val="0"/>
      <w:color w:val="000000"/>
      <w:sz w:val="24"/>
      <w:szCs w:val="24"/>
      <w:u w:val="none"/>
    </w:rPr>
  </w:style>
  <w:style w:type="character" w:customStyle="1" w:styleId="NormalCharacter">
    <w:name w:val="NormalCharacter"/>
    <w:rsid w:val="000976C9"/>
  </w:style>
  <w:style w:type="paragraph" w:customStyle="1" w:styleId="TOC1">
    <w:name w:val="TOC1"/>
    <w:basedOn w:val="a"/>
    <w:next w:val="a"/>
    <w:rsid w:val="000976C9"/>
    <w:pPr>
      <w:widowControl/>
      <w:spacing w:line="240" w:lineRule="auto"/>
      <w:textAlignment w:val="baseline"/>
    </w:pPr>
  </w:style>
  <w:style w:type="paragraph" w:customStyle="1" w:styleId="11">
    <w:name w:val="列出段落1"/>
    <w:basedOn w:val="a"/>
    <w:uiPriority w:val="99"/>
    <w:qFormat/>
    <w:rsid w:val="000976C9"/>
    <w:pPr>
      <w:ind w:firstLineChars="200" w:firstLine="420"/>
    </w:pPr>
    <w:rPr>
      <w:rFonts w:ascii="Calibri" w:hAnsi="Calibri"/>
    </w:rPr>
  </w:style>
  <w:style w:type="paragraph" w:styleId="af3">
    <w:name w:val="List Paragraph"/>
    <w:basedOn w:val="a"/>
    <w:uiPriority w:val="34"/>
    <w:qFormat/>
    <w:rsid w:val="000976C9"/>
    <w:pPr>
      <w:ind w:firstLineChars="200" w:firstLine="420"/>
    </w:pPr>
    <w:rPr>
      <w:rFonts w:ascii="Calibri" w:hAnsi="Calibri"/>
      <w:szCs w:val="22"/>
    </w:rPr>
  </w:style>
  <w:style w:type="table" w:customStyle="1" w:styleId="TableNormal">
    <w:name w:val="Table Normal"/>
    <w:unhideWhenUsed/>
    <w:qFormat/>
    <w:rsid w:val="000976C9"/>
    <w:pPr>
      <w:jc w:val="left"/>
    </w:pPr>
    <w:rPr>
      <w:rFonts w:ascii="Arial" w:eastAsia="宋体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sharetext">
    <w:name w:val="bsharetext"/>
    <w:basedOn w:val="a0"/>
    <w:rsid w:val="000976C9"/>
  </w:style>
  <w:style w:type="paragraph" w:customStyle="1" w:styleId="20">
    <w:name w:val="开头2"/>
    <w:basedOn w:val="a"/>
    <w:qFormat/>
    <w:rsid w:val="00097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2144</Words>
  <Characters>12222</Characters>
  <Application>Microsoft Office Word</Application>
  <DocSecurity>0</DocSecurity>
  <Lines>101</Lines>
  <Paragraphs>28</Paragraphs>
  <ScaleCrop>false</ScaleCrop>
  <Company>Microsoft</Company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2</cp:revision>
  <dcterms:created xsi:type="dcterms:W3CDTF">2023-04-21T03:34:00Z</dcterms:created>
  <dcterms:modified xsi:type="dcterms:W3CDTF">2023-04-21T03:35:00Z</dcterms:modified>
</cp:coreProperties>
</file>