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2CB" w:rsidRPr="004172CB" w:rsidRDefault="004172CB" w:rsidP="004172CB">
      <w:pPr>
        <w:widowControl/>
        <w:jc w:val="center"/>
        <w:rPr>
          <w:rFonts w:ascii="黑体" w:eastAsia="黑体" w:hAnsi="黑体" w:cs="宋体" w:hint="eastAsia"/>
          <w:color w:val="333333"/>
          <w:kern w:val="0"/>
          <w:sz w:val="44"/>
          <w:szCs w:val="44"/>
        </w:rPr>
      </w:pPr>
      <w:bookmarkStart w:id="0" w:name="_GoBack"/>
      <w:r w:rsidRPr="004172CB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内蒙古自治区人力资源和社会保障厅 教育厅财政厅关于延续实施</w:t>
      </w:r>
      <w:proofErr w:type="gramStart"/>
      <w:r w:rsidRPr="004172CB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一次性扩岗补助</w:t>
      </w:r>
      <w:proofErr w:type="gramEnd"/>
      <w:r w:rsidRPr="004172CB">
        <w:rPr>
          <w:rFonts w:ascii="黑体" w:eastAsia="黑体" w:hAnsi="黑体" w:cs="宋体" w:hint="eastAsia"/>
          <w:color w:val="333333"/>
          <w:kern w:val="0"/>
          <w:sz w:val="44"/>
          <w:szCs w:val="44"/>
        </w:rPr>
        <w:t>政策有关工作的通知</w:t>
      </w:r>
    </w:p>
    <w:bookmarkEnd w:id="0"/>
    <w:p w:rsidR="004172CB" w:rsidRPr="004172CB" w:rsidRDefault="004172CB" w:rsidP="004172CB">
      <w:pPr>
        <w:widowControl/>
        <w:jc w:val="left"/>
        <w:rPr>
          <w:rFonts w:ascii="仿宋_GB2312" w:eastAsia="仿宋_GB2312" w:hAnsi="黑体" w:cs="宋体" w:hint="eastAsia"/>
          <w:kern w:val="0"/>
          <w:sz w:val="32"/>
          <w:szCs w:val="32"/>
        </w:rPr>
      </w:pP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>各盟行政公署、市人民政府：</w:t>
      </w:r>
    </w:p>
    <w:p w:rsidR="004172CB" w:rsidRPr="004172CB" w:rsidRDefault="004172CB" w:rsidP="004172CB">
      <w:pPr>
        <w:widowControl/>
        <w:wordWrap w:val="0"/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</w:pP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　　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为深入贯彻党的二十大精神，落实党中央、国务院关于促进高校毕业生等青年就业工作决策部署，切实发挥失业保险助</w:t>
      </w:r>
      <w:proofErr w:type="gramStart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企扩岗</w:t>
      </w:r>
      <w:proofErr w:type="gramEnd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作用，鼓励企业吸纳大学生等青年就业，经自治区人民政府同意，按照《人力资源社会保障部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教育部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财政部关于延续实施一次性扩岗补助政策有关工作的通知》（</w:t>
      </w:r>
      <w:proofErr w:type="gramStart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人社部</w:t>
      </w:r>
      <w:proofErr w:type="gramEnd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发〔2023〕37号）要求，现就继续实施</w:t>
      </w:r>
      <w:proofErr w:type="gramStart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一次性扩岗补助</w:t>
      </w:r>
      <w:proofErr w:type="gramEnd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政策有关事项通知如下：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4172CB" w:rsidRPr="004172CB" w:rsidRDefault="004172CB" w:rsidP="004172CB">
      <w:pPr>
        <w:widowControl/>
        <w:wordWrap w:val="0"/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</w:pP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　　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一、对招用2023届及离校两年内未就业普通高校毕业生、登记失业的16-24岁青年，签订劳动合同并为其缴纳失业、工伤、职工养老保险费1个月以上的企业，按每招用1人1500元的标准发放</w:t>
      </w:r>
      <w:proofErr w:type="gramStart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一次性扩岗补助</w:t>
      </w:r>
      <w:proofErr w:type="gramEnd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。政策执行至2023年12月底。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4172CB" w:rsidRPr="004172CB" w:rsidRDefault="004172CB" w:rsidP="004172CB">
      <w:pPr>
        <w:widowControl/>
        <w:wordWrap w:val="0"/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</w:pP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　　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二、1名上述人员的就业参保信息和身份只能由一户企业用于享受</w:t>
      </w:r>
      <w:proofErr w:type="gramStart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一次性扩岗补助</w:t>
      </w:r>
      <w:proofErr w:type="gramEnd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，不能重复使用。</w:t>
      </w:r>
      <w:proofErr w:type="gramStart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一次性扩岗补助</w:t>
      </w:r>
      <w:proofErr w:type="gramEnd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和一次性吸纳就业补贴政策不能重复享受。各盟市不得超出现有政策规定提高政策享受门槛，增加限制条件，要让招用上述人员并符合相关条件的企业尽可能享受政策红利。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4172CB" w:rsidRPr="004172CB" w:rsidRDefault="004172CB" w:rsidP="004172CB">
      <w:pPr>
        <w:widowControl/>
        <w:wordWrap w:val="0"/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</w:pP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lastRenderedPageBreak/>
        <w:t xml:space="preserve">　　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三、</w:t>
      </w:r>
      <w:proofErr w:type="gramStart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一次性扩岗补助</w:t>
      </w:r>
      <w:proofErr w:type="gramEnd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所需资金从失业保险基金“其他支出”科目中列支。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4172CB" w:rsidRDefault="004172CB" w:rsidP="004172CB">
      <w:pPr>
        <w:widowControl/>
        <w:wordWrap w:val="0"/>
        <w:ind w:firstLine="645"/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</w:pP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四、全区采取“免申即享”的方式，按照“方便、快捷、规范、安全”的原则，精准向符合条件的企业发放</w:t>
      </w:r>
      <w:proofErr w:type="gramStart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一次性扩岗补助</w:t>
      </w:r>
      <w:proofErr w:type="gramEnd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。自治区人力资源社会保障厅按月将各盟市新参保人</w:t>
      </w:r>
      <w:proofErr w:type="gramStart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员信息</w:t>
      </w:r>
      <w:proofErr w:type="gramEnd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与部省</w:t>
      </w:r>
      <w:proofErr w:type="gramStart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人社业务</w:t>
      </w:r>
      <w:proofErr w:type="gramEnd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协同平台提供的“普通高校应届毕业生身份核验接口”、教育部门移交的有就业意愿的离校</w:t>
      </w:r>
    </w:p>
    <w:p w:rsidR="004172CB" w:rsidRPr="004172CB" w:rsidRDefault="004172CB" w:rsidP="004172CB">
      <w:pPr>
        <w:widowControl/>
        <w:wordWrap w:val="0"/>
        <w:ind w:firstLine="645"/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</w:pP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两年内未就业高校毕业生数据信息、登记失业信息比对，确认参保人员身份符合政策享受条件，将人员信息推送至各盟市、旗县（市、区）失业保险经办机构。各盟市、旗县（市、区）失业保险经办机构审核后，向企业发送信息并经其确认后，将</w:t>
      </w:r>
      <w:proofErr w:type="gramStart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一次性扩岗补助</w:t>
      </w:r>
      <w:proofErr w:type="gramEnd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资金发放至用人企业对公账户，对没有对公账户的企业，可将资金发放至税务部门提供的企业缴纳社会保险费账户。同时开通网上申请入口，对于未筛查出来或者企业银行账户信息不完善等原因未能实现“免申即享”的企业，可通过自治区人力资源社会保障厅网站自主申请，各盟市、旗县（市、区）失业保险经办机构要通过本地信息系统核实，并在企业申请后30日内办结。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4172CB" w:rsidRPr="004172CB" w:rsidRDefault="004172CB" w:rsidP="004172CB">
      <w:pPr>
        <w:widowControl/>
        <w:wordWrap w:val="0"/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</w:pP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　　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五、要做好基金风险防范，强化事前事后核查，统筹推进</w:t>
      </w:r>
      <w:proofErr w:type="gramStart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一次性扩岗补助</w:t>
      </w:r>
      <w:proofErr w:type="gramEnd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畅通领、安全办。各盟市要简化发放手续，对于判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lastRenderedPageBreak/>
        <w:t>断企业是否签订劳动合同，可与劳动关系核心业务子系统劳动用工备案数据比对，经过比对，已进行劳动用工备案的，不需提供劳动合同；未进行备案的，需提供劳动合同备查。各盟市人力资源社会保障部门要在每月15日前，向自治区人力资源社会保障厅报送本地区</w:t>
      </w:r>
      <w:proofErr w:type="gramStart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一次性扩岗补助</w:t>
      </w:r>
      <w:proofErr w:type="gramEnd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发放明细数据，用于支持人力资源社会保障部开展全国信息比对核查。对人力资源社会保障部比对下发的身份不实、跨省（区、市）重复享受等疑点数据，各盟市、旗县（市、区）经办机构要立即核实，对于不符合条件的企业，及时追回所发放</w:t>
      </w:r>
      <w:proofErr w:type="gramStart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一次性扩岗补助</w:t>
      </w:r>
      <w:proofErr w:type="gramEnd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，按规定追究其相应责任。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4172CB" w:rsidRPr="004172CB" w:rsidRDefault="004172CB" w:rsidP="004172CB">
      <w:pPr>
        <w:widowControl/>
        <w:wordWrap w:val="0"/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</w:pP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　　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六、实施</w:t>
      </w:r>
      <w:proofErr w:type="gramStart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一次性扩岗补助</w:t>
      </w:r>
      <w:proofErr w:type="gramEnd"/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政策是促进高校毕业生等青年群体就业、维护就业局势稳定的重要举措。各盟市人力资源社会保障、教育、财政部门要高度重视，多渠道广覆盖宣传政策，切实提高政策知晓度。要加强组织保障，强化协调配合，形成工作合力，确保政策尽快落地见效。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4172CB" w:rsidRPr="004172CB" w:rsidRDefault="004172CB" w:rsidP="004172CB">
      <w:pPr>
        <w:widowControl/>
        <w:wordWrap w:val="0"/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</w:pP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　　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各盟市在推进工作过程中如遇重大问题，及时向自治区人力资源社会保障厅、教育厅、财政厅报告。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4172CB" w:rsidRPr="004172CB" w:rsidRDefault="004172CB" w:rsidP="004172CB">
      <w:pPr>
        <w:widowControl/>
        <w:wordWrap w:val="0"/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</w:pP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 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 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 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 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 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 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 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 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 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 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 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 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 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 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 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 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 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 xml:space="preserve"> 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内蒙古自治区人力资源社会保障厅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 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内蒙古自治区教育厅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  <w:bdr w:val="none" w:sz="0" w:space="0" w:color="auto" w:frame="1"/>
        </w:rPr>
        <w:t> 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 </w:t>
      </w:r>
    </w:p>
    <w:p w:rsidR="004172CB" w:rsidRPr="004172CB" w:rsidRDefault="004172CB" w:rsidP="004172CB">
      <w:pPr>
        <w:widowControl/>
        <w:wordWrap w:val="0"/>
        <w:ind w:right="960"/>
        <w:jc w:val="right"/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</w:pP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内蒙古自治区财政厅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5C4B6B" w:rsidRPr="004172CB" w:rsidRDefault="004172CB" w:rsidP="004172CB">
      <w:pPr>
        <w:widowControl/>
        <w:wordWrap w:val="0"/>
        <w:ind w:right="1280"/>
        <w:jc w:val="right"/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</w:pP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2023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>年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8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>月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  <w:bdr w:val="none" w:sz="0" w:space="0" w:color="auto" w:frame="1"/>
        </w:rPr>
        <w:t>21</w:t>
      </w:r>
      <w:r w:rsidRPr="004172CB">
        <w:rPr>
          <w:rFonts w:ascii="仿宋_GB2312" w:eastAsia="仿宋_GB2312" w:hAnsi="黑体" w:cs="宋体" w:hint="eastAsia"/>
          <w:color w:val="333333"/>
          <w:kern w:val="0"/>
          <w:sz w:val="32"/>
          <w:szCs w:val="32"/>
        </w:rPr>
        <w:t>日</w:t>
      </w:r>
      <w:r w:rsidRPr="004172CB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sectPr w:rsidR="005C4B6B" w:rsidRPr="004172CB" w:rsidSect="004172C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7C" w:rsidRDefault="00CC697C" w:rsidP="004172CB">
      <w:r>
        <w:separator/>
      </w:r>
    </w:p>
  </w:endnote>
  <w:endnote w:type="continuationSeparator" w:id="0">
    <w:p w:rsidR="00CC697C" w:rsidRDefault="00CC697C" w:rsidP="0041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7C" w:rsidRDefault="00CC697C" w:rsidP="004172CB">
      <w:r>
        <w:separator/>
      </w:r>
    </w:p>
  </w:footnote>
  <w:footnote w:type="continuationSeparator" w:id="0">
    <w:p w:rsidR="00CC697C" w:rsidRDefault="00CC697C" w:rsidP="00417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92"/>
    <w:rsid w:val="004172CB"/>
    <w:rsid w:val="005C4B6B"/>
    <w:rsid w:val="00B40792"/>
    <w:rsid w:val="00CC697C"/>
    <w:rsid w:val="00F2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2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2C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172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7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72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7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72C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172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4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1275</Characters>
  <Application>Microsoft Office Word</Application>
  <DocSecurity>0</DocSecurity>
  <Lines>10</Lines>
  <Paragraphs>2</Paragraphs>
  <ScaleCrop>false</ScaleCrop>
  <Company>微软中国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达拉特旗人民政府(拟稿)</dc:creator>
  <cp:lastModifiedBy>达拉特旗人民政府(拟稿)</cp:lastModifiedBy>
  <cp:revision>4</cp:revision>
  <cp:lastPrinted>2023-11-24T09:15:00Z</cp:lastPrinted>
  <dcterms:created xsi:type="dcterms:W3CDTF">2023-11-24T09:13:00Z</dcterms:created>
  <dcterms:modified xsi:type="dcterms:W3CDTF">2023-11-24T09:15:00Z</dcterms:modified>
</cp:coreProperties>
</file>