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00" w:line="560" w:lineRule="exact"/>
        <w:jc w:val="left"/>
        <w:rPr>
          <w:rFonts w:ascii="Times New Roman" w:hAnsi="Times New Roman" w:eastAsia="仿宋_GB2312" w:cs="Times New Roman"/>
          <w:kern w:val="0"/>
          <w:sz w:val="32"/>
          <w:szCs w:val="32"/>
        </w:rPr>
      </w:pPr>
      <w:bookmarkStart w:id="0" w:name="_Toc110525972"/>
      <w:bookmarkStart w:id="1" w:name="_Toc110525348"/>
      <w:bookmarkStart w:id="2" w:name="_Toc110524262"/>
    </w:p>
    <w:p>
      <w:pPr>
        <w:widowControl/>
        <w:spacing w:after="200" w:line="560" w:lineRule="exact"/>
        <w:jc w:val="center"/>
        <w:rPr>
          <w:rFonts w:ascii="Times New Roman" w:hAnsi="Times New Roman" w:eastAsia="仿宋_GB2312" w:cs="Times New Roman"/>
          <w:kern w:val="0"/>
          <w:sz w:val="32"/>
          <w:szCs w:val="32"/>
        </w:rPr>
      </w:pPr>
    </w:p>
    <w:p>
      <w:pPr>
        <w:widowControl/>
        <w:spacing w:after="200" w:line="560" w:lineRule="exact"/>
        <w:jc w:val="center"/>
        <w:rPr>
          <w:rFonts w:ascii="Times New Roman" w:hAnsi="Times New Roman" w:eastAsia="方正小标宋简体" w:cs="Times New Roman"/>
          <w:kern w:val="0"/>
          <w:sz w:val="44"/>
          <w:szCs w:val="44"/>
        </w:rPr>
      </w:pPr>
    </w:p>
    <w:p>
      <w:pPr>
        <w:widowControl/>
        <w:spacing w:after="200" w:line="560" w:lineRule="exact"/>
        <w:jc w:val="center"/>
        <w:rPr>
          <w:rFonts w:ascii="Times New Roman" w:hAnsi="Times New Roman" w:eastAsia="方正小标宋简体" w:cs="Times New Roman"/>
          <w:kern w:val="0"/>
          <w:sz w:val="44"/>
          <w:szCs w:val="44"/>
        </w:rPr>
      </w:pPr>
    </w:p>
    <w:bookmarkEnd w:id="0"/>
    <w:bookmarkEnd w:id="1"/>
    <w:bookmarkEnd w:id="2"/>
    <w:p>
      <w:pPr>
        <w:widowControl/>
        <w:spacing w:after="200" w:line="560" w:lineRule="exact"/>
        <w:jc w:val="center"/>
        <w:rPr>
          <w:rFonts w:ascii="Times New Roman" w:hAnsi="Times New Roman" w:eastAsia="方正小标宋简体" w:cs="Times New Roman"/>
          <w:kern w:val="0"/>
          <w:sz w:val="44"/>
          <w:szCs w:val="44"/>
        </w:rPr>
      </w:pPr>
    </w:p>
    <w:p>
      <w:pPr>
        <w:widowControl/>
        <w:spacing w:after="200" w:line="560" w:lineRule="exact"/>
        <w:jc w:val="center"/>
        <w:rPr>
          <w:rFonts w:ascii="Times New Roman" w:hAnsi="Times New Roman" w:eastAsia="方正小标宋简体" w:cs="Times New Roman"/>
          <w:kern w:val="0"/>
          <w:sz w:val="44"/>
          <w:szCs w:val="44"/>
        </w:rPr>
      </w:pPr>
      <w:bookmarkStart w:id="3" w:name="_Hlk125019870"/>
      <w:r>
        <w:rPr>
          <w:rFonts w:ascii="Times New Roman" w:hAnsi="Times New Roman" w:eastAsia="方正小标宋简体" w:cs="Times New Roman"/>
          <w:kern w:val="0"/>
          <w:sz w:val="44"/>
          <w:szCs w:val="44"/>
        </w:rPr>
        <w:t>达拉特旗危险化学品</w:t>
      </w:r>
      <w:r>
        <w:rPr>
          <w:rFonts w:hint="eastAsia" w:ascii="Times New Roman" w:hAnsi="Times New Roman" w:eastAsia="方正小标宋简体" w:cs="Times New Roman"/>
          <w:kern w:val="0"/>
          <w:sz w:val="44"/>
          <w:szCs w:val="44"/>
        </w:rPr>
        <w:t>生产安全</w:t>
      </w:r>
      <w:r>
        <w:rPr>
          <w:rFonts w:ascii="Times New Roman" w:hAnsi="Times New Roman" w:eastAsia="方正小标宋简体" w:cs="Times New Roman"/>
          <w:kern w:val="0"/>
          <w:sz w:val="44"/>
          <w:szCs w:val="44"/>
        </w:rPr>
        <w:t>事故</w:t>
      </w:r>
    </w:p>
    <w:p>
      <w:pPr>
        <w:widowControl/>
        <w:spacing w:after="200" w:line="560" w:lineRule="exact"/>
        <w:jc w:val="center"/>
        <w:rPr>
          <w:rFonts w:ascii="Times New Roman" w:hAnsi="Times New Roman" w:eastAsia="方正小标宋简体" w:cs="Times New Roman"/>
          <w:kern w:val="0"/>
          <w:sz w:val="44"/>
          <w:szCs w:val="44"/>
        </w:rPr>
      </w:pPr>
      <w:r>
        <w:rPr>
          <w:rFonts w:ascii="Times New Roman" w:hAnsi="Times New Roman" w:eastAsia="方正小标宋简体" w:cs="Times New Roman"/>
          <w:kern w:val="0"/>
          <w:sz w:val="44"/>
          <w:szCs w:val="44"/>
        </w:rPr>
        <w:t>应急预案</w:t>
      </w:r>
    </w:p>
    <w:bookmarkEnd w:id="3"/>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widowControl/>
        <w:spacing w:after="200" w:line="560" w:lineRule="exact"/>
        <w:jc w:val="center"/>
        <w:rPr>
          <w:rFonts w:ascii="Times New Roman" w:hAnsi="Times New Roman" w:eastAsia="方正小标宋简体" w:cs="Times New Roman"/>
          <w:kern w:val="0"/>
          <w:sz w:val="44"/>
          <w:szCs w:val="44"/>
        </w:rPr>
        <w:sectPr>
          <w:footerReference r:id="rId3" w:type="default"/>
          <w:pgSz w:w="11906" w:h="16838"/>
          <w:pgMar w:top="1440" w:right="1800" w:bottom="1440" w:left="1800" w:header="851" w:footer="992" w:gutter="0"/>
          <w:cols w:space="425" w:num="1"/>
          <w:docGrid w:type="lines" w:linePitch="312" w:charSpace="0"/>
        </w:sectPr>
      </w:pPr>
    </w:p>
    <w:sdt>
      <w:sdtPr>
        <w:rPr>
          <w:rFonts w:ascii="Times New Roman" w:hAnsi="Times New Roman" w:eastAsia="仿宋_GB2312" w:cs="Times New Roman"/>
          <w:b/>
          <w:bCs/>
          <w:sz w:val="32"/>
          <w:szCs w:val="32"/>
          <w:lang w:val="zh-CN"/>
        </w:rPr>
        <w:id w:val="-887107364"/>
        <w:docPartObj>
          <w:docPartGallery w:val="Table of Contents"/>
          <w:docPartUnique/>
        </w:docPartObj>
      </w:sdtPr>
      <w:sdtEndPr>
        <w:rPr>
          <w:rFonts w:ascii="Times New Roman" w:hAnsi="Times New Roman" w:cs="Times New Roman" w:eastAsiaTheme="minorEastAsia"/>
          <w:b/>
          <w:bCs/>
          <w:sz w:val="21"/>
          <w:szCs w:val="22"/>
          <w:lang w:val="zh-CN"/>
        </w:rPr>
      </w:sdtEndPr>
      <w:sdtContent>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目  录</w:t>
          </w:r>
        </w:p>
        <w:p>
          <w:pPr>
            <w:pStyle w:val="10"/>
            <w:tabs>
              <w:tab w:val="right" w:leader="dot" w:pos="8296"/>
            </w:tabs>
            <w:rPr>
              <w:sz w:val="24"/>
              <w:szCs w:val="24"/>
            </w:rPr>
          </w:pPr>
          <w:r>
            <w:rPr>
              <w:rFonts w:ascii="Times New Roman" w:hAnsi="Times New Roman" w:eastAsia="仿宋_GB2312" w:cs="Times New Roman"/>
              <w:sz w:val="24"/>
              <w:szCs w:val="24"/>
            </w:rPr>
            <w:fldChar w:fldCharType="begin"/>
          </w:r>
          <w:r>
            <w:rPr>
              <w:rFonts w:ascii="Times New Roman" w:hAnsi="Times New Roman" w:eastAsia="仿宋_GB2312" w:cs="Times New Roman"/>
              <w:sz w:val="24"/>
              <w:szCs w:val="24"/>
            </w:rPr>
            <w:instrText xml:space="preserve"> TOC \o "1-3" \h \z \u </w:instrText>
          </w:r>
          <w:r>
            <w:rPr>
              <w:rFonts w:ascii="Times New Roman" w:hAnsi="Times New Roman" w:eastAsia="仿宋_GB2312" w:cs="Times New Roman"/>
              <w:sz w:val="24"/>
              <w:szCs w:val="24"/>
            </w:rPr>
            <w:fldChar w:fldCharType="separate"/>
          </w:r>
          <w:r>
            <w:fldChar w:fldCharType="begin"/>
          </w:r>
          <w:r>
            <w:instrText xml:space="preserve"> HYPERLINK \l "_Toc135994563" </w:instrText>
          </w:r>
          <w:r>
            <w:fldChar w:fldCharType="separate"/>
          </w:r>
          <w:r>
            <w:rPr>
              <w:rStyle w:val="15"/>
              <w:rFonts w:ascii="Times New Roman" w:hAnsi="Times New Roman" w:eastAsia="黑体" w:cs="Times New Roman"/>
              <w:color w:val="auto"/>
              <w:sz w:val="24"/>
              <w:szCs w:val="24"/>
            </w:rPr>
            <w:t>1总则</w:t>
          </w:r>
          <w:r>
            <w:rPr>
              <w:sz w:val="24"/>
              <w:szCs w:val="24"/>
            </w:rPr>
            <w:tab/>
          </w:r>
          <w:r>
            <w:rPr>
              <w:sz w:val="24"/>
              <w:szCs w:val="24"/>
            </w:rPr>
            <w:fldChar w:fldCharType="begin"/>
          </w:r>
          <w:r>
            <w:rPr>
              <w:sz w:val="24"/>
              <w:szCs w:val="24"/>
            </w:rPr>
            <w:instrText xml:space="preserve"> PAGEREF _Toc135994563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11"/>
            <w:tabs>
              <w:tab w:val="right" w:leader="dot" w:pos="8296"/>
            </w:tabs>
            <w:rPr>
              <w:sz w:val="24"/>
              <w:szCs w:val="24"/>
            </w:rPr>
          </w:pPr>
          <w:r>
            <w:fldChar w:fldCharType="begin"/>
          </w:r>
          <w:r>
            <w:instrText xml:space="preserve"> HYPERLINK \l "_Toc135994564" </w:instrText>
          </w:r>
          <w:r>
            <w:fldChar w:fldCharType="separate"/>
          </w:r>
          <w:r>
            <w:rPr>
              <w:rStyle w:val="15"/>
              <w:rFonts w:ascii="Times New Roman" w:hAnsi="Times New Roman" w:eastAsia="楷体"/>
              <w:color w:val="auto"/>
              <w:sz w:val="24"/>
              <w:szCs w:val="24"/>
            </w:rPr>
            <w:t>1.1编制目的</w:t>
          </w:r>
          <w:r>
            <w:rPr>
              <w:sz w:val="24"/>
              <w:szCs w:val="24"/>
            </w:rPr>
            <w:tab/>
          </w:r>
          <w:r>
            <w:rPr>
              <w:sz w:val="24"/>
              <w:szCs w:val="24"/>
            </w:rPr>
            <w:fldChar w:fldCharType="begin"/>
          </w:r>
          <w:r>
            <w:rPr>
              <w:sz w:val="24"/>
              <w:szCs w:val="24"/>
            </w:rPr>
            <w:instrText xml:space="preserve"> PAGEREF _Toc135994564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11"/>
            <w:tabs>
              <w:tab w:val="right" w:leader="dot" w:pos="8296"/>
            </w:tabs>
            <w:rPr>
              <w:sz w:val="24"/>
              <w:szCs w:val="24"/>
            </w:rPr>
          </w:pPr>
          <w:r>
            <w:fldChar w:fldCharType="begin"/>
          </w:r>
          <w:r>
            <w:instrText xml:space="preserve"> HYPERLINK \l "_Toc135994565" </w:instrText>
          </w:r>
          <w:r>
            <w:fldChar w:fldCharType="separate"/>
          </w:r>
          <w:r>
            <w:rPr>
              <w:rStyle w:val="15"/>
              <w:rFonts w:ascii="Times New Roman" w:hAnsi="Times New Roman" w:eastAsia="楷体"/>
              <w:color w:val="auto"/>
              <w:sz w:val="24"/>
              <w:szCs w:val="24"/>
            </w:rPr>
            <w:t>1.2编制依据</w:t>
          </w:r>
          <w:r>
            <w:rPr>
              <w:sz w:val="24"/>
              <w:szCs w:val="24"/>
            </w:rPr>
            <w:tab/>
          </w:r>
          <w:r>
            <w:rPr>
              <w:sz w:val="24"/>
              <w:szCs w:val="24"/>
            </w:rPr>
            <w:fldChar w:fldCharType="begin"/>
          </w:r>
          <w:r>
            <w:rPr>
              <w:sz w:val="24"/>
              <w:szCs w:val="24"/>
            </w:rPr>
            <w:instrText xml:space="preserve"> PAGEREF _Toc135994565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11"/>
            <w:tabs>
              <w:tab w:val="right" w:leader="dot" w:pos="8296"/>
            </w:tabs>
            <w:rPr>
              <w:sz w:val="24"/>
              <w:szCs w:val="24"/>
            </w:rPr>
          </w:pPr>
          <w:r>
            <w:fldChar w:fldCharType="begin"/>
          </w:r>
          <w:r>
            <w:instrText xml:space="preserve"> HYPERLINK \l "_Toc135994566" </w:instrText>
          </w:r>
          <w:r>
            <w:fldChar w:fldCharType="separate"/>
          </w:r>
          <w:r>
            <w:rPr>
              <w:rStyle w:val="15"/>
              <w:rFonts w:ascii="Times New Roman" w:hAnsi="Times New Roman" w:eastAsia="楷体"/>
              <w:color w:val="auto"/>
              <w:sz w:val="24"/>
              <w:szCs w:val="24"/>
            </w:rPr>
            <w:t>1.3适用范围</w:t>
          </w:r>
          <w:r>
            <w:rPr>
              <w:sz w:val="24"/>
              <w:szCs w:val="24"/>
            </w:rPr>
            <w:tab/>
          </w:r>
          <w:r>
            <w:rPr>
              <w:sz w:val="24"/>
              <w:szCs w:val="24"/>
            </w:rPr>
            <w:fldChar w:fldCharType="begin"/>
          </w:r>
          <w:r>
            <w:rPr>
              <w:sz w:val="24"/>
              <w:szCs w:val="24"/>
            </w:rPr>
            <w:instrText xml:space="preserve"> PAGEREF _Toc135994566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11"/>
            <w:tabs>
              <w:tab w:val="right" w:leader="dot" w:pos="8296"/>
            </w:tabs>
            <w:rPr>
              <w:sz w:val="24"/>
              <w:szCs w:val="24"/>
            </w:rPr>
          </w:pPr>
          <w:r>
            <w:fldChar w:fldCharType="begin"/>
          </w:r>
          <w:r>
            <w:instrText xml:space="preserve"> HYPERLINK \l "_Toc135994567" </w:instrText>
          </w:r>
          <w:r>
            <w:fldChar w:fldCharType="separate"/>
          </w:r>
          <w:r>
            <w:rPr>
              <w:rStyle w:val="15"/>
              <w:rFonts w:ascii="Times New Roman" w:hAnsi="Times New Roman" w:eastAsia="楷体"/>
              <w:color w:val="auto"/>
              <w:sz w:val="24"/>
              <w:szCs w:val="24"/>
            </w:rPr>
            <w:t>1.4工作原则</w:t>
          </w:r>
          <w:r>
            <w:rPr>
              <w:sz w:val="24"/>
              <w:szCs w:val="24"/>
            </w:rPr>
            <w:tab/>
          </w:r>
          <w:r>
            <w:rPr>
              <w:sz w:val="24"/>
              <w:szCs w:val="24"/>
            </w:rPr>
            <w:fldChar w:fldCharType="begin"/>
          </w:r>
          <w:r>
            <w:rPr>
              <w:sz w:val="24"/>
              <w:szCs w:val="24"/>
            </w:rPr>
            <w:instrText xml:space="preserve"> PAGEREF _Toc135994567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11"/>
            <w:tabs>
              <w:tab w:val="right" w:leader="dot" w:pos="8296"/>
            </w:tabs>
            <w:rPr>
              <w:sz w:val="24"/>
              <w:szCs w:val="24"/>
            </w:rPr>
          </w:pPr>
          <w:r>
            <w:fldChar w:fldCharType="begin"/>
          </w:r>
          <w:r>
            <w:instrText xml:space="preserve"> HYPERLINK \l "_Toc135994568" </w:instrText>
          </w:r>
          <w:r>
            <w:fldChar w:fldCharType="separate"/>
          </w:r>
          <w:r>
            <w:rPr>
              <w:rStyle w:val="15"/>
              <w:rFonts w:ascii="Times New Roman" w:hAnsi="Times New Roman" w:eastAsia="楷体"/>
              <w:color w:val="auto"/>
              <w:sz w:val="24"/>
              <w:szCs w:val="24"/>
            </w:rPr>
            <w:t>1.5事故分级</w:t>
          </w:r>
          <w:r>
            <w:rPr>
              <w:sz w:val="24"/>
              <w:szCs w:val="24"/>
            </w:rPr>
            <w:tab/>
          </w:r>
          <w:r>
            <w:rPr>
              <w:sz w:val="24"/>
              <w:szCs w:val="24"/>
            </w:rPr>
            <w:fldChar w:fldCharType="begin"/>
          </w:r>
          <w:r>
            <w:rPr>
              <w:sz w:val="24"/>
              <w:szCs w:val="24"/>
            </w:rPr>
            <w:instrText xml:space="preserve"> PAGEREF _Toc135994568 \h </w:instrText>
          </w:r>
          <w:r>
            <w:rPr>
              <w:sz w:val="24"/>
              <w:szCs w:val="24"/>
            </w:rPr>
            <w:fldChar w:fldCharType="separate"/>
          </w:r>
          <w:r>
            <w:rPr>
              <w:sz w:val="24"/>
              <w:szCs w:val="24"/>
            </w:rPr>
            <w:t>3</w:t>
          </w:r>
          <w:r>
            <w:rPr>
              <w:sz w:val="24"/>
              <w:szCs w:val="24"/>
            </w:rPr>
            <w:fldChar w:fldCharType="end"/>
          </w:r>
          <w:r>
            <w:rPr>
              <w:sz w:val="24"/>
              <w:szCs w:val="24"/>
            </w:rPr>
            <w:fldChar w:fldCharType="end"/>
          </w:r>
        </w:p>
        <w:p>
          <w:pPr>
            <w:pStyle w:val="11"/>
            <w:tabs>
              <w:tab w:val="right" w:leader="dot" w:pos="8296"/>
            </w:tabs>
            <w:rPr>
              <w:sz w:val="24"/>
              <w:szCs w:val="24"/>
            </w:rPr>
          </w:pPr>
          <w:r>
            <w:fldChar w:fldCharType="begin"/>
          </w:r>
          <w:r>
            <w:instrText xml:space="preserve"> HYPERLINK \l "_Toc135994569" </w:instrText>
          </w:r>
          <w:r>
            <w:fldChar w:fldCharType="separate"/>
          </w:r>
          <w:r>
            <w:rPr>
              <w:rStyle w:val="15"/>
              <w:rFonts w:ascii="Times New Roman" w:hAnsi="Times New Roman" w:eastAsia="楷体"/>
              <w:color w:val="auto"/>
              <w:sz w:val="24"/>
              <w:szCs w:val="24"/>
            </w:rPr>
            <w:t>1.6应急预案体系</w:t>
          </w:r>
          <w:r>
            <w:rPr>
              <w:sz w:val="24"/>
              <w:szCs w:val="24"/>
            </w:rPr>
            <w:tab/>
          </w:r>
          <w:r>
            <w:rPr>
              <w:sz w:val="24"/>
              <w:szCs w:val="24"/>
            </w:rPr>
            <w:fldChar w:fldCharType="begin"/>
          </w:r>
          <w:r>
            <w:rPr>
              <w:sz w:val="24"/>
              <w:szCs w:val="24"/>
            </w:rPr>
            <w:instrText xml:space="preserve"> PAGEREF _Toc135994569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0"/>
            <w:tabs>
              <w:tab w:val="right" w:leader="dot" w:pos="8296"/>
            </w:tabs>
            <w:rPr>
              <w:sz w:val="24"/>
              <w:szCs w:val="24"/>
            </w:rPr>
          </w:pPr>
          <w:r>
            <w:fldChar w:fldCharType="begin"/>
          </w:r>
          <w:r>
            <w:instrText xml:space="preserve"> HYPERLINK \l "_Toc135994570" </w:instrText>
          </w:r>
          <w:r>
            <w:fldChar w:fldCharType="separate"/>
          </w:r>
          <w:r>
            <w:rPr>
              <w:rStyle w:val="15"/>
              <w:rFonts w:ascii="Times New Roman" w:hAnsi="Times New Roman" w:eastAsia="黑体" w:cs="Times New Roman"/>
              <w:color w:val="auto"/>
              <w:sz w:val="24"/>
              <w:szCs w:val="24"/>
            </w:rPr>
            <w:t>2达拉特旗危险化学品风险分析</w:t>
          </w:r>
          <w:r>
            <w:rPr>
              <w:sz w:val="24"/>
              <w:szCs w:val="24"/>
            </w:rPr>
            <w:tab/>
          </w:r>
          <w:r>
            <w:rPr>
              <w:sz w:val="24"/>
              <w:szCs w:val="24"/>
            </w:rPr>
            <w:fldChar w:fldCharType="begin"/>
          </w:r>
          <w:r>
            <w:rPr>
              <w:sz w:val="24"/>
              <w:szCs w:val="24"/>
            </w:rPr>
            <w:instrText xml:space="preserve"> PAGEREF _Toc135994570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0"/>
            <w:tabs>
              <w:tab w:val="right" w:leader="dot" w:pos="8296"/>
            </w:tabs>
            <w:rPr>
              <w:sz w:val="24"/>
              <w:szCs w:val="24"/>
            </w:rPr>
          </w:pPr>
          <w:r>
            <w:fldChar w:fldCharType="begin"/>
          </w:r>
          <w:r>
            <w:instrText xml:space="preserve"> HYPERLINK \l "_Toc135994571" </w:instrText>
          </w:r>
          <w:r>
            <w:fldChar w:fldCharType="separate"/>
          </w:r>
          <w:r>
            <w:rPr>
              <w:rStyle w:val="15"/>
              <w:rFonts w:ascii="Times New Roman" w:hAnsi="Times New Roman" w:eastAsia="黑体" w:cs="Times New Roman"/>
              <w:color w:val="auto"/>
              <w:sz w:val="24"/>
              <w:szCs w:val="24"/>
            </w:rPr>
            <w:t>3组织机构与职责</w:t>
          </w:r>
          <w:r>
            <w:rPr>
              <w:sz w:val="24"/>
              <w:szCs w:val="24"/>
            </w:rPr>
            <w:tab/>
          </w:r>
          <w:r>
            <w:rPr>
              <w:sz w:val="24"/>
              <w:szCs w:val="24"/>
            </w:rPr>
            <w:fldChar w:fldCharType="begin"/>
          </w:r>
          <w:r>
            <w:rPr>
              <w:sz w:val="24"/>
              <w:szCs w:val="24"/>
            </w:rPr>
            <w:instrText xml:space="preserve"> PAGEREF _Toc135994571 \h </w:instrText>
          </w:r>
          <w:r>
            <w:rPr>
              <w:sz w:val="24"/>
              <w:szCs w:val="24"/>
            </w:rPr>
            <w:fldChar w:fldCharType="separate"/>
          </w:r>
          <w:r>
            <w:rPr>
              <w:sz w:val="24"/>
              <w:szCs w:val="24"/>
            </w:rPr>
            <w:t>4</w:t>
          </w:r>
          <w:r>
            <w:rPr>
              <w:sz w:val="24"/>
              <w:szCs w:val="24"/>
            </w:rPr>
            <w:fldChar w:fldCharType="end"/>
          </w:r>
          <w:r>
            <w:rPr>
              <w:sz w:val="24"/>
              <w:szCs w:val="24"/>
            </w:rPr>
            <w:fldChar w:fldCharType="end"/>
          </w:r>
        </w:p>
        <w:p>
          <w:pPr>
            <w:pStyle w:val="11"/>
            <w:tabs>
              <w:tab w:val="right" w:leader="dot" w:pos="8296"/>
            </w:tabs>
            <w:rPr>
              <w:sz w:val="24"/>
              <w:szCs w:val="24"/>
            </w:rPr>
          </w:pPr>
          <w:r>
            <w:fldChar w:fldCharType="begin"/>
          </w:r>
          <w:r>
            <w:instrText xml:space="preserve"> HYPERLINK \l "_Toc135994572" </w:instrText>
          </w:r>
          <w:r>
            <w:fldChar w:fldCharType="separate"/>
          </w:r>
          <w:r>
            <w:rPr>
              <w:rStyle w:val="15"/>
              <w:rFonts w:ascii="Times New Roman" w:hAnsi="Times New Roman" w:eastAsia="楷体"/>
              <w:color w:val="auto"/>
              <w:sz w:val="24"/>
              <w:szCs w:val="24"/>
            </w:rPr>
            <w:t>3.1应急指挥部及职责</w:t>
          </w:r>
          <w:r>
            <w:rPr>
              <w:sz w:val="24"/>
              <w:szCs w:val="24"/>
            </w:rPr>
            <w:tab/>
          </w:r>
          <w:r>
            <w:rPr>
              <w:sz w:val="24"/>
              <w:szCs w:val="24"/>
            </w:rPr>
            <w:fldChar w:fldCharType="begin"/>
          </w:r>
          <w:r>
            <w:rPr>
              <w:sz w:val="24"/>
              <w:szCs w:val="24"/>
            </w:rPr>
            <w:instrText xml:space="preserve"> PAGEREF _Toc135994572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11"/>
            <w:tabs>
              <w:tab w:val="right" w:leader="dot" w:pos="8296"/>
            </w:tabs>
            <w:rPr>
              <w:sz w:val="24"/>
              <w:szCs w:val="24"/>
            </w:rPr>
          </w:pPr>
          <w:r>
            <w:fldChar w:fldCharType="begin"/>
          </w:r>
          <w:r>
            <w:instrText xml:space="preserve"> HYPERLINK \l "_Toc135994573" </w:instrText>
          </w:r>
          <w:r>
            <w:fldChar w:fldCharType="separate"/>
          </w:r>
          <w:r>
            <w:rPr>
              <w:rStyle w:val="15"/>
              <w:rFonts w:ascii="Times New Roman" w:hAnsi="Times New Roman" w:eastAsia="楷体"/>
              <w:color w:val="auto"/>
              <w:sz w:val="24"/>
              <w:szCs w:val="24"/>
            </w:rPr>
            <w:t>3.2应急指挥部成员单位职责</w:t>
          </w:r>
          <w:r>
            <w:rPr>
              <w:sz w:val="24"/>
              <w:szCs w:val="24"/>
            </w:rPr>
            <w:tab/>
          </w:r>
          <w:r>
            <w:rPr>
              <w:sz w:val="24"/>
              <w:szCs w:val="24"/>
            </w:rPr>
            <w:fldChar w:fldCharType="begin"/>
          </w:r>
          <w:r>
            <w:rPr>
              <w:sz w:val="24"/>
              <w:szCs w:val="24"/>
            </w:rPr>
            <w:instrText xml:space="preserve"> PAGEREF _Toc135994573 \h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11"/>
            <w:tabs>
              <w:tab w:val="right" w:leader="dot" w:pos="8296"/>
            </w:tabs>
            <w:rPr>
              <w:sz w:val="24"/>
              <w:szCs w:val="24"/>
            </w:rPr>
          </w:pPr>
          <w:r>
            <w:fldChar w:fldCharType="begin"/>
          </w:r>
          <w:r>
            <w:instrText xml:space="preserve"> HYPERLINK \l "_Toc135994574" </w:instrText>
          </w:r>
          <w:r>
            <w:fldChar w:fldCharType="separate"/>
          </w:r>
          <w:r>
            <w:rPr>
              <w:rStyle w:val="15"/>
              <w:rFonts w:ascii="Times New Roman" w:hAnsi="Times New Roman" w:eastAsia="楷体"/>
              <w:color w:val="auto"/>
              <w:sz w:val="24"/>
              <w:szCs w:val="24"/>
            </w:rPr>
            <w:t>3.3现场指挥部</w:t>
          </w:r>
          <w:r>
            <w:rPr>
              <w:sz w:val="24"/>
              <w:szCs w:val="24"/>
            </w:rPr>
            <w:tab/>
          </w:r>
          <w:r>
            <w:rPr>
              <w:sz w:val="24"/>
              <w:szCs w:val="24"/>
            </w:rPr>
            <w:fldChar w:fldCharType="begin"/>
          </w:r>
          <w:r>
            <w:rPr>
              <w:sz w:val="24"/>
              <w:szCs w:val="24"/>
            </w:rPr>
            <w:instrText xml:space="preserve"> PAGEREF _Toc135994574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11"/>
            <w:tabs>
              <w:tab w:val="right" w:leader="dot" w:pos="8296"/>
            </w:tabs>
            <w:rPr>
              <w:sz w:val="24"/>
              <w:szCs w:val="24"/>
            </w:rPr>
          </w:pPr>
          <w:r>
            <w:fldChar w:fldCharType="begin"/>
          </w:r>
          <w:r>
            <w:instrText xml:space="preserve"> HYPERLINK \l "_Toc135994575" </w:instrText>
          </w:r>
          <w:r>
            <w:fldChar w:fldCharType="separate"/>
          </w:r>
          <w:r>
            <w:rPr>
              <w:rStyle w:val="15"/>
              <w:rFonts w:ascii="Times New Roman" w:hAnsi="Times New Roman" w:eastAsia="楷体"/>
              <w:color w:val="auto"/>
              <w:sz w:val="24"/>
              <w:szCs w:val="24"/>
            </w:rPr>
            <w:t>3.4专家组</w:t>
          </w:r>
          <w:r>
            <w:rPr>
              <w:sz w:val="24"/>
              <w:szCs w:val="24"/>
            </w:rPr>
            <w:tab/>
          </w:r>
          <w:r>
            <w:rPr>
              <w:sz w:val="24"/>
              <w:szCs w:val="24"/>
            </w:rPr>
            <w:fldChar w:fldCharType="begin"/>
          </w:r>
          <w:r>
            <w:rPr>
              <w:sz w:val="24"/>
              <w:szCs w:val="24"/>
            </w:rPr>
            <w:instrText xml:space="preserve"> PAGEREF _Toc135994575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10"/>
            <w:tabs>
              <w:tab w:val="right" w:leader="dot" w:pos="8296"/>
            </w:tabs>
            <w:rPr>
              <w:sz w:val="24"/>
              <w:szCs w:val="24"/>
            </w:rPr>
          </w:pPr>
          <w:r>
            <w:fldChar w:fldCharType="begin"/>
          </w:r>
          <w:r>
            <w:instrText xml:space="preserve"> HYPERLINK \l "_Toc135994576" </w:instrText>
          </w:r>
          <w:r>
            <w:fldChar w:fldCharType="separate"/>
          </w:r>
          <w:r>
            <w:rPr>
              <w:rStyle w:val="15"/>
              <w:rFonts w:ascii="Times New Roman" w:hAnsi="Times New Roman" w:eastAsia="黑体" w:cs="Times New Roman"/>
              <w:color w:val="auto"/>
              <w:sz w:val="24"/>
              <w:szCs w:val="24"/>
            </w:rPr>
            <w:t>4预防、监测与预警</w:t>
          </w:r>
          <w:r>
            <w:rPr>
              <w:sz w:val="24"/>
              <w:szCs w:val="24"/>
            </w:rPr>
            <w:tab/>
          </w:r>
          <w:r>
            <w:rPr>
              <w:sz w:val="24"/>
              <w:szCs w:val="24"/>
            </w:rPr>
            <w:fldChar w:fldCharType="begin"/>
          </w:r>
          <w:r>
            <w:rPr>
              <w:sz w:val="24"/>
              <w:szCs w:val="24"/>
            </w:rPr>
            <w:instrText xml:space="preserve"> PAGEREF _Toc135994576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11"/>
            <w:tabs>
              <w:tab w:val="right" w:leader="dot" w:pos="8296"/>
            </w:tabs>
            <w:rPr>
              <w:sz w:val="24"/>
              <w:szCs w:val="24"/>
            </w:rPr>
          </w:pPr>
          <w:r>
            <w:fldChar w:fldCharType="begin"/>
          </w:r>
          <w:r>
            <w:instrText xml:space="preserve"> HYPERLINK \l "_Toc135994577" </w:instrText>
          </w:r>
          <w:r>
            <w:fldChar w:fldCharType="separate"/>
          </w:r>
          <w:r>
            <w:rPr>
              <w:rStyle w:val="15"/>
              <w:rFonts w:ascii="Times New Roman" w:hAnsi="Times New Roman" w:eastAsia="楷体"/>
              <w:color w:val="auto"/>
              <w:sz w:val="24"/>
              <w:szCs w:val="24"/>
            </w:rPr>
            <w:t>4.1预防</w:t>
          </w:r>
          <w:r>
            <w:rPr>
              <w:sz w:val="24"/>
              <w:szCs w:val="24"/>
            </w:rPr>
            <w:tab/>
          </w:r>
          <w:r>
            <w:rPr>
              <w:sz w:val="24"/>
              <w:szCs w:val="24"/>
            </w:rPr>
            <w:fldChar w:fldCharType="begin"/>
          </w:r>
          <w:r>
            <w:rPr>
              <w:sz w:val="24"/>
              <w:szCs w:val="24"/>
            </w:rPr>
            <w:instrText xml:space="preserve"> PAGEREF _Toc135994577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11"/>
            <w:tabs>
              <w:tab w:val="right" w:leader="dot" w:pos="8296"/>
            </w:tabs>
            <w:rPr>
              <w:sz w:val="24"/>
              <w:szCs w:val="24"/>
            </w:rPr>
          </w:pPr>
          <w:r>
            <w:fldChar w:fldCharType="begin"/>
          </w:r>
          <w:r>
            <w:instrText xml:space="preserve"> HYPERLINK \l "_Toc135994578" </w:instrText>
          </w:r>
          <w:r>
            <w:fldChar w:fldCharType="separate"/>
          </w:r>
          <w:r>
            <w:rPr>
              <w:rStyle w:val="15"/>
              <w:rFonts w:ascii="Times New Roman" w:hAnsi="Times New Roman" w:eastAsia="楷体"/>
              <w:color w:val="auto"/>
              <w:sz w:val="24"/>
              <w:szCs w:val="24"/>
            </w:rPr>
            <w:t>4.2监测</w:t>
          </w:r>
          <w:r>
            <w:rPr>
              <w:sz w:val="24"/>
              <w:szCs w:val="24"/>
            </w:rPr>
            <w:tab/>
          </w:r>
          <w:r>
            <w:rPr>
              <w:sz w:val="24"/>
              <w:szCs w:val="24"/>
            </w:rPr>
            <w:fldChar w:fldCharType="begin"/>
          </w:r>
          <w:r>
            <w:rPr>
              <w:sz w:val="24"/>
              <w:szCs w:val="24"/>
            </w:rPr>
            <w:instrText xml:space="preserve"> PAGEREF _Toc135994578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11"/>
            <w:tabs>
              <w:tab w:val="right" w:leader="dot" w:pos="8296"/>
            </w:tabs>
            <w:rPr>
              <w:sz w:val="24"/>
              <w:szCs w:val="24"/>
            </w:rPr>
          </w:pPr>
          <w:r>
            <w:fldChar w:fldCharType="begin"/>
          </w:r>
          <w:r>
            <w:instrText xml:space="preserve"> HYPERLINK \l "_Toc135994579" </w:instrText>
          </w:r>
          <w:r>
            <w:fldChar w:fldCharType="separate"/>
          </w:r>
          <w:r>
            <w:rPr>
              <w:rStyle w:val="15"/>
              <w:rFonts w:ascii="Times New Roman" w:hAnsi="Times New Roman" w:eastAsia="楷体"/>
              <w:color w:val="auto"/>
              <w:sz w:val="24"/>
              <w:szCs w:val="24"/>
            </w:rPr>
            <w:t>4.3预警</w:t>
          </w:r>
          <w:r>
            <w:rPr>
              <w:sz w:val="24"/>
              <w:szCs w:val="24"/>
            </w:rPr>
            <w:tab/>
          </w:r>
          <w:r>
            <w:rPr>
              <w:sz w:val="24"/>
              <w:szCs w:val="24"/>
            </w:rPr>
            <w:fldChar w:fldCharType="begin"/>
          </w:r>
          <w:r>
            <w:rPr>
              <w:sz w:val="24"/>
              <w:szCs w:val="24"/>
            </w:rPr>
            <w:instrText xml:space="preserve"> PAGEREF _Toc135994579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10"/>
            <w:tabs>
              <w:tab w:val="right" w:leader="dot" w:pos="8296"/>
            </w:tabs>
            <w:rPr>
              <w:sz w:val="24"/>
              <w:szCs w:val="24"/>
            </w:rPr>
          </w:pPr>
          <w:r>
            <w:fldChar w:fldCharType="begin"/>
          </w:r>
          <w:r>
            <w:instrText xml:space="preserve"> HYPERLINK \l "_Toc135994580" </w:instrText>
          </w:r>
          <w:r>
            <w:fldChar w:fldCharType="separate"/>
          </w:r>
          <w:r>
            <w:rPr>
              <w:rStyle w:val="15"/>
              <w:rFonts w:ascii="Times New Roman" w:hAnsi="Times New Roman" w:eastAsia="黑体" w:cs="Times New Roman"/>
              <w:color w:val="auto"/>
              <w:sz w:val="24"/>
              <w:szCs w:val="24"/>
            </w:rPr>
            <w:t>5应急处置</w:t>
          </w:r>
          <w:r>
            <w:rPr>
              <w:sz w:val="24"/>
              <w:szCs w:val="24"/>
            </w:rPr>
            <w:tab/>
          </w:r>
          <w:r>
            <w:rPr>
              <w:sz w:val="24"/>
              <w:szCs w:val="24"/>
            </w:rPr>
            <w:fldChar w:fldCharType="begin"/>
          </w:r>
          <w:r>
            <w:rPr>
              <w:sz w:val="24"/>
              <w:szCs w:val="24"/>
            </w:rPr>
            <w:instrText xml:space="preserve"> PAGEREF _Toc135994580 \h </w:instrText>
          </w:r>
          <w:r>
            <w:rPr>
              <w:sz w:val="24"/>
              <w:szCs w:val="24"/>
            </w:rPr>
            <w:fldChar w:fldCharType="separate"/>
          </w:r>
          <w:r>
            <w:rPr>
              <w:sz w:val="24"/>
              <w:szCs w:val="24"/>
            </w:rPr>
            <w:t>12</w:t>
          </w:r>
          <w:r>
            <w:rPr>
              <w:sz w:val="24"/>
              <w:szCs w:val="24"/>
            </w:rPr>
            <w:fldChar w:fldCharType="end"/>
          </w:r>
          <w:r>
            <w:rPr>
              <w:sz w:val="24"/>
              <w:szCs w:val="24"/>
            </w:rPr>
            <w:fldChar w:fldCharType="end"/>
          </w:r>
        </w:p>
        <w:p>
          <w:pPr>
            <w:pStyle w:val="11"/>
            <w:tabs>
              <w:tab w:val="right" w:leader="dot" w:pos="8296"/>
            </w:tabs>
            <w:rPr>
              <w:sz w:val="24"/>
              <w:szCs w:val="24"/>
            </w:rPr>
          </w:pPr>
          <w:r>
            <w:fldChar w:fldCharType="begin"/>
          </w:r>
          <w:r>
            <w:instrText xml:space="preserve"> HYPERLINK \l "_Toc135994581" </w:instrText>
          </w:r>
          <w:r>
            <w:fldChar w:fldCharType="separate"/>
          </w:r>
          <w:r>
            <w:rPr>
              <w:rStyle w:val="15"/>
              <w:rFonts w:ascii="Times New Roman" w:hAnsi="Times New Roman" w:eastAsia="楷体"/>
              <w:color w:val="auto"/>
              <w:sz w:val="24"/>
              <w:szCs w:val="24"/>
            </w:rPr>
            <w:t>5.1信息报告</w:t>
          </w:r>
          <w:r>
            <w:rPr>
              <w:sz w:val="24"/>
              <w:szCs w:val="24"/>
            </w:rPr>
            <w:tab/>
          </w:r>
          <w:r>
            <w:rPr>
              <w:sz w:val="24"/>
              <w:szCs w:val="24"/>
            </w:rPr>
            <w:fldChar w:fldCharType="begin"/>
          </w:r>
          <w:r>
            <w:rPr>
              <w:sz w:val="24"/>
              <w:szCs w:val="24"/>
            </w:rPr>
            <w:instrText xml:space="preserve"> PAGEREF _Toc135994581 \h </w:instrText>
          </w:r>
          <w:r>
            <w:rPr>
              <w:sz w:val="24"/>
              <w:szCs w:val="24"/>
            </w:rPr>
            <w:fldChar w:fldCharType="separate"/>
          </w:r>
          <w:r>
            <w:rPr>
              <w:sz w:val="24"/>
              <w:szCs w:val="24"/>
            </w:rPr>
            <w:t>12</w:t>
          </w:r>
          <w:r>
            <w:rPr>
              <w:sz w:val="24"/>
              <w:szCs w:val="24"/>
            </w:rPr>
            <w:fldChar w:fldCharType="end"/>
          </w:r>
          <w:r>
            <w:rPr>
              <w:sz w:val="24"/>
              <w:szCs w:val="24"/>
            </w:rPr>
            <w:fldChar w:fldCharType="end"/>
          </w:r>
        </w:p>
        <w:p>
          <w:pPr>
            <w:pStyle w:val="11"/>
            <w:tabs>
              <w:tab w:val="right" w:leader="dot" w:pos="8296"/>
            </w:tabs>
            <w:rPr>
              <w:sz w:val="24"/>
              <w:szCs w:val="24"/>
            </w:rPr>
          </w:pPr>
          <w:r>
            <w:fldChar w:fldCharType="begin"/>
          </w:r>
          <w:r>
            <w:instrText xml:space="preserve"> HYPERLINK \l "_Toc135994582" </w:instrText>
          </w:r>
          <w:r>
            <w:fldChar w:fldCharType="separate"/>
          </w:r>
          <w:r>
            <w:rPr>
              <w:rStyle w:val="15"/>
              <w:rFonts w:ascii="Times New Roman" w:hAnsi="Times New Roman" w:eastAsia="楷体"/>
              <w:color w:val="auto"/>
              <w:sz w:val="24"/>
              <w:szCs w:val="24"/>
            </w:rPr>
            <w:t>5.2先期处置</w:t>
          </w:r>
          <w:r>
            <w:rPr>
              <w:sz w:val="24"/>
              <w:szCs w:val="24"/>
            </w:rPr>
            <w:tab/>
          </w:r>
          <w:r>
            <w:rPr>
              <w:sz w:val="24"/>
              <w:szCs w:val="24"/>
            </w:rPr>
            <w:fldChar w:fldCharType="begin"/>
          </w:r>
          <w:r>
            <w:rPr>
              <w:sz w:val="24"/>
              <w:szCs w:val="24"/>
            </w:rPr>
            <w:instrText xml:space="preserve"> PAGEREF _Toc135994582 \h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11"/>
            <w:tabs>
              <w:tab w:val="right" w:leader="dot" w:pos="8296"/>
            </w:tabs>
            <w:rPr>
              <w:sz w:val="24"/>
              <w:szCs w:val="24"/>
            </w:rPr>
          </w:pPr>
          <w:r>
            <w:fldChar w:fldCharType="begin"/>
          </w:r>
          <w:r>
            <w:instrText xml:space="preserve"> HYPERLINK \l "_Toc135994583" </w:instrText>
          </w:r>
          <w:r>
            <w:fldChar w:fldCharType="separate"/>
          </w:r>
          <w:r>
            <w:rPr>
              <w:rStyle w:val="15"/>
              <w:rFonts w:ascii="Times New Roman" w:hAnsi="Times New Roman" w:eastAsia="楷体"/>
              <w:color w:val="auto"/>
              <w:sz w:val="24"/>
              <w:szCs w:val="24"/>
            </w:rPr>
            <w:t>5.3分级响应</w:t>
          </w:r>
          <w:r>
            <w:rPr>
              <w:sz w:val="24"/>
              <w:szCs w:val="24"/>
            </w:rPr>
            <w:tab/>
          </w:r>
          <w:r>
            <w:rPr>
              <w:sz w:val="24"/>
              <w:szCs w:val="24"/>
            </w:rPr>
            <w:fldChar w:fldCharType="begin"/>
          </w:r>
          <w:r>
            <w:rPr>
              <w:sz w:val="24"/>
              <w:szCs w:val="24"/>
            </w:rPr>
            <w:instrText xml:space="preserve"> PAGEREF _Toc135994583 \h </w:instrText>
          </w:r>
          <w:r>
            <w:rPr>
              <w:sz w:val="24"/>
              <w:szCs w:val="24"/>
            </w:rPr>
            <w:fldChar w:fldCharType="separate"/>
          </w:r>
          <w:r>
            <w:rPr>
              <w:sz w:val="24"/>
              <w:szCs w:val="24"/>
            </w:rPr>
            <w:t>13</w:t>
          </w:r>
          <w:r>
            <w:rPr>
              <w:sz w:val="24"/>
              <w:szCs w:val="24"/>
            </w:rPr>
            <w:fldChar w:fldCharType="end"/>
          </w:r>
          <w:r>
            <w:rPr>
              <w:sz w:val="24"/>
              <w:szCs w:val="24"/>
            </w:rPr>
            <w:fldChar w:fldCharType="end"/>
          </w:r>
        </w:p>
        <w:p>
          <w:pPr>
            <w:pStyle w:val="11"/>
            <w:tabs>
              <w:tab w:val="right" w:leader="dot" w:pos="8296"/>
            </w:tabs>
            <w:rPr>
              <w:sz w:val="24"/>
              <w:szCs w:val="24"/>
            </w:rPr>
          </w:pPr>
          <w:r>
            <w:fldChar w:fldCharType="begin"/>
          </w:r>
          <w:r>
            <w:instrText xml:space="preserve"> HYPERLINK \l "_Toc135994584" </w:instrText>
          </w:r>
          <w:r>
            <w:fldChar w:fldCharType="separate"/>
          </w:r>
          <w:r>
            <w:rPr>
              <w:rStyle w:val="15"/>
              <w:rFonts w:ascii="Times New Roman" w:hAnsi="Times New Roman" w:eastAsia="楷体"/>
              <w:color w:val="auto"/>
              <w:sz w:val="24"/>
              <w:szCs w:val="24"/>
            </w:rPr>
            <w:t>5.4响应措施</w:t>
          </w:r>
          <w:r>
            <w:rPr>
              <w:sz w:val="24"/>
              <w:szCs w:val="24"/>
            </w:rPr>
            <w:tab/>
          </w:r>
          <w:r>
            <w:rPr>
              <w:sz w:val="24"/>
              <w:szCs w:val="24"/>
            </w:rPr>
            <w:fldChar w:fldCharType="begin"/>
          </w:r>
          <w:r>
            <w:rPr>
              <w:sz w:val="24"/>
              <w:szCs w:val="24"/>
            </w:rPr>
            <w:instrText xml:space="preserve"> PAGEREF _Toc135994584 \h </w:instrText>
          </w:r>
          <w:r>
            <w:rPr>
              <w:sz w:val="24"/>
              <w:szCs w:val="24"/>
            </w:rPr>
            <w:fldChar w:fldCharType="separate"/>
          </w:r>
          <w:r>
            <w:rPr>
              <w:sz w:val="24"/>
              <w:szCs w:val="24"/>
            </w:rPr>
            <w:t>15</w:t>
          </w:r>
          <w:r>
            <w:rPr>
              <w:sz w:val="24"/>
              <w:szCs w:val="24"/>
            </w:rPr>
            <w:fldChar w:fldCharType="end"/>
          </w:r>
          <w:r>
            <w:rPr>
              <w:sz w:val="24"/>
              <w:szCs w:val="24"/>
            </w:rPr>
            <w:fldChar w:fldCharType="end"/>
          </w:r>
        </w:p>
        <w:p>
          <w:pPr>
            <w:pStyle w:val="11"/>
            <w:tabs>
              <w:tab w:val="right" w:leader="dot" w:pos="8296"/>
            </w:tabs>
            <w:rPr>
              <w:sz w:val="24"/>
              <w:szCs w:val="24"/>
            </w:rPr>
          </w:pPr>
          <w:r>
            <w:fldChar w:fldCharType="begin"/>
          </w:r>
          <w:r>
            <w:instrText xml:space="preserve"> HYPERLINK \l "_Toc135994585" </w:instrText>
          </w:r>
          <w:r>
            <w:fldChar w:fldCharType="separate"/>
          </w:r>
          <w:r>
            <w:rPr>
              <w:rStyle w:val="15"/>
              <w:rFonts w:ascii="Times New Roman" w:hAnsi="Times New Roman" w:eastAsia="楷体"/>
              <w:color w:val="auto"/>
              <w:sz w:val="24"/>
              <w:szCs w:val="24"/>
            </w:rPr>
            <w:t>5.5事故现场处置要点</w:t>
          </w:r>
          <w:r>
            <w:rPr>
              <w:sz w:val="24"/>
              <w:szCs w:val="24"/>
            </w:rPr>
            <w:tab/>
          </w:r>
          <w:r>
            <w:rPr>
              <w:sz w:val="24"/>
              <w:szCs w:val="24"/>
            </w:rPr>
            <w:fldChar w:fldCharType="begin"/>
          </w:r>
          <w:r>
            <w:rPr>
              <w:sz w:val="24"/>
              <w:szCs w:val="24"/>
            </w:rPr>
            <w:instrText xml:space="preserve"> PAGEREF _Toc135994585 \h </w:instrText>
          </w:r>
          <w:r>
            <w:rPr>
              <w:sz w:val="24"/>
              <w:szCs w:val="24"/>
            </w:rPr>
            <w:fldChar w:fldCharType="separate"/>
          </w:r>
          <w:r>
            <w:rPr>
              <w:sz w:val="24"/>
              <w:szCs w:val="24"/>
            </w:rPr>
            <w:t>17</w:t>
          </w:r>
          <w:r>
            <w:rPr>
              <w:sz w:val="24"/>
              <w:szCs w:val="24"/>
            </w:rPr>
            <w:fldChar w:fldCharType="end"/>
          </w:r>
          <w:r>
            <w:rPr>
              <w:sz w:val="24"/>
              <w:szCs w:val="24"/>
            </w:rPr>
            <w:fldChar w:fldCharType="end"/>
          </w:r>
        </w:p>
        <w:p>
          <w:pPr>
            <w:pStyle w:val="11"/>
            <w:tabs>
              <w:tab w:val="right" w:leader="dot" w:pos="8296"/>
            </w:tabs>
            <w:rPr>
              <w:sz w:val="24"/>
              <w:szCs w:val="24"/>
            </w:rPr>
          </w:pPr>
          <w:r>
            <w:fldChar w:fldCharType="begin"/>
          </w:r>
          <w:r>
            <w:instrText xml:space="preserve"> HYPERLINK \l "_Toc135994586" </w:instrText>
          </w:r>
          <w:r>
            <w:fldChar w:fldCharType="separate"/>
          </w:r>
          <w:r>
            <w:rPr>
              <w:rStyle w:val="15"/>
              <w:rFonts w:ascii="Times New Roman" w:hAnsi="Times New Roman" w:eastAsia="楷体"/>
              <w:color w:val="auto"/>
              <w:sz w:val="24"/>
              <w:szCs w:val="24"/>
            </w:rPr>
            <w:t>5.6防护救护措施</w:t>
          </w:r>
          <w:r>
            <w:rPr>
              <w:sz w:val="24"/>
              <w:szCs w:val="24"/>
            </w:rPr>
            <w:tab/>
          </w:r>
          <w:r>
            <w:rPr>
              <w:sz w:val="24"/>
              <w:szCs w:val="24"/>
            </w:rPr>
            <w:fldChar w:fldCharType="begin"/>
          </w:r>
          <w:r>
            <w:rPr>
              <w:sz w:val="24"/>
              <w:szCs w:val="24"/>
            </w:rPr>
            <w:instrText xml:space="preserve"> PAGEREF _Toc135994586 \h </w:instrText>
          </w:r>
          <w:r>
            <w:rPr>
              <w:sz w:val="24"/>
              <w:szCs w:val="24"/>
            </w:rPr>
            <w:fldChar w:fldCharType="separate"/>
          </w:r>
          <w:r>
            <w:rPr>
              <w:sz w:val="24"/>
              <w:szCs w:val="24"/>
            </w:rPr>
            <w:t>20</w:t>
          </w:r>
          <w:r>
            <w:rPr>
              <w:sz w:val="24"/>
              <w:szCs w:val="24"/>
            </w:rPr>
            <w:fldChar w:fldCharType="end"/>
          </w:r>
          <w:r>
            <w:rPr>
              <w:sz w:val="24"/>
              <w:szCs w:val="24"/>
            </w:rPr>
            <w:fldChar w:fldCharType="end"/>
          </w:r>
        </w:p>
        <w:p>
          <w:pPr>
            <w:pStyle w:val="11"/>
            <w:tabs>
              <w:tab w:val="right" w:leader="dot" w:pos="8296"/>
            </w:tabs>
            <w:rPr>
              <w:sz w:val="24"/>
              <w:szCs w:val="24"/>
            </w:rPr>
          </w:pPr>
          <w:r>
            <w:fldChar w:fldCharType="begin"/>
          </w:r>
          <w:r>
            <w:instrText xml:space="preserve"> HYPERLINK \l "_Toc135994587" </w:instrText>
          </w:r>
          <w:r>
            <w:fldChar w:fldCharType="separate"/>
          </w:r>
          <w:r>
            <w:rPr>
              <w:rStyle w:val="15"/>
              <w:rFonts w:ascii="Times New Roman" w:hAnsi="Times New Roman" w:eastAsia="楷体"/>
              <w:color w:val="auto"/>
              <w:sz w:val="24"/>
              <w:szCs w:val="24"/>
            </w:rPr>
            <w:t>5.7信息发布和舆论引导</w:t>
          </w:r>
          <w:r>
            <w:rPr>
              <w:sz w:val="24"/>
              <w:szCs w:val="24"/>
            </w:rPr>
            <w:tab/>
          </w:r>
          <w:r>
            <w:rPr>
              <w:sz w:val="24"/>
              <w:szCs w:val="24"/>
            </w:rPr>
            <w:fldChar w:fldCharType="begin"/>
          </w:r>
          <w:r>
            <w:rPr>
              <w:sz w:val="24"/>
              <w:szCs w:val="24"/>
            </w:rPr>
            <w:instrText xml:space="preserve"> PAGEREF _Toc135994587 \h </w:instrText>
          </w:r>
          <w:r>
            <w:rPr>
              <w:sz w:val="24"/>
              <w:szCs w:val="24"/>
            </w:rPr>
            <w:fldChar w:fldCharType="separate"/>
          </w:r>
          <w:r>
            <w:rPr>
              <w:sz w:val="24"/>
              <w:szCs w:val="24"/>
            </w:rPr>
            <w:t>21</w:t>
          </w:r>
          <w:r>
            <w:rPr>
              <w:sz w:val="24"/>
              <w:szCs w:val="24"/>
            </w:rPr>
            <w:fldChar w:fldCharType="end"/>
          </w:r>
          <w:r>
            <w:rPr>
              <w:sz w:val="24"/>
              <w:szCs w:val="24"/>
            </w:rPr>
            <w:fldChar w:fldCharType="end"/>
          </w:r>
        </w:p>
        <w:p>
          <w:pPr>
            <w:pStyle w:val="11"/>
            <w:tabs>
              <w:tab w:val="right" w:leader="dot" w:pos="8296"/>
            </w:tabs>
            <w:rPr>
              <w:sz w:val="24"/>
              <w:szCs w:val="24"/>
            </w:rPr>
          </w:pPr>
          <w:r>
            <w:fldChar w:fldCharType="begin"/>
          </w:r>
          <w:r>
            <w:instrText xml:space="preserve"> HYPERLINK \l "_Toc135994588" </w:instrText>
          </w:r>
          <w:r>
            <w:fldChar w:fldCharType="separate"/>
          </w:r>
          <w:r>
            <w:rPr>
              <w:rStyle w:val="15"/>
              <w:rFonts w:ascii="Times New Roman" w:hAnsi="Times New Roman" w:eastAsia="楷体"/>
              <w:color w:val="auto"/>
              <w:sz w:val="24"/>
              <w:szCs w:val="24"/>
            </w:rPr>
            <w:t>5.8应急结束</w:t>
          </w:r>
          <w:r>
            <w:rPr>
              <w:sz w:val="24"/>
              <w:szCs w:val="24"/>
            </w:rPr>
            <w:tab/>
          </w:r>
          <w:r>
            <w:rPr>
              <w:sz w:val="24"/>
              <w:szCs w:val="24"/>
            </w:rPr>
            <w:fldChar w:fldCharType="begin"/>
          </w:r>
          <w:r>
            <w:rPr>
              <w:sz w:val="24"/>
              <w:szCs w:val="24"/>
            </w:rPr>
            <w:instrText xml:space="preserve"> PAGEREF _Toc135994588 \h </w:instrText>
          </w:r>
          <w:r>
            <w:rPr>
              <w:sz w:val="24"/>
              <w:szCs w:val="24"/>
            </w:rPr>
            <w:fldChar w:fldCharType="separate"/>
          </w:r>
          <w:r>
            <w:rPr>
              <w:sz w:val="24"/>
              <w:szCs w:val="24"/>
            </w:rPr>
            <w:t>22</w:t>
          </w:r>
          <w:r>
            <w:rPr>
              <w:sz w:val="24"/>
              <w:szCs w:val="24"/>
            </w:rPr>
            <w:fldChar w:fldCharType="end"/>
          </w:r>
          <w:r>
            <w:rPr>
              <w:sz w:val="24"/>
              <w:szCs w:val="24"/>
            </w:rPr>
            <w:fldChar w:fldCharType="end"/>
          </w:r>
        </w:p>
        <w:p>
          <w:pPr>
            <w:pStyle w:val="10"/>
            <w:tabs>
              <w:tab w:val="right" w:leader="dot" w:pos="8296"/>
            </w:tabs>
            <w:rPr>
              <w:sz w:val="24"/>
              <w:szCs w:val="24"/>
            </w:rPr>
          </w:pPr>
          <w:r>
            <w:fldChar w:fldCharType="begin"/>
          </w:r>
          <w:r>
            <w:instrText xml:space="preserve"> HYPERLINK \l "_Toc135994589" </w:instrText>
          </w:r>
          <w:r>
            <w:fldChar w:fldCharType="separate"/>
          </w:r>
          <w:r>
            <w:rPr>
              <w:rStyle w:val="15"/>
              <w:rFonts w:ascii="Times New Roman" w:hAnsi="Times New Roman" w:eastAsia="黑体" w:cs="Times New Roman"/>
              <w:color w:val="auto"/>
              <w:sz w:val="24"/>
              <w:szCs w:val="24"/>
            </w:rPr>
            <w:t>6后期处置</w:t>
          </w:r>
          <w:r>
            <w:rPr>
              <w:sz w:val="24"/>
              <w:szCs w:val="24"/>
            </w:rPr>
            <w:tab/>
          </w:r>
          <w:r>
            <w:rPr>
              <w:sz w:val="24"/>
              <w:szCs w:val="24"/>
            </w:rPr>
            <w:fldChar w:fldCharType="begin"/>
          </w:r>
          <w:r>
            <w:rPr>
              <w:sz w:val="24"/>
              <w:szCs w:val="24"/>
            </w:rPr>
            <w:instrText xml:space="preserve"> PAGEREF _Toc135994589 \h </w:instrText>
          </w:r>
          <w:r>
            <w:rPr>
              <w:sz w:val="24"/>
              <w:szCs w:val="24"/>
            </w:rPr>
            <w:fldChar w:fldCharType="separate"/>
          </w:r>
          <w:r>
            <w:rPr>
              <w:sz w:val="24"/>
              <w:szCs w:val="24"/>
            </w:rPr>
            <w:t>22</w:t>
          </w:r>
          <w:r>
            <w:rPr>
              <w:sz w:val="24"/>
              <w:szCs w:val="24"/>
            </w:rPr>
            <w:fldChar w:fldCharType="end"/>
          </w:r>
          <w:r>
            <w:rPr>
              <w:sz w:val="24"/>
              <w:szCs w:val="24"/>
            </w:rPr>
            <w:fldChar w:fldCharType="end"/>
          </w:r>
        </w:p>
        <w:p>
          <w:pPr>
            <w:pStyle w:val="11"/>
            <w:tabs>
              <w:tab w:val="right" w:leader="dot" w:pos="8296"/>
            </w:tabs>
            <w:rPr>
              <w:sz w:val="24"/>
              <w:szCs w:val="24"/>
            </w:rPr>
          </w:pPr>
          <w:r>
            <w:fldChar w:fldCharType="begin"/>
          </w:r>
          <w:r>
            <w:instrText xml:space="preserve"> HYPERLINK \l "_Toc135994590" </w:instrText>
          </w:r>
          <w:r>
            <w:fldChar w:fldCharType="separate"/>
          </w:r>
          <w:r>
            <w:rPr>
              <w:rStyle w:val="15"/>
              <w:rFonts w:ascii="Times New Roman" w:hAnsi="Times New Roman" w:eastAsia="楷体"/>
              <w:color w:val="auto"/>
              <w:sz w:val="24"/>
              <w:szCs w:val="24"/>
            </w:rPr>
            <w:t>6.1善后处置</w:t>
          </w:r>
          <w:r>
            <w:rPr>
              <w:sz w:val="24"/>
              <w:szCs w:val="24"/>
            </w:rPr>
            <w:tab/>
          </w:r>
          <w:r>
            <w:rPr>
              <w:sz w:val="24"/>
              <w:szCs w:val="24"/>
            </w:rPr>
            <w:fldChar w:fldCharType="begin"/>
          </w:r>
          <w:r>
            <w:rPr>
              <w:sz w:val="24"/>
              <w:szCs w:val="24"/>
            </w:rPr>
            <w:instrText xml:space="preserve"> PAGEREF _Toc135994590 \h </w:instrText>
          </w:r>
          <w:r>
            <w:rPr>
              <w:sz w:val="24"/>
              <w:szCs w:val="24"/>
            </w:rPr>
            <w:fldChar w:fldCharType="separate"/>
          </w:r>
          <w:r>
            <w:rPr>
              <w:sz w:val="24"/>
              <w:szCs w:val="24"/>
            </w:rPr>
            <w:t>22</w:t>
          </w:r>
          <w:r>
            <w:rPr>
              <w:sz w:val="24"/>
              <w:szCs w:val="24"/>
            </w:rPr>
            <w:fldChar w:fldCharType="end"/>
          </w:r>
          <w:r>
            <w:rPr>
              <w:sz w:val="24"/>
              <w:szCs w:val="24"/>
            </w:rPr>
            <w:fldChar w:fldCharType="end"/>
          </w:r>
        </w:p>
        <w:p>
          <w:pPr>
            <w:pStyle w:val="11"/>
            <w:tabs>
              <w:tab w:val="right" w:leader="dot" w:pos="8296"/>
            </w:tabs>
            <w:rPr>
              <w:sz w:val="24"/>
              <w:szCs w:val="24"/>
            </w:rPr>
          </w:pPr>
          <w:r>
            <w:fldChar w:fldCharType="begin"/>
          </w:r>
          <w:r>
            <w:instrText xml:space="preserve"> HYPERLINK \l "_Toc135994591" </w:instrText>
          </w:r>
          <w:r>
            <w:fldChar w:fldCharType="separate"/>
          </w:r>
          <w:r>
            <w:rPr>
              <w:rStyle w:val="15"/>
              <w:rFonts w:ascii="Times New Roman" w:hAnsi="Times New Roman" w:eastAsia="楷体"/>
              <w:color w:val="auto"/>
              <w:sz w:val="24"/>
              <w:szCs w:val="24"/>
            </w:rPr>
            <w:t>6.2保险理赔</w:t>
          </w:r>
          <w:r>
            <w:rPr>
              <w:sz w:val="24"/>
              <w:szCs w:val="24"/>
            </w:rPr>
            <w:tab/>
          </w:r>
          <w:r>
            <w:rPr>
              <w:sz w:val="24"/>
              <w:szCs w:val="24"/>
            </w:rPr>
            <w:fldChar w:fldCharType="begin"/>
          </w:r>
          <w:r>
            <w:rPr>
              <w:sz w:val="24"/>
              <w:szCs w:val="24"/>
            </w:rPr>
            <w:instrText xml:space="preserve"> PAGEREF _Toc135994591 \h </w:instrText>
          </w:r>
          <w:r>
            <w:rPr>
              <w:sz w:val="24"/>
              <w:szCs w:val="24"/>
            </w:rPr>
            <w:fldChar w:fldCharType="separate"/>
          </w:r>
          <w:r>
            <w:rPr>
              <w:sz w:val="24"/>
              <w:szCs w:val="24"/>
            </w:rPr>
            <w:t>22</w:t>
          </w:r>
          <w:r>
            <w:rPr>
              <w:sz w:val="24"/>
              <w:szCs w:val="24"/>
            </w:rPr>
            <w:fldChar w:fldCharType="end"/>
          </w:r>
          <w:r>
            <w:rPr>
              <w:sz w:val="24"/>
              <w:szCs w:val="24"/>
            </w:rPr>
            <w:fldChar w:fldCharType="end"/>
          </w:r>
        </w:p>
        <w:p>
          <w:pPr>
            <w:pStyle w:val="11"/>
            <w:tabs>
              <w:tab w:val="right" w:leader="dot" w:pos="8296"/>
            </w:tabs>
            <w:rPr>
              <w:sz w:val="24"/>
              <w:szCs w:val="24"/>
            </w:rPr>
          </w:pPr>
          <w:r>
            <w:fldChar w:fldCharType="begin"/>
          </w:r>
          <w:r>
            <w:instrText xml:space="preserve"> HYPERLINK \l "_Toc135994592" </w:instrText>
          </w:r>
          <w:r>
            <w:fldChar w:fldCharType="separate"/>
          </w:r>
          <w:r>
            <w:rPr>
              <w:rStyle w:val="15"/>
              <w:rFonts w:ascii="Times New Roman" w:hAnsi="Times New Roman" w:eastAsia="楷体"/>
              <w:color w:val="auto"/>
              <w:sz w:val="24"/>
              <w:szCs w:val="24"/>
            </w:rPr>
            <w:t>6.3调查评估</w:t>
          </w:r>
          <w:r>
            <w:rPr>
              <w:sz w:val="24"/>
              <w:szCs w:val="24"/>
            </w:rPr>
            <w:tab/>
          </w:r>
          <w:r>
            <w:rPr>
              <w:sz w:val="24"/>
              <w:szCs w:val="24"/>
            </w:rPr>
            <w:fldChar w:fldCharType="begin"/>
          </w:r>
          <w:r>
            <w:rPr>
              <w:sz w:val="24"/>
              <w:szCs w:val="24"/>
            </w:rPr>
            <w:instrText xml:space="preserve"> PAGEREF _Toc135994592 \h </w:instrText>
          </w:r>
          <w:r>
            <w:rPr>
              <w:sz w:val="24"/>
              <w:szCs w:val="24"/>
            </w:rPr>
            <w:fldChar w:fldCharType="separate"/>
          </w:r>
          <w:r>
            <w:rPr>
              <w:sz w:val="24"/>
              <w:szCs w:val="24"/>
            </w:rPr>
            <w:t>23</w:t>
          </w:r>
          <w:r>
            <w:rPr>
              <w:sz w:val="24"/>
              <w:szCs w:val="24"/>
            </w:rPr>
            <w:fldChar w:fldCharType="end"/>
          </w:r>
          <w:r>
            <w:rPr>
              <w:sz w:val="24"/>
              <w:szCs w:val="24"/>
            </w:rPr>
            <w:fldChar w:fldCharType="end"/>
          </w:r>
        </w:p>
        <w:p>
          <w:pPr>
            <w:pStyle w:val="11"/>
            <w:tabs>
              <w:tab w:val="right" w:leader="dot" w:pos="8296"/>
            </w:tabs>
            <w:rPr>
              <w:sz w:val="24"/>
              <w:szCs w:val="24"/>
            </w:rPr>
          </w:pPr>
          <w:r>
            <w:fldChar w:fldCharType="begin"/>
          </w:r>
          <w:r>
            <w:instrText xml:space="preserve"> HYPERLINK \l "_Toc135994593" </w:instrText>
          </w:r>
          <w:r>
            <w:fldChar w:fldCharType="separate"/>
          </w:r>
          <w:r>
            <w:rPr>
              <w:rStyle w:val="15"/>
              <w:rFonts w:ascii="Times New Roman" w:hAnsi="Times New Roman" w:eastAsia="楷体"/>
              <w:color w:val="auto"/>
              <w:sz w:val="24"/>
              <w:szCs w:val="24"/>
            </w:rPr>
            <w:t>6.4奖励和责任</w:t>
          </w:r>
          <w:r>
            <w:rPr>
              <w:sz w:val="24"/>
              <w:szCs w:val="24"/>
            </w:rPr>
            <w:tab/>
          </w:r>
          <w:r>
            <w:rPr>
              <w:sz w:val="24"/>
              <w:szCs w:val="24"/>
            </w:rPr>
            <w:fldChar w:fldCharType="begin"/>
          </w:r>
          <w:r>
            <w:rPr>
              <w:sz w:val="24"/>
              <w:szCs w:val="24"/>
            </w:rPr>
            <w:instrText xml:space="preserve"> PAGEREF _Toc135994593 \h </w:instrText>
          </w:r>
          <w:r>
            <w:rPr>
              <w:sz w:val="24"/>
              <w:szCs w:val="24"/>
            </w:rPr>
            <w:fldChar w:fldCharType="separate"/>
          </w:r>
          <w:r>
            <w:rPr>
              <w:sz w:val="24"/>
              <w:szCs w:val="24"/>
            </w:rPr>
            <w:t>23</w:t>
          </w:r>
          <w:r>
            <w:rPr>
              <w:sz w:val="24"/>
              <w:szCs w:val="24"/>
            </w:rPr>
            <w:fldChar w:fldCharType="end"/>
          </w:r>
          <w:r>
            <w:rPr>
              <w:sz w:val="24"/>
              <w:szCs w:val="24"/>
            </w:rPr>
            <w:fldChar w:fldCharType="end"/>
          </w:r>
        </w:p>
        <w:p>
          <w:pPr>
            <w:pStyle w:val="10"/>
            <w:tabs>
              <w:tab w:val="right" w:leader="dot" w:pos="8296"/>
            </w:tabs>
            <w:rPr>
              <w:sz w:val="24"/>
              <w:szCs w:val="24"/>
            </w:rPr>
          </w:pPr>
          <w:r>
            <w:fldChar w:fldCharType="begin"/>
          </w:r>
          <w:r>
            <w:instrText xml:space="preserve"> HYPERLINK \l "_Toc135994594" </w:instrText>
          </w:r>
          <w:r>
            <w:fldChar w:fldCharType="separate"/>
          </w:r>
          <w:r>
            <w:rPr>
              <w:rStyle w:val="15"/>
              <w:rFonts w:ascii="Times New Roman" w:hAnsi="Times New Roman" w:eastAsia="黑体" w:cs="Times New Roman"/>
              <w:color w:val="auto"/>
              <w:sz w:val="24"/>
              <w:szCs w:val="24"/>
            </w:rPr>
            <w:t>7应急保障</w:t>
          </w:r>
          <w:r>
            <w:rPr>
              <w:sz w:val="24"/>
              <w:szCs w:val="24"/>
            </w:rPr>
            <w:tab/>
          </w:r>
          <w:r>
            <w:rPr>
              <w:sz w:val="24"/>
              <w:szCs w:val="24"/>
            </w:rPr>
            <w:fldChar w:fldCharType="begin"/>
          </w:r>
          <w:r>
            <w:rPr>
              <w:sz w:val="24"/>
              <w:szCs w:val="24"/>
            </w:rPr>
            <w:instrText xml:space="preserve"> PAGEREF _Toc135994594 \h </w:instrText>
          </w:r>
          <w:r>
            <w:rPr>
              <w:sz w:val="24"/>
              <w:szCs w:val="24"/>
            </w:rPr>
            <w:fldChar w:fldCharType="separate"/>
          </w:r>
          <w:r>
            <w:rPr>
              <w:sz w:val="24"/>
              <w:szCs w:val="24"/>
            </w:rPr>
            <w:t>23</w:t>
          </w:r>
          <w:r>
            <w:rPr>
              <w:sz w:val="24"/>
              <w:szCs w:val="24"/>
            </w:rPr>
            <w:fldChar w:fldCharType="end"/>
          </w:r>
          <w:r>
            <w:rPr>
              <w:sz w:val="24"/>
              <w:szCs w:val="24"/>
            </w:rPr>
            <w:fldChar w:fldCharType="end"/>
          </w:r>
        </w:p>
        <w:p>
          <w:pPr>
            <w:pStyle w:val="11"/>
            <w:tabs>
              <w:tab w:val="right" w:leader="dot" w:pos="8296"/>
            </w:tabs>
            <w:rPr>
              <w:sz w:val="24"/>
              <w:szCs w:val="24"/>
            </w:rPr>
          </w:pPr>
          <w:r>
            <w:fldChar w:fldCharType="begin"/>
          </w:r>
          <w:r>
            <w:instrText xml:space="preserve"> HYPERLINK \l "_Toc135994595" </w:instrText>
          </w:r>
          <w:r>
            <w:fldChar w:fldCharType="separate"/>
          </w:r>
          <w:r>
            <w:rPr>
              <w:rStyle w:val="15"/>
              <w:rFonts w:ascii="Times New Roman" w:hAnsi="Times New Roman" w:eastAsia="楷体"/>
              <w:color w:val="auto"/>
              <w:sz w:val="24"/>
              <w:szCs w:val="24"/>
            </w:rPr>
            <w:t>7.1应急队伍保障</w:t>
          </w:r>
          <w:r>
            <w:rPr>
              <w:sz w:val="24"/>
              <w:szCs w:val="24"/>
            </w:rPr>
            <w:tab/>
          </w:r>
          <w:r>
            <w:rPr>
              <w:sz w:val="24"/>
              <w:szCs w:val="24"/>
            </w:rPr>
            <w:fldChar w:fldCharType="begin"/>
          </w:r>
          <w:r>
            <w:rPr>
              <w:sz w:val="24"/>
              <w:szCs w:val="24"/>
            </w:rPr>
            <w:instrText xml:space="preserve"> PAGEREF _Toc135994595 \h </w:instrText>
          </w:r>
          <w:r>
            <w:rPr>
              <w:sz w:val="24"/>
              <w:szCs w:val="24"/>
            </w:rPr>
            <w:fldChar w:fldCharType="separate"/>
          </w:r>
          <w:r>
            <w:rPr>
              <w:sz w:val="24"/>
              <w:szCs w:val="24"/>
            </w:rPr>
            <w:t>23</w:t>
          </w:r>
          <w:r>
            <w:rPr>
              <w:sz w:val="24"/>
              <w:szCs w:val="24"/>
            </w:rPr>
            <w:fldChar w:fldCharType="end"/>
          </w:r>
          <w:r>
            <w:rPr>
              <w:sz w:val="24"/>
              <w:szCs w:val="24"/>
            </w:rPr>
            <w:fldChar w:fldCharType="end"/>
          </w:r>
        </w:p>
        <w:p>
          <w:pPr>
            <w:pStyle w:val="11"/>
            <w:tabs>
              <w:tab w:val="right" w:leader="dot" w:pos="8296"/>
            </w:tabs>
            <w:rPr>
              <w:sz w:val="24"/>
              <w:szCs w:val="24"/>
            </w:rPr>
          </w:pPr>
          <w:r>
            <w:fldChar w:fldCharType="begin"/>
          </w:r>
          <w:r>
            <w:instrText xml:space="preserve"> HYPERLINK \l "_Toc135994596" </w:instrText>
          </w:r>
          <w:r>
            <w:fldChar w:fldCharType="separate"/>
          </w:r>
          <w:r>
            <w:rPr>
              <w:rStyle w:val="15"/>
              <w:rFonts w:ascii="Times New Roman" w:hAnsi="Times New Roman" w:eastAsia="楷体"/>
              <w:color w:val="auto"/>
              <w:sz w:val="24"/>
              <w:szCs w:val="24"/>
            </w:rPr>
            <w:t>7.2物资装备保障</w:t>
          </w:r>
          <w:r>
            <w:rPr>
              <w:sz w:val="24"/>
              <w:szCs w:val="24"/>
            </w:rPr>
            <w:tab/>
          </w:r>
          <w:r>
            <w:rPr>
              <w:sz w:val="24"/>
              <w:szCs w:val="24"/>
            </w:rPr>
            <w:fldChar w:fldCharType="begin"/>
          </w:r>
          <w:r>
            <w:rPr>
              <w:sz w:val="24"/>
              <w:szCs w:val="24"/>
            </w:rPr>
            <w:instrText xml:space="preserve"> PAGEREF _Toc135994596 \h </w:instrText>
          </w:r>
          <w:r>
            <w:rPr>
              <w:sz w:val="24"/>
              <w:szCs w:val="24"/>
            </w:rPr>
            <w:fldChar w:fldCharType="separate"/>
          </w:r>
          <w:r>
            <w:rPr>
              <w:sz w:val="24"/>
              <w:szCs w:val="24"/>
            </w:rPr>
            <w:t>24</w:t>
          </w:r>
          <w:r>
            <w:rPr>
              <w:sz w:val="24"/>
              <w:szCs w:val="24"/>
            </w:rPr>
            <w:fldChar w:fldCharType="end"/>
          </w:r>
          <w:r>
            <w:rPr>
              <w:sz w:val="24"/>
              <w:szCs w:val="24"/>
            </w:rPr>
            <w:fldChar w:fldCharType="end"/>
          </w:r>
        </w:p>
        <w:p>
          <w:pPr>
            <w:pStyle w:val="11"/>
            <w:tabs>
              <w:tab w:val="right" w:leader="dot" w:pos="8296"/>
            </w:tabs>
            <w:rPr>
              <w:sz w:val="24"/>
              <w:szCs w:val="24"/>
            </w:rPr>
          </w:pPr>
          <w:r>
            <w:fldChar w:fldCharType="begin"/>
          </w:r>
          <w:r>
            <w:instrText xml:space="preserve"> HYPERLINK \l "_Toc135994597" </w:instrText>
          </w:r>
          <w:r>
            <w:fldChar w:fldCharType="separate"/>
          </w:r>
          <w:r>
            <w:rPr>
              <w:rStyle w:val="15"/>
              <w:rFonts w:ascii="Times New Roman" w:hAnsi="Times New Roman" w:eastAsia="楷体"/>
              <w:color w:val="auto"/>
              <w:sz w:val="24"/>
              <w:szCs w:val="24"/>
            </w:rPr>
            <w:t>7.3治安和交通运输保障</w:t>
          </w:r>
          <w:r>
            <w:rPr>
              <w:sz w:val="24"/>
              <w:szCs w:val="24"/>
            </w:rPr>
            <w:tab/>
          </w:r>
          <w:r>
            <w:rPr>
              <w:sz w:val="24"/>
              <w:szCs w:val="24"/>
            </w:rPr>
            <w:fldChar w:fldCharType="begin"/>
          </w:r>
          <w:r>
            <w:rPr>
              <w:sz w:val="24"/>
              <w:szCs w:val="24"/>
            </w:rPr>
            <w:instrText xml:space="preserve"> PAGEREF _Toc135994597 \h </w:instrText>
          </w:r>
          <w:r>
            <w:rPr>
              <w:sz w:val="24"/>
              <w:szCs w:val="24"/>
            </w:rPr>
            <w:fldChar w:fldCharType="separate"/>
          </w:r>
          <w:r>
            <w:rPr>
              <w:sz w:val="24"/>
              <w:szCs w:val="24"/>
            </w:rPr>
            <w:t>24</w:t>
          </w:r>
          <w:r>
            <w:rPr>
              <w:sz w:val="24"/>
              <w:szCs w:val="24"/>
            </w:rPr>
            <w:fldChar w:fldCharType="end"/>
          </w:r>
          <w:r>
            <w:rPr>
              <w:sz w:val="24"/>
              <w:szCs w:val="24"/>
            </w:rPr>
            <w:fldChar w:fldCharType="end"/>
          </w:r>
        </w:p>
        <w:p>
          <w:pPr>
            <w:pStyle w:val="11"/>
            <w:tabs>
              <w:tab w:val="right" w:leader="dot" w:pos="8296"/>
            </w:tabs>
            <w:rPr>
              <w:sz w:val="24"/>
              <w:szCs w:val="24"/>
            </w:rPr>
          </w:pPr>
          <w:r>
            <w:fldChar w:fldCharType="begin"/>
          </w:r>
          <w:r>
            <w:instrText xml:space="preserve"> HYPERLINK \l "_Toc135994598" </w:instrText>
          </w:r>
          <w:r>
            <w:fldChar w:fldCharType="separate"/>
          </w:r>
          <w:r>
            <w:rPr>
              <w:rStyle w:val="15"/>
              <w:rFonts w:ascii="Times New Roman" w:hAnsi="Times New Roman" w:eastAsia="楷体"/>
              <w:color w:val="auto"/>
              <w:sz w:val="24"/>
              <w:szCs w:val="24"/>
            </w:rPr>
            <w:t>7.4信息与</w:t>
          </w:r>
          <w:r>
            <w:rPr>
              <w:rStyle w:val="15"/>
              <w:rFonts w:hint="eastAsia" w:ascii="Times New Roman" w:hAnsi="Times New Roman" w:eastAsia="楷体"/>
              <w:color w:val="auto"/>
              <w:sz w:val="24"/>
              <w:szCs w:val="24"/>
            </w:rPr>
            <w:t>通信保障</w:t>
          </w:r>
          <w:r>
            <w:rPr>
              <w:sz w:val="24"/>
              <w:szCs w:val="24"/>
            </w:rPr>
            <w:tab/>
          </w:r>
          <w:r>
            <w:rPr>
              <w:sz w:val="24"/>
              <w:szCs w:val="24"/>
            </w:rPr>
            <w:fldChar w:fldCharType="begin"/>
          </w:r>
          <w:r>
            <w:rPr>
              <w:sz w:val="24"/>
              <w:szCs w:val="24"/>
            </w:rPr>
            <w:instrText xml:space="preserve"> PAGEREF _Toc135994598 \h </w:instrText>
          </w:r>
          <w:r>
            <w:rPr>
              <w:sz w:val="24"/>
              <w:szCs w:val="24"/>
            </w:rPr>
            <w:fldChar w:fldCharType="separate"/>
          </w:r>
          <w:r>
            <w:rPr>
              <w:sz w:val="24"/>
              <w:szCs w:val="24"/>
            </w:rPr>
            <w:t>24</w:t>
          </w:r>
          <w:r>
            <w:rPr>
              <w:sz w:val="24"/>
              <w:szCs w:val="24"/>
            </w:rPr>
            <w:fldChar w:fldCharType="end"/>
          </w:r>
          <w:r>
            <w:rPr>
              <w:sz w:val="24"/>
              <w:szCs w:val="24"/>
            </w:rPr>
            <w:fldChar w:fldCharType="end"/>
          </w:r>
        </w:p>
        <w:p>
          <w:pPr>
            <w:pStyle w:val="11"/>
            <w:tabs>
              <w:tab w:val="right" w:leader="dot" w:pos="8296"/>
            </w:tabs>
            <w:rPr>
              <w:sz w:val="24"/>
              <w:szCs w:val="24"/>
            </w:rPr>
          </w:pPr>
          <w:r>
            <w:fldChar w:fldCharType="begin"/>
          </w:r>
          <w:r>
            <w:instrText xml:space="preserve"> HYPERLINK \l "_Toc135994599" </w:instrText>
          </w:r>
          <w:r>
            <w:fldChar w:fldCharType="separate"/>
          </w:r>
          <w:r>
            <w:rPr>
              <w:rStyle w:val="15"/>
              <w:rFonts w:ascii="Times New Roman" w:hAnsi="Times New Roman" w:eastAsia="楷体"/>
              <w:color w:val="auto"/>
              <w:sz w:val="24"/>
              <w:szCs w:val="24"/>
            </w:rPr>
            <w:t>7.5医疗卫生保障</w:t>
          </w:r>
          <w:r>
            <w:rPr>
              <w:sz w:val="24"/>
              <w:szCs w:val="24"/>
            </w:rPr>
            <w:tab/>
          </w:r>
          <w:r>
            <w:rPr>
              <w:sz w:val="24"/>
              <w:szCs w:val="24"/>
            </w:rPr>
            <w:fldChar w:fldCharType="begin"/>
          </w:r>
          <w:r>
            <w:rPr>
              <w:sz w:val="24"/>
              <w:szCs w:val="24"/>
            </w:rPr>
            <w:instrText xml:space="preserve"> PAGEREF _Toc135994599 \h </w:instrText>
          </w:r>
          <w:r>
            <w:rPr>
              <w:sz w:val="24"/>
              <w:szCs w:val="24"/>
            </w:rPr>
            <w:fldChar w:fldCharType="separate"/>
          </w:r>
          <w:r>
            <w:rPr>
              <w:sz w:val="24"/>
              <w:szCs w:val="24"/>
            </w:rPr>
            <w:t>25</w:t>
          </w:r>
          <w:r>
            <w:rPr>
              <w:sz w:val="24"/>
              <w:szCs w:val="24"/>
            </w:rPr>
            <w:fldChar w:fldCharType="end"/>
          </w:r>
          <w:r>
            <w:rPr>
              <w:sz w:val="24"/>
              <w:szCs w:val="24"/>
            </w:rPr>
            <w:fldChar w:fldCharType="end"/>
          </w:r>
        </w:p>
        <w:p>
          <w:pPr>
            <w:pStyle w:val="11"/>
            <w:tabs>
              <w:tab w:val="right" w:leader="dot" w:pos="8296"/>
            </w:tabs>
            <w:rPr>
              <w:sz w:val="24"/>
              <w:szCs w:val="24"/>
            </w:rPr>
          </w:pPr>
          <w:r>
            <w:fldChar w:fldCharType="begin"/>
          </w:r>
          <w:r>
            <w:instrText xml:space="preserve"> HYPERLINK \l "_Toc135994600" </w:instrText>
          </w:r>
          <w:r>
            <w:fldChar w:fldCharType="separate"/>
          </w:r>
          <w:r>
            <w:rPr>
              <w:rStyle w:val="15"/>
              <w:rFonts w:ascii="Times New Roman" w:hAnsi="Times New Roman" w:eastAsia="楷体"/>
              <w:color w:val="auto"/>
              <w:sz w:val="24"/>
              <w:szCs w:val="24"/>
            </w:rPr>
            <w:t>7.6资金保障</w:t>
          </w:r>
          <w:r>
            <w:rPr>
              <w:sz w:val="24"/>
              <w:szCs w:val="24"/>
            </w:rPr>
            <w:tab/>
          </w:r>
          <w:r>
            <w:rPr>
              <w:sz w:val="24"/>
              <w:szCs w:val="24"/>
            </w:rPr>
            <w:fldChar w:fldCharType="begin"/>
          </w:r>
          <w:r>
            <w:rPr>
              <w:sz w:val="24"/>
              <w:szCs w:val="24"/>
            </w:rPr>
            <w:instrText xml:space="preserve"> PAGEREF _Toc135994600 \h </w:instrText>
          </w:r>
          <w:r>
            <w:rPr>
              <w:sz w:val="24"/>
              <w:szCs w:val="24"/>
            </w:rPr>
            <w:fldChar w:fldCharType="separate"/>
          </w:r>
          <w:r>
            <w:rPr>
              <w:sz w:val="24"/>
              <w:szCs w:val="24"/>
            </w:rPr>
            <w:t>25</w:t>
          </w:r>
          <w:r>
            <w:rPr>
              <w:sz w:val="24"/>
              <w:szCs w:val="24"/>
            </w:rPr>
            <w:fldChar w:fldCharType="end"/>
          </w:r>
          <w:r>
            <w:rPr>
              <w:sz w:val="24"/>
              <w:szCs w:val="24"/>
            </w:rPr>
            <w:fldChar w:fldCharType="end"/>
          </w:r>
        </w:p>
        <w:p>
          <w:pPr>
            <w:pStyle w:val="11"/>
            <w:tabs>
              <w:tab w:val="right" w:leader="dot" w:pos="8296"/>
            </w:tabs>
            <w:rPr>
              <w:sz w:val="24"/>
              <w:szCs w:val="24"/>
            </w:rPr>
          </w:pPr>
          <w:r>
            <w:fldChar w:fldCharType="begin"/>
          </w:r>
          <w:r>
            <w:instrText xml:space="preserve"> HYPERLINK \l "_Toc135994601" </w:instrText>
          </w:r>
          <w:r>
            <w:fldChar w:fldCharType="separate"/>
          </w:r>
          <w:r>
            <w:rPr>
              <w:rStyle w:val="15"/>
              <w:rFonts w:ascii="Times New Roman" w:hAnsi="Times New Roman" w:eastAsia="楷体"/>
              <w:color w:val="auto"/>
              <w:sz w:val="24"/>
              <w:szCs w:val="24"/>
            </w:rPr>
            <w:t>7.7技术保障</w:t>
          </w:r>
          <w:r>
            <w:rPr>
              <w:sz w:val="24"/>
              <w:szCs w:val="24"/>
            </w:rPr>
            <w:tab/>
          </w:r>
          <w:r>
            <w:rPr>
              <w:sz w:val="24"/>
              <w:szCs w:val="24"/>
            </w:rPr>
            <w:fldChar w:fldCharType="begin"/>
          </w:r>
          <w:r>
            <w:rPr>
              <w:sz w:val="24"/>
              <w:szCs w:val="24"/>
            </w:rPr>
            <w:instrText xml:space="preserve"> PAGEREF _Toc135994601 \h </w:instrText>
          </w:r>
          <w:r>
            <w:rPr>
              <w:sz w:val="24"/>
              <w:szCs w:val="24"/>
            </w:rPr>
            <w:fldChar w:fldCharType="separate"/>
          </w:r>
          <w:r>
            <w:rPr>
              <w:sz w:val="24"/>
              <w:szCs w:val="24"/>
            </w:rPr>
            <w:t>25</w:t>
          </w:r>
          <w:r>
            <w:rPr>
              <w:sz w:val="24"/>
              <w:szCs w:val="24"/>
            </w:rPr>
            <w:fldChar w:fldCharType="end"/>
          </w:r>
          <w:r>
            <w:rPr>
              <w:sz w:val="24"/>
              <w:szCs w:val="24"/>
            </w:rPr>
            <w:fldChar w:fldCharType="end"/>
          </w:r>
        </w:p>
        <w:p>
          <w:pPr>
            <w:pStyle w:val="10"/>
            <w:tabs>
              <w:tab w:val="right" w:leader="dot" w:pos="8296"/>
            </w:tabs>
            <w:rPr>
              <w:sz w:val="24"/>
              <w:szCs w:val="24"/>
            </w:rPr>
          </w:pPr>
          <w:r>
            <w:fldChar w:fldCharType="begin"/>
          </w:r>
          <w:r>
            <w:instrText xml:space="preserve"> HYPERLINK \l "_Toc135994602" </w:instrText>
          </w:r>
          <w:r>
            <w:fldChar w:fldCharType="separate"/>
          </w:r>
          <w:r>
            <w:rPr>
              <w:rStyle w:val="15"/>
              <w:rFonts w:ascii="Times New Roman" w:hAnsi="Times New Roman" w:eastAsia="黑体" w:cs="Times New Roman"/>
              <w:color w:val="auto"/>
              <w:sz w:val="24"/>
              <w:szCs w:val="24"/>
            </w:rPr>
            <w:t>8预案管理</w:t>
          </w:r>
          <w:r>
            <w:rPr>
              <w:sz w:val="24"/>
              <w:szCs w:val="24"/>
            </w:rPr>
            <w:tab/>
          </w:r>
          <w:r>
            <w:rPr>
              <w:sz w:val="24"/>
              <w:szCs w:val="24"/>
            </w:rPr>
            <w:fldChar w:fldCharType="begin"/>
          </w:r>
          <w:r>
            <w:rPr>
              <w:sz w:val="24"/>
              <w:szCs w:val="24"/>
            </w:rPr>
            <w:instrText xml:space="preserve"> PAGEREF _Toc135994602 \h </w:instrText>
          </w:r>
          <w:r>
            <w:rPr>
              <w:sz w:val="24"/>
              <w:szCs w:val="24"/>
            </w:rPr>
            <w:fldChar w:fldCharType="separate"/>
          </w:r>
          <w:r>
            <w:rPr>
              <w:sz w:val="24"/>
              <w:szCs w:val="24"/>
            </w:rPr>
            <w:t>25</w:t>
          </w:r>
          <w:r>
            <w:rPr>
              <w:sz w:val="24"/>
              <w:szCs w:val="24"/>
            </w:rPr>
            <w:fldChar w:fldCharType="end"/>
          </w:r>
          <w:r>
            <w:rPr>
              <w:sz w:val="24"/>
              <w:szCs w:val="24"/>
            </w:rPr>
            <w:fldChar w:fldCharType="end"/>
          </w:r>
        </w:p>
        <w:p>
          <w:pPr>
            <w:pStyle w:val="11"/>
            <w:tabs>
              <w:tab w:val="right" w:leader="dot" w:pos="8296"/>
            </w:tabs>
            <w:rPr>
              <w:sz w:val="24"/>
              <w:szCs w:val="24"/>
            </w:rPr>
          </w:pPr>
          <w:r>
            <w:fldChar w:fldCharType="begin"/>
          </w:r>
          <w:r>
            <w:instrText xml:space="preserve"> HYPERLINK \l "_Toc135994603" </w:instrText>
          </w:r>
          <w:r>
            <w:fldChar w:fldCharType="separate"/>
          </w:r>
          <w:r>
            <w:rPr>
              <w:rStyle w:val="15"/>
              <w:rFonts w:ascii="Times New Roman" w:hAnsi="Times New Roman" w:eastAsia="楷体"/>
              <w:color w:val="auto"/>
              <w:sz w:val="24"/>
              <w:szCs w:val="24"/>
            </w:rPr>
            <w:t>8.1宣传、培训</w:t>
          </w:r>
          <w:r>
            <w:rPr>
              <w:sz w:val="24"/>
              <w:szCs w:val="24"/>
            </w:rPr>
            <w:tab/>
          </w:r>
          <w:r>
            <w:rPr>
              <w:sz w:val="24"/>
              <w:szCs w:val="24"/>
            </w:rPr>
            <w:fldChar w:fldCharType="begin"/>
          </w:r>
          <w:r>
            <w:rPr>
              <w:sz w:val="24"/>
              <w:szCs w:val="24"/>
            </w:rPr>
            <w:instrText xml:space="preserve"> PAGEREF _Toc135994603 \h </w:instrText>
          </w:r>
          <w:r>
            <w:rPr>
              <w:sz w:val="24"/>
              <w:szCs w:val="24"/>
            </w:rPr>
            <w:fldChar w:fldCharType="separate"/>
          </w:r>
          <w:r>
            <w:rPr>
              <w:sz w:val="24"/>
              <w:szCs w:val="24"/>
            </w:rPr>
            <w:t>25</w:t>
          </w:r>
          <w:r>
            <w:rPr>
              <w:sz w:val="24"/>
              <w:szCs w:val="24"/>
            </w:rPr>
            <w:fldChar w:fldCharType="end"/>
          </w:r>
          <w:r>
            <w:rPr>
              <w:sz w:val="24"/>
              <w:szCs w:val="24"/>
            </w:rPr>
            <w:fldChar w:fldCharType="end"/>
          </w:r>
        </w:p>
        <w:p>
          <w:pPr>
            <w:pStyle w:val="11"/>
            <w:tabs>
              <w:tab w:val="right" w:leader="dot" w:pos="8296"/>
            </w:tabs>
            <w:rPr>
              <w:sz w:val="24"/>
              <w:szCs w:val="24"/>
            </w:rPr>
          </w:pPr>
          <w:r>
            <w:fldChar w:fldCharType="begin"/>
          </w:r>
          <w:r>
            <w:instrText xml:space="preserve"> HYPERLINK \l "_Toc135994604" </w:instrText>
          </w:r>
          <w:r>
            <w:fldChar w:fldCharType="separate"/>
          </w:r>
          <w:r>
            <w:rPr>
              <w:rStyle w:val="15"/>
              <w:rFonts w:ascii="Times New Roman" w:hAnsi="Times New Roman" w:eastAsia="楷体"/>
              <w:color w:val="auto"/>
              <w:sz w:val="24"/>
              <w:szCs w:val="24"/>
            </w:rPr>
            <w:t>8.2应急演练</w:t>
          </w:r>
          <w:r>
            <w:rPr>
              <w:sz w:val="24"/>
              <w:szCs w:val="24"/>
            </w:rPr>
            <w:tab/>
          </w:r>
          <w:r>
            <w:rPr>
              <w:sz w:val="24"/>
              <w:szCs w:val="24"/>
            </w:rPr>
            <w:fldChar w:fldCharType="begin"/>
          </w:r>
          <w:r>
            <w:rPr>
              <w:sz w:val="24"/>
              <w:szCs w:val="24"/>
            </w:rPr>
            <w:instrText xml:space="preserve"> PAGEREF _Toc135994604 \h </w:instrText>
          </w:r>
          <w:r>
            <w:rPr>
              <w:sz w:val="24"/>
              <w:szCs w:val="24"/>
            </w:rPr>
            <w:fldChar w:fldCharType="separate"/>
          </w:r>
          <w:r>
            <w:rPr>
              <w:sz w:val="24"/>
              <w:szCs w:val="24"/>
            </w:rPr>
            <w:t>26</w:t>
          </w:r>
          <w:r>
            <w:rPr>
              <w:sz w:val="24"/>
              <w:szCs w:val="24"/>
            </w:rPr>
            <w:fldChar w:fldCharType="end"/>
          </w:r>
          <w:r>
            <w:rPr>
              <w:sz w:val="24"/>
              <w:szCs w:val="24"/>
            </w:rPr>
            <w:fldChar w:fldCharType="end"/>
          </w:r>
        </w:p>
        <w:p>
          <w:pPr>
            <w:pStyle w:val="11"/>
            <w:tabs>
              <w:tab w:val="right" w:leader="dot" w:pos="8296"/>
            </w:tabs>
            <w:rPr>
              <w:sz w:val="24"/>
              <w:szCs w:val="24"/>
            </w:rPr>
          </w:pPr>
          <w:r>
            <w:fldChar w:fldCharType="begin"/>
          </w:r>
          <w:r>
            <w:instrText xml:space="preserve"> HYPERLINK \l "_Toc135994605" </w:instrText>
          </w:r>
          <w:r>
            <w:fldChar w:fldCharType="separate"/>
          </w:r>
          <w:r>
            <w:rPr>
              <w:rStyle w:val="15"/>
              <w:rFonts w:ascii="Times New Roman" w:hAnsi="Times New Roman" w:eastAsia="楷体"/>
              <w:color w:val="auto"/>
              <w:sz w:val="24"/>
              <w:szCs w:val="24"/>
            </w:rPr>
            <w:t>8.3预案修订</w:t>
          </w:r>
          <w:r>
            <w:rPr>
              <w:sz w:val="24"/>
              <w:szCs w:val="24"/>
            </w:rPr>
            <w:tab/>
          </w:r>
          <w:r>
            <w:rPr>
              <w:sz w:val="24"/>
              <w:szCs w:val="24"/>
            </w:rPr>
            <w:fldChar w:fldCharType="begin"/>
          </w:r>
          <w:r>
            <w:rPr>
              <w:sz w:val="24"/>
              <w:szCs w:val="24"/>
            </w:rPr>
            <w:instrText xml:space="preserve"> PAGEREF _Toc135994605 \h </w:instrText>
          </w:r>
          <w:r>
            <w:rPr>
              <w:sz w:val="24"/>
              <w:szCs w:val="24"/>
            </w:rPr>
            <w:fldChar w:fldCharType="separate"/>
          </w:r>
          <w:r>
            <w:rPr>
              <w:sz w:val="24"/>
              <w:szCs w:val="24"/>
            </w:rPr>
            <w:t>26</w:t>
          </w:r>
          <w:r>
            <w:rPr>
              <w:sz w:val="24"/>
              <w:szCs w:val="24"/>
            </w:rPr>
            <w:fldChar w:fldCharType="end"/>
          </w:r>
          <w:r>
            <w:rPr>
              <w:sz w:val="24"/>
              <w:szCs w:val="24"/>
            </w:rPr>
            <w:fldChar w:fldCharType="end"/>
          </w:r>
        </w:p>
        <w:p>
          <w:pPr>
            <w:pStyle w:val="10"/>
            <w:tabs>
              <w:tab w:val="right" w:leader="dot" w:pos="8296"/>
            </w:tabs>
            <w:rPr>
              <w:sz w:val="24"/>
              <w:szCs w:val="24"/>
            </w:rPr>
          </w:pPr>
          <w:r>
            <w:fldChar w:fldCharType="begin"/>
          </w:r>
          <w:r>
            <w:instrText xml:space="preserve"> HYPERLINK \l "_Toc135994606" </w:instrText>
          </w:r>
          <w:r>
            <w:fldChar w:fldCharType="separate"/>
          </w:r>
          <w:r>
            <w:rPr>
              <w:rStyle w:val="15"/>
              <w:rFonts w:ascii="Times New Roman" w:hAnsi="Times New Roman" w:eastAsia="黑体" w:cs="Times New Roman"/>
              <w:color w:val="auto"/>
              <w:sz w:val="24"/>
              <w:szCs w:val="24"/>
            </w:rPr>
            <w:t>9附则</w:t>
          </w:r>
          <w:r>
            <w:rPr>
              <w:sz w:val="24"/>
              <w:szCs w:val="24"/>
            </w:rPr>
            <w:tab/>
          </w:r>
          <w:r>
            <w:rPr>
              <w:sz w:val="24"/>
              <w:szCs w:val="24"/>
            </w:rPr>
            <w:fldChar w:fldCharType="begin"/>
          </w:r>
          <w:r>
            <w:rPr>
              <w:sz w:val="24"/>
              <w:szCs w:val="24"/>
            </w:rPr>
            <w:instrText xml:space="preserve"> PAGEREF _Toc135994606 \h </w:instrText>
          </w:r>
          <w:r>
            <w:rPr>
              <w:sz w:val="24"/>
              <w:szCs w:val="24"/>
            </w:rPr>
            <w:fldChar w:fldCharType="separate"/>
          </w:r>
          <w:r>
            <w:rPr>
              <w:sz w:val="24"/>
              <w:szCs w:val="24"/>
            </w:rPr>
            <w:t>26</w:t>
          </w:r>
          <w:r>
            <w:rPr>
              <w:sz w:val="24"/>
              <w:szCs w:val="24"/>
            </w:rPr>
            <w:fldChar w:fldCharType="end"/>
          </w:r>
          <w:r>
            <w:rPr>
              <w:sz w:val="24"/>
              <w:szCs w:val="24"/>
            </w:rPr>
            <w:fldChar w:fldCharType="end"/>
          </w:r>
        </w:p>
        <w:p>
          <w:pPr>
            <w:pStyle w:val="11"/>
            <w:tabs>
              <w:tab w:val="right" w:leader="dot" w:pos="8296"/>
            </w:tabs>
            <w:rPr>
              <w:sz w:val="24"/>
              <w:szCs w:val="24"/>
            </w:rPr>
          </w:pPr>
          <w:r>
            <w:fldChar w:fldCharType="begin"/>
          </w:r>
          <w:r>
            <w:instrText xml:space="preserve"> HYPERLINK \l "_Toc135994607" </w:instrText>
          </w:r>
          <w:r>
            <w:fldChar w:fldCharType="separate"/>
          </w:r>
          <w:r>
            <w:rPr>
              <w:rStyle w:val="15"/>
              <w:rFonts w:ascii="Times New Roman" w:hAnsi="Times New Roman" w:eastAsia="楷体"/>
              <w:color w:val="auto"/>
              <w:sz w:val="24"/>
              <w:szCs w:val="24"/>
            </w:rPr>
            <w:t>9.1预案制定与解释部门</w:t>
          </w:r>
          <w:r>
            <w:rPr>
              <w:sz w:val="24"/>
              <w:szCs w:val="24"/>
            </w:rPr>
            <w:tab/>
          </w:r>
          <w:r>
            <w:rPr>
              <w:sz w:val="24"/>
              <w:szCs w:val="24"/>
            </w:rPr>
            <w:fldChar w:fldCharType="begin"/>
          </w:r>
          <w:r>
            <w:rPr>
              <w:sz w:val="24"/>
              <w:szCs w:val="24"/>
            </w:rPr>
            <w:instrText xml:space="preserve"> PAGEREF _Toc135994607 \h </w:instrText>
          </w:r>
          <w:r>
            <w:rPr>
              <w:sz w:val="24"/>
              <w:szCs w:val="24"/>
            </w:rPr>
            <w:fldChar w:fldCharType="separate"/>
          </w:r>
          <w:r>
            <w:rPr>
              <w:sz w:val="24"/>
              <w:szCs w:val="24"/>
            </w:rPr>
            <w:t>26</w:t>
          </w:r>
          <w:r>
            <w:rPr>
              <w:sz w:val="24"/>
              <w:szCs w:val="24"/>
            </w:rPr>
            <w:fldChar w:fldCharType="end"/>
          </w:r>
          <w:r>
            <w:rPr>
              <w:sz w:val="24"/>
              <w:szCs w:val="24"/>
            </w:rPr>
            <w:fldChar w:fldCharType="end"/>
          </w:r>
        </w:p>
        <w:p>
          <w:pPr>
            <w:pStyle w:val="11"/>
            <w:tabs>
              <w:tab w:val="right" w:leader="dot" w:pos="8296"/>
            </w:tabs>
            <w:rPr>
              <w:sz w:val="24"/>
              <w:szCs w:val="24"/>
            </w:rPr>
          </w:pPr>
          <w:r>
            <w:fldChar w:fldCharType="begin"/>
          </w:r>
          <w:r>
            <w:instrText xml:space="preserve"> HYPERLINK \l "_Toc135994608" </w:instrText>
          </w:r>
          <w:r>
            <w:fldChar w:fldCharType="separate"/>
          </w:r>
          <w:r>
            <w:rPr>
              <w:rStyle w:val="15"/>
              <w:rFonts w:ascii="Times New Roman" w:hAnsi="Times New Roman" w:eastAsia="楷体"/>
              <w:color w:val="auto"/>
              <w:sz w:val="24"/>
              <w:szCs w:val="24"/>
            </w:rPr>
            <w:t>9.2预案实施时间</w:t>
          </w:r>
          <w:r>
            <w:rPr>
              <w:sz w:val="24"/>
              <w:szCs w:val="24"/>
            </w:rPr>
            <w:tab/>
          </w:r>
          <w:r>
            <w:rPr>
              <w:sz w:val="24"/>
              <w:szCs w:val="24"/>
            </w:rPr>
            <w:fldChar w:fldCharType="begin"/>
          </w:r>
          <w:r>
            <w:rPr>
              <w:sz w:val="24"/>
              <w:szCs w:val="24"/>
            </w:rPr>
            <w:instrText xml:space="preserve"> PAGEREF _Toc135994608 \h </w:instrText>
          </w:r>
          <w:r>
            <w:rPr>
              <w:sz w:val="24"/>
              <w:szCs w:val="24"/>
            </w:rPr>
            <w:fldChar w:fldCharType="separate"/>
          </w:r>
          <w:r>
            <w:rPr>
              <w:sz w:val="24"/>
              <w:szCs w:val="24"/>
            </w:rPr>
            <w:t>27</w:t>
          </w:r>
          <w:r>
            <w:rPr>
              <w:sz w:val="24"/>
              <w:szCs w:val="24"/>
            </w:rPr>
            <w:fldChar w:fldCharType="end"/>
          </w:r>
          <w:r>
            <w:rPr>
              <w:sz w:val="24"/>
              <w:szCs w:val="24"/>
            </w:rPr>
            <w:fldChar w:fldCharType="end"/>
          </w:r>
        </w:p>
        <w:p>
          <w:pPr>
            <w:pStyle w:val="10"/>
            <w:tabs>
              <w:tab w:val="right" w:leader="dot" w:pos="8296"/>
            </w:tabs>
            <w:rPr>
              <w:sz w:val="24"/>
              <w:szCs w:val="24"/>
            </w:rPr>
          </w:pPr>
          <w:r>
            <w:fldChar w:fldCharType="begin"/>
          </w:r>
          <w:r>
            <w:instrText xml:space="preserve"> HYPERLINK \l "_Toc135994609" </w:instrText>
          </w:r>
          <w:r>
            <w:fldChar w:fldCharType="separate"/>
          </w:r>
          <w:r>
            <w:rPr>
              <w:rStyle w:val="15"/>
              <w:rFonts w:ascii="Times New Roman" w:hAnsi="Times New Roman" w:eastAsia="黑体" w:cs="Times New Roman"/>
              <w:color w:val="auto"/>
              <w:sz w:val="24"/>
              <w:szCs w:val="24"/>
            </w:rPr>
            <w:t>附件</w:t>
          </w:r>
          <w:r>
            <w:rPr>
              <w:sz w:val="24"/>
              <w:szCs w:val="24"/>
            </w:rPr>
            <w:tab/>
          </w:r>
          <w:r>
            <w:rPr>
              <w:sz w:val="24"/>
              <w:szCs w:val="24"/>
            </w:rPr>
            <w:fldChar w:fldCharType="begin"/>
          </w:r>
          <w:r>
            <w:rPr>
              <w:sz w:val="24"/>
              <w:szCs w:val="24"/>
            </w:rPr>
            <w:instrText xml:space="preserve"> PAGEREF _Toc135994609 \h </w:instrText>
          </w:r>
          <w:r>
            <w:rPr>
              <w:sz w:val="24"/>
              <w:szCs w:val="24"/>
            </w:rPr>
            <w:fldChar w:fldCharType="separate"/>
          </w:r>
          <w:r>
            <w:rPr>
              <w:sz w:val="24"/>
              <w:szCs w:val="24"/>
            </w:rPr>
            <w:t>28</w:t>
          </w:r>
          <w:r>
            <w:rPr>
              <w:sz w:val="24"/>
              <w:szCs w:val="24"/>
            </w:rPr>
            <w:fldChar w:fldCharType="end"/>
          </w:r>
          <w:r>
            <w:rPr>
              <w:sz w:val="24"/>
              <w:szCs w:val="24"/>
            </w:rPr>
            <w:fldChar w:fldCharType="end"/>
          </w:r>
        </w:p>
        <w:p>
          <w:pPr>
            <w:pStyle w:val="11"/>
            <w:tabs>
              <w:tab w:val="right" w:leader="dot" w:pos="8296"/>
            </w:tabs>
            <w:rPr>
              <w:sz w:val="24"/>
              <w:szCs w:val="24"/>
            </w:rPr>
          </w:pPr>
          <w:r>
            <w:fldChar w:fldCharType="begin"/>
          </w:r>
          <w:r>
            <w:instrText xml:space="preserve"> HYPERLINK \l "_Toc135994610" </w:instrText>
          </w:r>
          <w:r>
            <w:fldChar w:fldCharType="separate"/>
          </w:r>
          <w:r>
            <w:rPr>
              <w:rStyle w:val="15"/>
              <w:rFonts w:ascii="Times New Roman" w:hAnsi="Times New Roman" w:eastAsia="楷体"/>
              <w:color w:val="auto"/>
              <w:sz w:val="24"/>
              <w:szCs w:val="24"/>
            </w:rPr>
            <w:t>附件1旗危化应急指挥体系框架图</w:t>
          </w:r>
          <w:r>
            <w:rPr>
              <w:sz w:val="24"/>
              <w:szCs w:val="24"/>
            </w:rPr>
            <w:tab/>
          </w:r>
          <w:r>
            <w:rPr>
              <w:sz w:val="24"/>
              <w:szCs w:val="24"/>
            </w:rPr>
            <w:fldChar w:fldCharType="begin"/>
          </w:r>
          <w:r>
            <w:rPr>
              <w:sz w:val="24"/>
              <w:szCs w:val="24"/>
            </w:rPr>
            <w:instrText xml:space="preserve"> PAGEREF _Toc135994610 \h </w:instrText>
          </w:r>
          <w:r>
            <w:rPr>
              <w:sz w:val="24"/>
              <w:szCs w:val="24"/>
            </w:rPr>
            <w:fldChar w:fldCharType="separate"/>
          </w:r>
          <w:r>
            <w:rPr>
              <w:sz w:val="24"/>
              <w:szCs w:val="24"/>
            </w:rPr>
            <w:t>28</w:t>
          </w:r>
          <w:r>
            <w:rPr>
              <w:sz w:val="24"/>
              <w:szCs w:val="24"/>
            </w:rPr>
            <w:fldChar w:fldCharType="end"/>
          </w:r>
          <w:r>
            <w:rPr>
              <w:sz w:val="24"/>
              <w:szCs w:val="24"/>
            </w:rPr>
            <w:fldChar w:fldCharType="end"/>
          </w:r>
        </w:p>
        <w:p>
          <w:pPr>
            <w:pStyle w:val="11"/>
            <w:tabs>
              <w:tab w:val="right" w:leader="dot" w:pos="8296"/>
            </w:tabs>
            <w:rPr>
              <w:sz w:val="24"/>
              <w:szCs w:val="24"/>
            </w:rPr>
          </w:pPr>
          <w:r>
            <w:fldChar w:fldCharType="begin"/>
          </w:r>
          <w:r>
            <w:instrText xml:space="preserve"> HYPERLINK \l "_Toc135994611" </w:instrText>
          </w:r>
          <w:r>
            <w:fldChar w:fldCharType="separate"/>
          </w:r>
          <w:r>
            <w:rPr>
              <w:rStyle w:val="15"/>
              <w:rFonts w:ascii="Times New Roman" w:hAnsi="Times New Roman" w:eastAsia="楷体"/>
              <w:color w:val="auto"/>
              <w:sz w:val="24"/>
              <w:szCs w:val="24"/>
            </w:rPr>
            <w:t>附件2旗危化事故应急预案流程图</w:t>
          </w:r>
          <w:r>
            <w:rPr>
              <w:sz w:val="24"/>
              <w:szCs w:val="24"/>
            </w:rPr>
            <w:tab/>
          </w:r>
          <w:r>
            <w:rPr>
              <w:sz w:val="24"/>
              <w:szCs w:val="24"/>
            </w:rPr>
            <w:fldChar w:fldCharType="begin"/>
          </w:r>
          <w:r>
            <w:rPr>
              <w:sz w:val="24"/>
              <w:szCs w:val="24"/>
            </w:rPr>
            <w:instrText xml:space="preserve"> PAGEREF _Toc135994611 \h </w:instrText>
          </w:r>
          <w:r>
            <w:rPr>
              <w:sz w:val="24"/>
              <w:szCs w:val="24"/>
            </w:rPr>
            <w:fldChar w:fldCharType="separate"/>
          </w:r>
          <w:r>
            <w:rPr>
              <w:sz w:val="24"/>
              <w:szCs w:val="24"/>
            </w:rPr>
            <w:t>29</w:t>
          </w:r>
          <w:r>
            <w:rPr>
              <w:sz w:val="24"/>
              <w:szCs w:val="24"/>
            </w:rPr>
            <w:fldChar w:fldCharType="end"/>
          </w:r>
          <w:r>
            <w:rPr>
              <w:sz w:val="24"/>
              <w:szCs w:val="24"/>
            </w:rPr>
            <w:fldChar w:fldCharType="end"/>
          </w:r>
        </w:p>
        <w:p>
          <w:pPr>
            <w:pStyle w:val="11"/>
            <w:tabs>
              <w:tab w:val="right" w:leader="dot" w:pos="8296"/>
            </w:tabs>
            <w:rPr>
              <w:sz w:val="24"/>
              <w:szCs w:val="24"/>
            </w:rPr>
          </w:pPr>
          <w:r>
            <w:fldChar w:fldCharType="begin"/>
          </w:r>
          <w:r>
            <w:instrText xml:space="preserve"> HYPERLINK \l "_Toc135994612" </w:instrText>
          </w:r>
          <w:r>
            <w:fldChar w:fldCharType="separate"/>
          </w:r>
          <w:r>
            <w:rPr>
              <w:rStyle w:val="15"/>
              <w:rFonts w:ascii="Times New Roman" w:hAnsi="Times New Roman" w:eastAsia="楷体"/>
              <w:color w:val="auto"/>
              <w:sz w:val="24"/>
              <w:szCs w:val="24"/>
            </w:rPr>
            <w:t>附件3旗危化应急指挥部通讯录</w:t>
          </w:r>
          <w:r>
            <w:rPr>
              <w:sz w:val="24"/>
              <w:szCs w:val="24"/>
            </w:rPr>
            <w:tab/>
          </w:r>
          <w:r>
            <w:rPr>
              <w:sz w:val="24"/>
              <w:szCs w:val="24"/>
            </w:rPr>
            <w:fldChar w:fldCharType="begin"/>
          </w:r>
          <w:r>
            <w:rPr>
              <w:sz w:val="24"/>
              <w:szCs w:val="24"/>
            </w:rPr>
            <w:instrText xml:space="preserve"> PAGEREF _Toc135994612 \h </w:instrText>
          </w:r>
          <w:r>
            <w:rPr>
              <w:sz w:val="24"/>
              <w:szCs w:val="24"/>
            </w:rPr>
            <w:fldChar w:fldCharType="separate"/>
          </w:r>
          <w:r>
            <w:rPr>
              <w:sz w:val="24"/>
              <w:szCs w:val="24"/>
            </w:rPr>
            <w:t>30</w:t>
          </w:r>
          <w:r>
            <w:rPr>
              <w:sz w:val="24"/>
              <w:szCs w:val="24"/>
            </w:rPr>
            <w:fldChar w:fldCharType="end"/>
          </w:r>
          <w:r>
            <w:rPr>
              <w:sz w:val="24"/>
              <w:szCs w:val="24"/>
            </w:rPr>
            <w:fldChar w:fldCharType="end"/>
          </w:r>
        </w:p>
        <w:p>
          <w:pPr>
            <w:pStyle w:val="11"/>
            <w:tabs>
              <w:tab w:val="right" w:leader="dot" w:pos="8296"/>
            </w:tabs>
            <w:rPr>
              <w:sz w:val="24"/>
              <w:szCs w:val="24"/>
            </w:rPr>
          </w:pPr>
          <w:r>
            <w:fldChar w:fldCharType="begin"/>
          </w:r>
          <w:r>
            <w:instrText xml:space="preserve"> HYPERLINK \l "_Toc135994613" </w:instrText>
          </w:r>
          <w:r>
            <w:fldChar w:fldCharType="separate"/>
          </w:r>
          <w:r>
            <w:rPr>
              <w:rStyle w:val="15"/>
              <w:rFonts w:ascii="Times New Roman" w:hAnsi="Times New Roman" w:eastAsia="楷体"/>
              <w:color w:val="auto"/>
              <w:sz w:val="24"/>
              <w:szCs w:val="24"/>
            </w:rPr>
            <w:t>附件4旗相关救援队伍名单</w:t>
          </w:r>
          <w:r>
            <w:rPr>
              <w:sz w:val="24"/>
              <w:szCs w:val="24"/>
            </w:rPr>
            <w:tab/>
          </w:r>
          <w:r>
            <w:rPr>
              <w:sz w:val="24"/>
              <w:szCs w:val="24"/>
            </w:rPr>
            <w:fldChar w:fldCharType="begin"/>
          </w:r>
          <w:r>
            <w:rPr>
              <w:sz w:val="24"/>
              <w:szCs w:val="24"/>
            </w:rPr>
            <w:instrText xml:space="preserve"> PAGEREF _Toc135994613 \h </w:instrText>
          </w:r>
          <w:r>
            <w:rPr>
              <w:sz w:val="24"/>
              <w:szCs w:val="24"/>
            </w:rPr>
            <w:fldChar w:fldCharType="separate"/>
          </w:r>
          <w:r>
            <w:rPr>
              <w:sz w:val="24"/>
              <w:szCs w:val="24"/>
            </w:rPr>
            <w:t>32</w:t>
          </w:r>
          <w:r>
            <w:rPr>
              <w:sz w:val="24"/>
              <w:szCs w:val="24"/>
            </w:rPr>
            <w:fldChar w:fldCharType="end"/>
          </w:r>
          <w:r>
            <w:rPr>
              <w:sz w:val="24"/>
              <w:szCs w:val="24"/>
            </w:rPr>
            <w:fldChar w:fldCharType="end"/>
          </w:r>
        </w:p>
        <w:p>
          <w:pPr>
            <w:pStyle w:val="11"/>
            <w:tabs>
              <w:tab w:val="right" w:leader="dot" w:pos="8296"/>
            </w:tabs>
            <w:rPr>
              <w:sz w:val="24"/>
              <w:szCs w:val="24"/>
            </w:rPr>
          </w:pPr>
          <w:r>
            <w:fldChar w:fldCharType="begin"/>
          </w:r>
          <w:r>
            <w:instrText xml:space="preserve"> HYPERLINK \l "_Toc135994614" </w:instrText>
          </w:r>
          <w:r>
            <w:fldChar w:fldCharType="separate"/>
          </w:r>
          <w:r>
            <w:rPr>
              <w:rStyle w:val="15"/>
              <w:rFonts w:ascii="Times New Roman" w:hAnsi="Times New Roman" w:eastAsia="楷体"/>
              <w:color w:val="auto"/>
              <w:sz w:val="24"/>
              <w:szCs w:val="24"/>
            </w:rPr>
            <w:t>附件5危化领域专家库</w:t>
          </w:r>
          <w:r>
            <w:rPr>
              <w:sz w:val="24"/>
              <w:szCs w:val="24"/>
            </w:rPr>
            <w:tab/>
          </w:r>
          <w:r>
            <w:rPr>
              <w:sz w:val="24"/>
              <w:szCs w:val="24"/>
            </w:rPr>
            <w:fldChar w:fldCharType="begin"/>
          </w:r>
          <w:r>
            <w:rPr>
              <w:sz w:val="24"/>
              <w:szCs w:val="24"/>
            </w:rPr>
            <w:instrText xml:space="preserve"> PAGEREF _Toc135994614 \h </w:instrText>
          </w:r>
          <w:r>
            <w:rPr>
              <w:sz w:val="24"/>
              <w:szCs w:val="24"/>
            </w:rPr>
            <w:fldChar w:fldCharType="separate"/>
          </w:r>
          <w:r>
            <w:rPr>
              <w:sz w:val="24"/>
              <w:szCs w:val="24"/>
            </w:rPr>
            <w:t>33</w:t>
          </w:r>
          <w:r>
            <w:rPr>
              <w:sz w:val="24"/>
              <w:szCs w:val="24"/>
            </w:rPr>
            <w:fldChar w:fldCharType="end"/>
          </w:r>
          <w:r>
            <w:rPr>
              <w:sz w:val="24"/>
              <w:szCs w:val="24"/>
            </w:rPr>
            <w:fldChar w:fldCharType="end"/>
          </w:r>
        </w:p>
        <w:p>
          <w:pPr>
            <w:pStyle w:val="11"/>
            <w:tabs>
              <w:tab w:val="right" w:leader="dot" w:pos="8296"/>
            </w:tabs>
            <w:rPr>
              <w:sz w:val="24"/>
              <w:szCs w:val="24"/>
            </w:rPr>
          </w:pPr>
          <w:r>
            <w:fldChar w:fldCharType="begin"/>
          </w:r>
          <w:r>
            <w:instrText xml:space="preserve"> HYPERLINK \l "_Toc135994615" </w:instrText>
          </w:r>
          <w:r>
            <w:fldChar w:fldCharType="separate"/>
          </w:r>
          <w:r>
            <w:rPr>
              <w:rStyle w:val="15"/>
              <w:rFonts w:ascii="Times New Roman" w:hAnsi="Times New Roman" w:eastAsia="楷体"/>
              <w:color w:val="auto"/>
              <w:sz w:val="24"/>
              <w:szCs w:val="24"/>
            </w:rPr>
            <w:t>附件6达拉特旗重点医院清单及地理位置图</w:t>
          </w:r>
          <w:r>
            <w:rPr>
              <w:sz w:val="24"/>
              <w:szCs w:val="24"/>
            </w:rPr>
            <w:tab/>
          </w:r>
          <w:r>
            <w:rPr>
              <w:sz w:val="24"/>
              <w:szCs w:val="24"/>
            </w:rPr>
            <w:fldChar w:fldCharType="begin"/>
          </w:r>
          <w:r>
            <w:rPr>
              <w:sz w:val="24"/>
              <w:szCs w:val="24"/>
            </w:rPr>
            <w:instrText xml:space="preserve"> PAGEREF _Toc135994615 \h </w:instrText>
          </w:r>
          <w:r>
            <w:rPr>
              <w:sz w:val="24"/>
              <w:szCs w:val="24"/>
            </w:rPr>
            <w:fldChar w:fldCharType="separate"/>
          </w:r>
          <w:r>
            <w:rPr>
              <w:sz w:val="24"/>
              <w:szCs w:val="24"/>
            </w:rPr>
            <w:t>34</w:t>
          </w:r>
          <w:r>
            <w:rPr>
              <w:sz w:val="24"/>
              <w:szCs w:val="24"/>
            </w:rPr>
            <w:fldChar w:fldCharType="end"/>
          </w:r>
          <w:r>
            <w:rPr>
              <w:sz w:val="24"/>
              <w:szCs w:val="24"/>
            </w:rPr>
            <w:fldChar w:fldCharType="end"/>
          </w:r>
        </w:p>
        <w:p>
          <w:pPr>
            <w:pStyle w:val="10"/>
            <w:tabs>
              <w:tab w:val="right" w:leader="dot" w:pos="8296"/>
            </w:tabs>
            <w:rPr>
              <w:rFonts w:ascii="Times New Roman" w:hAnsi="Times New Roman" w:cs="Times New Roman"/>
            </w:rPr>
          </w:pPr>
          <w:r>
            <w:rPr>
              <w:rFonts w:ascii="Times New Roman" w:hAnsi="Times New Roman" w:eastAsia="仿宋_GB2312" w:cs="Times New Roman"/>
              <w:bCs/>
              <w:sz w:val="24"/>
              <w:szCs w:val="24"/>
              <w:lang w:val="zh-CN"/>
            </w:rPr>
            <w:fldChar w:fldCharType="end"/>
          </w:r>
        </w:p>
      </w:sdtContent>
    </w:sdt>
    <w:p>
      <w:pPr>
        <w:widowControl/>
        <w:shd w:val="clear" w:color="auto" w:fill="FFFFFF"/>
        <w:spacing w:line="560" w:lineRule="exact"/>
        <w:jc w:val="left"/>
        <w:rPr>
          <w:rFonts w:ascii="Times New Roman" w:hAnsi="Times New Roman" w:eastAsia="仿宋_GB2312" w:cs="Times New Roman"/>
          <w:kern w:val="0"/>
          <w:sz w:val="32"/>
          <w:szCs w:val="32"/>
        </w:rPr>
      </w:pPr>
    </w:p>
    <w:p>
      <w:pPr>
        <w:widowControl/>
        <w:shd w:val="clear" w:color="auto" w:fill="FFFFFF"/>
        <w:spacing w:line="560" w:lineRule="exact"/>
        <w:jc w:val="left"/>
        <w:rPr>
          <w:rFonts w:ascii="Times New Roman" w:hAnsi="Times New Roman" w:eastAsia="仿宋_GB2312" w:cs="Times New Roman"/>
          <w:kern w:val="0"/>
          <w:sz w:val="32"/>
          <w:szCs w:val="32"/>
        </w:rPr>
      </w:pPr>
    </w:p>
    <w:p>
      <w:pPr>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p>
    <w:p>
      <w:pPr>
        <w:rPr>
          <w:rFonts w:ascii="Times New Roman" w:hAnsi="Times New Roman" w:eastAsia="仿宋_GB2312" w:cs="Times New Roman"/>
          <w:kern w:val="0"/>
          <w:sz w:val="32"/>
          <w:szCs w:val="32"/>
        </w:rPr>
      </w:pPr>
    </w:p>
    <w:p>
      <w:pPr>
        <w:rPr>
          <w:rFonts w:ascii="Times New Roman" w:hAnsi="Times New Roman" w:eastAsia="仿宋_GB2312" w:cs="Times New Roman"/>
          <w:sz w:val="32"/>
          <w:szCs w:val="32"/>
        </w:rPr>
        <w:sectPr>
          <w:pgSz w:w="11906" w:h="16838"/>
          <w:pgMar w:top="1440" w:right="1800" w:bottom="1440" w:left="1800" w:header="851" w:footer="992" w:gutter="0"/>
          <w:cols w:space="425" w:num="1"/>
          <w:docGrid w:type="lines" w:linePitch="312" w:charSpace="0"/>
        </w:sectPr>
      </w:pPr>
    </w:p>
    <w:p>
      <w:pPr>
        <w:pStyle w:val="7"/>
        <w:adjustRightInd w:val="0"/>
        <w:snapToGrid w:val="0"/>
        <w:spacing w:line="560" w:lineRule="exact"/>
        <w:ind w:firstLine="640" w:firstLineChars="200"/>
        <w:outlineLvl w:val="0"/>
        <w:rPr>
          <w:rFonts w:ascii="Times New Roman" w:hAnsi="Times New Roman" w:eastAsia="黑体" w:cs="Times New Roman"/>
          <w:sz w:val="32"/>
          <w:szCs w:val="32"/>
        </w:rPr>
      </w:pPr>
      <w:bookmarkStart w:id="4" w:name="_Toc135994563"/>
      <w:r>
        <w:rPr>
          <w:rFonts w:ascii="Times New Roman" w:hAnsi="Times New Roman" w:eastAsia="黑体" w:cs="Times New Roman"/>
          <w:sz w:val="32"/>
          <w:szCs w:val="32"/>
        </w:rPr>
        <w:t>1总则</w:t>
      </w:r>
      <w:bookmarkEnd w:id="4"/>
    </w:p>
    <w:p>
      <w:pPr>
        <w:pStyle w:val="4"/>
        <w:tabs>
          <w:tab w:val="left" w:pos="709"/>
        </w:tabs>
        <w:spacing w:before="0" w:after="0" w:line="560" w:lineRule="exact"/>
        <w:ind w:firstLine="640" w:firstLineChars="200"/>
        <w:jc w:val="both"/>
        <w:rPr>
          <w:rFonts w:ascii="Times New Roman" w:hAnsi="Times New Roman" w:eastAsia="楷体"/>
          <w:kern w:val="2"/>
        </w:rPr>
      </w:pPr>
      <w:bookmarkStart w:id="5" w:name="_Toc135994564"/>
      <w:r>
        <w:rPr>
          <w:rFonts w:ascii="Times New Roman" w:hAnsi="Times New Roman" w:eastAsia="楷体"/>
          <w:kern w:val="2"/>
        </w:rPr>
        <w:t>1.1编制目的</w:t>
      </w:r>
      <w:bookmarkEnd w:id="5"/>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为进一步健全完善危险化学品事故应急响应和救援机制，加强对危险化学品事故处置和救援的综合协调指挥，确保危险化学品事故应急工作及时、有序、高效进行，预防和控制次生、衍生灾害的发生，最大限度减少事故造成的人员伤亡、财产损失和环境危害</w:t>
      </w:r>
      <w:r>
        <w:rPr>
          <w:rFonts w:ascii="Times New Roman" w:hAnsi="Times New Roman" w:eastAsia="仿宋_GB2312" w:cs="Times New Roman"/>
          <w:kern w:val="0"/>
          <w:sz w:val="32"/>
          <w:szCs w:val="32"/>
        </w:rPr>
        <w:t>，结合旗实际情况，特编制本预案。</w:t>
      </w:r>
    </w:p>
    <w:p>
      <w:pPr>
        <w:pStyle w:val="4"/>
        <w:tabs>
          <w:tab w:val="left" w:pos="709"/>
        </w:tabs>
        <w:spacing w:before="0" w:after="0" w:line="560" w:lineRule="exact"/>
        <w:ind w:firstLine="640" w:firstLineChars="200"/>
        <w:jc w:val="both"/>
        <w:rPr>
          <w:rFonts w:ascii="Times New Roman" w:hAnsi="Times New Roman" w:eastAsia="楷体"/>
          <w:kern w:val="2"/>
        </w:rPr>
      </w:pPr>
      <w:bookmarkStart w:id="6" w:name="_Toc135994565"/>
      <w:r>
        <w:rPr>
          <w:rFonts w:ascii="Times New Roman" w:hAnsi="Times New Roman" w:eastAsia="楷体"/>
          <w:kern w:val="2"/>
        </w:rPr>
        <w:t>1.2编制依据</w:t>
      </w:r>
      <w:bookmarkEnd w:id="6"/>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依据《中华人民共和国突发事件应对法》《中华人民共和国安全生产法》《中华人民共和国环境保护法》《中华人民共和国消防法》《生产安全事故报告和调查处理条例》《危险化学品安全管理条例》《生产经营单位安全事故应急预案编制导则》《内蒙古自治区安全生产条例》《内蒙古自治区突发事件总体应急预案（试行）》</w:t>
      </w:r>
      <w:r>
        <w:rPr>
          <w:rFonts w:hint="eastAsia" w:ascii="Times New Roman" w:hAnsi="Times New Roman" w:eastAsia="仿宋_GB2312" w:cs="Times New Roman"/>
          <w:kern w:val="0"/>
          <w:sz w:val="32"/>
          <w:szCs w:val="32"/>
        </w:rPr>
        <w:t>《内蒙古自治区危险化学品生产安全事故应急预案》</w:t>
      </w:r>
      <w:r>
        <w:rPr>
          <w:rFonts w:ascii="Times New Roman" w:hAnsi="Times New Roman" w:eastAsia="仿宋_GB2312" w:cs="Times New Roman"/>
          <w:kern w:val="0"/>
          <w:sz w:val="32"/>
          <w:szCs w:val="32"/>
        </w:rPr>
        <w:t>《鄂尔多斯市自然灾害和事故灾难分级应对实施细则（试行）》《鄂尔多斯危险化学品生产安全事故应急预案》《达拉特旗生产安全事故应急预案》等法律法规及有关规定。</w:t>
      </w:r>
    </w:p>
    <w:p>
      <w:pPr>
        <w:pStyle w:val="4"/>
        <w:tabs>
          <w:tab w:val="left" w:pos="709"/>
        </w:tabs>
        <w:spacing w:before="0" w:after="0" w:line="560" w:lineRule="exact"/>
        <w:ind w:firstLine="640" w:firstLineChars="200"/>
        <w:jc w:val="both"/>
        <w:rPr>
          <w:rFonts w:ascii="Times New Roman" w:hAnsi="Times New Roman" w:eastAsia="楷体"/>
          <w:kern w:val="2"/>
        </w:rPr>
      </w:pPr>
      <w:bookmarkStart w:id="7" w:name="_Toc135994566"/>
      <w:r>
        <w:rPr>
          <w:rFonts w:ascii="Times New Roman" w:hAnsi="Times New Roman" w:eastAsia="楷体"/>
          <w:kern w:val="2"/>
        </w:rPr>
        <w:t>1.3适用范围</w:t>
      </w:r>
      <w:bookmarkEnd w:id="7"/>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本预案适用于达拉特旗</w:t>
      </w:r>
      <w:r>
        <w:rPr>
          <w:rFonts w:hint="eastAsia" w:ascii="Times New Roman" w:hAnsi="Times New Roman" w:eastAsia="仿宋_GB2312" w:cs="Times New Roman"/>
          <w:kern w:val="0"/>
          <w:sz w:val="32"/>
          <w:szCs w:val="32"/>
        </w:rPr>
        <w:t>行政区域</w:t>
      </w:r>
      <w:r>
        <w:rPr>
          <w:rFonts w:ascii="Times New Roman" w:hAnsi="Times New Roman" w:eastAsia="仿宋_GB2312" w:cs="Times New Roman"/>
          <w:kern w:val="0"/>
          <w:sz w:val="32"/>
          <w:szCs w:val="32"/>
        </w:rPr>
        <w:t>内危险化学品生产、经营、储存、使用</w:t>
      </w:r>
      <w:r>
        <w:rPr>
          <w:rFonts w:hint="eastAsia" w:ascii="Times New Roman" w:hAnsi="Times New Roman" w:eastAsia="仿宋_GB2312" w:cs="Times New Roman"/>
          <w:kern w:val="0"/>
          <w:sz w:val="32"/>
          <w:szCs w:val="32"/>
        </w:rPr>
        <w:t>环节发生的</w:t>
      </w:r>
      <w:r>
        <w:rPr>
          <w:rFonts w:ascii="Times New Roman" w:hAnsi="Times New Roman" w:eastAsia="仿宋_GB2312" w:cs="Times New Roman"/>
          <w:kern w:val="0"/>
          <w:sz w:val="32"/>
          <w:szCs w:val="32"/>
        </w:rPr>
        <w:t>一般</w:t>
      </w:r>
      <w:r>
        <w:rPr>
          <w:rFonts w:hint="eastAsia" w:ascii="Times New Roman" w:hAnsi="Times New Roman" w:eastAsia="仿宋_GB2312" w:cs="Times New Roman"/>
          <w:kern w:val="0"/>
          <w:sz w:val="32"/>
          <w:szCs w:val="32"/>
        </w:rPr>
        <w:t>及以上事故</w:t>
      </w:r>
      <w:r>
        <w:rPr>
          <w:rFonts w:ascii="Times New Roman" w:hAnsi="Times New Roman" w:eastAsia="仿宋_GB2312" w:cs="Times New Roman"/>
          <w:kern w:val="0"/>
          <w:sz w:val="32"/>
          <w:szCs w:val="32"/>
        </w:rPr>
        <w:t>的应急处置。</w:t>
      </w:r>
      <w:r>
        <w:rPr>
          <w:rFonts w:hint="eastAsia" w:ascii="Times New Roman" w:hAnsi="Times New Roman" w:eastAsia="仿宋_GB2312" w:cs="Times New Roman"/>
          <w:kern w:val="0"/>
          <w:sz w:val="32"/>
          <w:szCs w:val="32"/>
        </w:rPr>
        <w:t>城镇燃气运营及使用过程中发生的燃气泄漏、爆炸、火灾等事故，石油天然气长输管道事故，危险化学品道路运输和废弃处置过程中的事故，民用爆炸物品以及烟花爆竹公共安全事故的应急处置工作不适用于本预案。</w:t>
      </w:r>
    </w:p>
    <w:p>
      <w:pPr>
        <w:pStyle w:val="4"/>
        <w:tabs>
          <w:tab w:val="left" w:pos="709"/>
        </w:tabs>
        <w:spacing w:before="0" w:after="0" w:line="560" w:lineRule="exact"/>
        <w:ind w:firstLine="640" w:firstLineChars="200"/>
        <w:jc w:val="both"/>
        <w:rPr>
          <w:rFonts w:ascii="Times New Roman" w:hAnsi="Times New Roman" w:eastAsia="楷体"/>
          <w:kern w:val="2"/>
        </w:rPr>
      </w:pPr>
      <w:bookmarkStart w:id="8" w:name="_Toc135994567"/>
      <w:r>
        <w:rPr>
          <w:rFonts w:ascii="Times New Roman" w:hAnsi="Times New Roman" w:eastAsia="楷体"/>
          <w:kern w:val="2"/>
        </w:rPr>
        <w:t>1.4工作原则</w:t>
      </w:r>
      <w:bookmarkEnd w:id="8"/>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一）坚持人民至上、生命至上。牢固树立以人民为中心的发展思想，切实把保障人民健康和生命财产安全作为首要任务，强化预防为主、源头防控，夯实基层基础，最大程度防控危险化学品生产安全事故风险、减少事故及其造成的人员伤亡和危害。</w:t>
      </w:r>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二）坚持统一领导、协调联动。在旗委和旗人民政府统一领导下，充分发挥应急管理部门统筹协调作用和行业主管部门分类管理作用，衔接好防抗救的责任链条，形成整体合力，加快构建统一指挥、专常兼备、反应灵敏、上下联动、平战结合的应急管理体制，推进应急管理体系和能力现代化。</w:t>
      </w:r>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三）坚持高效有序、综合应对。建立健全以企业专业技术人员为主导、综合性消防救援队伍为主力、专业应急救援队伍和社会力量为辅助的应急力量体系。健全完善快速反应、协调联动机制，科学安全、高效有序应对危险化学品生产安全事故。</w:t>
      </w:r>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四）坚持依法规范、科技支撑。加强应急管理配套法规制度建设，充分发挥专家队伍和专业技术人员作用，优化整合各类科技资源，强化危险化学品生产安全事故防范应对科技支撑，提高危险化学品生产安全事故应对法治化、科学化、专业化和规范化水平。</w:t>
      </w:r>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（五）坚持区域协同、联防联控。健全完善应急协调联动机制，强化与相邻旗区的协同，加强信息沟通、政策协调和资源共享，联合开展应急演练，实现危险化学品生产安全事故联防联控。</w:t>
      </w:r>
    </w:p>
    <w:p>
      <w:pPr>
        <w:pStyle w:val="4"/>
        <w:tabs>
          <w:tab w:val="left" w:pos="709"/>
        </w:tabs>
        <w:spacing w:before="0" w:after="0" w:line="560" w:lineRule="exact"/>
        <w:ind w:firstLine="640" w:firstLineChars="200"/>
        <w:jc w:val="both"/>
        <w:rPr>
          <w:rFonts w:ascii="Times New Roman" w:hAnsi="Times New Roman" w:eastAsia="楷体"/>
          <w:kern w:val="2"/>
        </w:rPr>
      </w:pPr>
      <w:bookmarkStart w:id="9" w:name="_Toc135994568"/>
      <w:r>
        <w:rPr>
          <w:rFonts w:ascii="Times New Roman" w:hAnsi="Times New Roman" w:eastAsia="楷体"/>
          <w:kern w:val="2"/>
        </w:rPr>
        <w:t>1.5事故分级</w:t>
      </w:r>
      <w:bookmarkEnd w:id="9"/>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根据事故的性质、危害程度、涉及范围</w:t>
      </w:r>
      <w:r>
        <w:rPr>
          <w:rFonts w:ascii="Times New Roman" w:hAnsi="Times New Roman" w:eastAsia="仿宋_GB2312" w:cs="Times New Roman"/>
          <w:kern w:val="0"/>
          <w:sz w:val="32"/>
          <w:szCs w:val="32"/>
        </w:rPr>
        <w:t>，将</w:t>
      </w:r>
      <w:r>
        <w:rPr>
          <w:rFonts w:hint="eastAsia" w:ascii="Times New Roman" w:hAnsi="Times New Roman" w:eastAsia="仿宋_GB2312" w:cs="Times New Roman"/>
          <w:kern w:val="0"/>
          <w:sz w:val="32"/>
          <w:szCs w:val="32"/>
        </w:rPr>
        <w:t>危险化学品生产安全事故划</w:t>
      </w:r>
      <w:r>
        <w:rPr>
          <w:rFonts w:ascii="Times New Roman" w:hAnsi="Times New Roman" w:eastAsia="仿宋_GB2312" w:cs="Times New Roman"/>
          <w:kern w:val="0"/>
          <w:sz w:val="32"/>
          <w:szCs w:val="32"/>
        </w:rPr>
        <w:t>分为</w:t>
      </w:r>
      <w:r>
        <w:rPr>
          <w:rFonts w:hint="eastAsia" w:ascii="Times New Roman" w:hAnsi="Times New Roman" w:eastAsia="仿宋_GB2312" w:cs="Times New Roman"/>
          <w:kern w:val="0"/>
          <w:sz w:val="32"/>
          <w:szCs w:val="32"/>
        </w:rPr>
        <w:t>Ⅰ级（</w:t>
      </w:r>
      <w:r>
        <w:rPr>
          <w:rFonts w:ascii="Times New Roman" w:hAnsi="Times New Roman" w:eastAsia="仿宋_GB2312" w:cs="Times New Roman"/>
          <w:kern w:val="0"/>
          <w:sz w:val="32"/>
          <w:szCs w:val="32"/>
        </w:rPr>
        <w:t>特别重大</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Ⅱ级（</w:t>
      </w:r>
      <w:r>
        <w:rPr>
          <w:rFonts w:ascii="Times New Roman" w:hAnsi="Times New Roman" w:eastAsia="仿宋_GB2312" w:cs="Times New Roman"/>
          <w:kern w:val="0"/>
          <w:sz w:val="32"/>
          <w:szCs w:val="32"/>
        </w:rPr>
        <w:t>重大</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Ⅲ级（</w:t>
      </w:r>
      <w:r>
        <w:rPr>
          <w:rFonts w:ascii="Times New Roman" w:hAnsi="Times New Roman" w:eastAsia="仿宋_GB2312" w:cs="Times New Roman"/>
          <w:kern w:val="0"/>
          <w:sz w:val="32"/>
          <w:szCs w:val="32"/>
        </w:rPr>
        <w:t>较大</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Ⅳ级（</w:t>
      </w:r>
      <w:r>
        <w:rPr>
          <w:rFonts w:ascii="Times New Roman" w:hAnsi="Times New Roman" w:eastAsia="仿宋_GB2312" w:cs="Times New Roman"/>
          <w:kern w:val="0"/>
          <w:sz w:val="32"/>
          <w:szCs w:val="32"/>
        </w:rPr>
        <w:t>一般</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w:t>
      </w:r>
      <w:r>
        <w:rPr>
          <w:rFonts w:hint="eastAsia" w:ascii="Times New Roman" w:hAnsi="Times New Roman" w:eastAsia="仿宋_GB2312" w:cs="Times New Roman"/>
          <w:kern w:val="0"/>
          <w:sz w:val="32"/>
          <w:szCs w:val="32"/>
        </w:rPr>
        <w:t>Ⅰ级（</w:t>
      </w:r>
      <w:r>
        <w:rPr>
          <w:rFonts w:ascii="Times New Roman" w:hAnsi="Times New Roman" w:eastAsia="仿宋_GB2312" w:cs="Times New Roman"/>
          <w:sz w:val="32"/>
          <w:szCs w:val="32"/>
        </w:rPr>
        <w:t>特别重大事故</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：造成30人以上死亡，或者100人以上重伤（包括急性工业中毒，下同），或者1亿元以上直接经济损失的事故。</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w:t>
      </w:r>
      <w:r>
        <w:rPr>
          <w:rFonts w:hint="eastAsia" w:ascii="Times New Roman" w:hAnsi="Times New Roman" w:eastAsia="仿宋_GB2312" w:cs="Times New Roman"/>
          <w:kern w:val="0"/>
          <w:sz w:val="32"/>
          <w:szCs w:val="32"/>
        </w:rPr>
        <w:t>Ⅱ级（</w:t>
      </w:r>
      <w:r>
        <w:rPr>
          <w:rFonts w:ascii="Times New Roman" w:hAnsi="Times New Roman" w:eastAsia="仿宋_GB2312" w:cs="Times New Roman"/>
          <w:sz w:val="32"/>
          <w:szCs w:val="32"/>
        </w:rPr>
        <w:t>重大事故</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造成1</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人</w:t>
      </w:r>
      <w:r>
        <w:rPr>
          <w:rFonts w:ascii="Times New Roman" w:hAnsi="Times New Roman" w:eastAsia="仿宋_GB2312" w:cs="Times New Roman"/>
          <w:sz w:val="32"/>
          <w:szCs w:val="32"/>
        </w:rPr>
        <w:t>以上30人以下死亡，或者50人以上100人以下重伤，或者5000万元以上1亿元以下直接经济损失的事故。</w:t>
      </w:r>
    </w:p>
    <w:p>
      <w:pPr>
        <w:pStyle w:val="2"/>
        <w:spacing w:after="0"/>
        <w:ind w:left="0" w:leftChars="0"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（三）Ⅲ级（</w:t>
      </w:r>
      <w:r>
        <w:rPr>
          <w:rFonts w:ascii="Times New Roman" w:hAnsi="Times New Roman" w:eastAsia="仿宋_GB2312" w:cs="Times New Roman"/>
          <w:sz w:val="32"/>
          <w:szCs w:val="32"/>
        </w:rPr>
        <w:t>较大事故</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：造成3人以上10人以下死亡，或者10人以上50人以下重伤，或者1000万元以上5000万元以下直接经济损失的事故。</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（四）Ⅳ级（</w:t>
      </w:r>
      <w:r>
        <w:rPr>
          <w:rFonts w:ascii="Times New Roman" w:hAnsi="Times New Roman" w:eastAsia="仿宋_GB2312" w:cs="Times New Roman"/>
          <w:sz w:val="32"/>
          <w:szCs w:val="32"/>
        </w:rPr>
        <w:t>一般事故</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：造成3人以下死亡，或者10人以下重伤，或者1000万元以下直接经济损失的事故。</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上述所称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以上</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包括本数，所称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以下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不包括本数。</w:t>
      </w:r>
    </w:p>
    <w:p>
      <w:pPr>
        <w:pStyle w:val="4"/>
        <w:tabs>
          <w:tab w:val="left" w:pos="709"/>
        </w:tabs>
        <w:spacing w:before="0" w:after="0" w:line="560" w:lineRule="exact"/>
        <w:ind w:firstLine="640" w:firstLineChars="200"/>
        <w:jc w:val="both"/>
        <w:rPr>
          <w:rFonts w:ascii="Times New Roman" w:hAnsi="Times New Roman" w:eastAsia="楷体"/>
          <w:kern w:val="2"/>
        </w:rPr>
      </w:pPr>
      <w:bookmarkStart w:id="10" w:name="_Toc135994569"/>
      <w:bookmarkStart w:id="11" w:name="_Hlk125026686"/>
      <w:r>
        <w:rPr>
          <w:rFonts w:ascii="Times New Roman" w:hAnsi="Times New Roman" w:eastAsia="楷体"/>
          <w:kern w:val="2"/>
        </w:rPr>
        <w:t>1.6应急预案体系</w:t>
      </w:r>
      <w:bookmarkEnd w:id="10"/>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本预案是达拉特旗危险化学品</w:t>
      </w:r>
      <w:r>
        <w:rPr>
          <w:rFonts w:hint="eastAsia" w:ascii="Times New Roman" w:hAnsi="Times New Roman" w:eastAsia="仿宋_GB2312" w:cs="Times New Roman"/>
          <w:kern w:val="0"/>
          <w:sz w:val="32"/>
          <w:szCs w:val="32"/>
        </w:rPr>
        <w:t>生产安全</w:t>
      </w:r>
      <w:r>
        <w:rPr>
          <w:rFonts w:ascii="Times New Roman" w:hAnsi="Times New Roman" w:eastAsia="仿宋_GB2312" w:cs="Times New Roman"/>
          <w:kern w:val="0"/>
          <w:sz w:val="32"/>
          <w:szCs w:val="32"/>
        </w:rPr>
        <w:t>事故应急预案，属于专项应急预案，与鄂尔多斯市危险化学品</w:t>
      </w:r>
      <w:r>
        <w:rPr>
          <w:rFonts w:hint="eastAsia" w:ascii="Times New Roman" w:hAnsi="Times New Roman" w:eastAsia="仿宋_GB2312" w:cs="Times New Roman"/>
          <w:kern w:val="0"/>
          <w:sz w:val="32"/>
          <w:szCs w:val="32"/>
        </w:rPr>
        <w:t>生产安全</w:t>
      </w:r>
      <w:r>
        <w:rPr>
          <w:rFonts w:ascii="Times New Roman" w:hAnsi="Times New Roman" w:eastAsia="仿宋_GB2312" w:cs="Times New Roman"/>
          <w:kern w:val="0"/>
          <w:sz w:val="32"/>
          <w:szCs w:val="32"/>
        </w:rPr>
        <w:t>事故应急预案衔接。各</w:t>
      </w:r>
      <w:r>
        <w:rPr>
          <w:rFonts w:hint="eastAsia" w:ascii="Times New Roman" w:hAnsi="Times New Roman" w:eastAsia="仿宋_GB2312" w:cs="Times New Roman"/>
          <w:kern w:val="0"/>
          <w:sz w:val="32"/>
          <w:szCs w:val="32"/>
        </w:rPr>
        <w:t>单位、开发区（园区）、</w:t>
      </w:r>
      <w:r>
        <w:rPr>
          <w:rFonts w:ascii="Times New Roman" w:hAnsi="Times New Roman" w:eastAsia="仿宋_GB2312" w:cs="Times New Roman"/>
          <w:kern w:val="0"/>
          <w:sz w:val="32"/>
          <w:szCs w:val="32"/>
        </w:rPr>
        <w:t>苏木镇</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街道</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制定的危险化学品事故应急预案应与本预案衔接。</w:t>
      </w:r>
    </w:p>
    <w:bookmarkEnd w:id="11"/>
    <w:p>
      <w:pPr>
        <w:pStyle w:val="7"/>
        <w:adjustRightInd w:val="0"/>
        <w:snapToGrid w:val="0"/>
        <w:spacing w:line="560" w:lineRule="exact"/>
        <w:ind w:firstLine="640" w:firstLineChars="200"/>
        <w:outlineLvl w:val="0"/>
        <w:rPr>
          <w:rFonts w:ascii="Times New Roman" w:hAnsi="Times New Roman" w:eastAsia="黑体" w:cs="Times New Roman"/>
          <w:sz w:val="32"/>
          <w:szCs w:val="32"/>
        </w:rPr>
      </w:pPr>
      <w:bookmarkStart w:id="12" w:name="_Toc135994570"/>
      <w:r>
        <w:rPr>
          <w:rFonts w:ascii="Times New Roman" w:hAnsi="Times New Roman" w:eastAsia="黑体" w:cs="Times New Roman"/>
          <w:sz w:val="32"/>
          <w:szCs w:val="32"/>
        </w:rPr>
        <w:t>2达拉特旗危险化学品</w:t>
      </w:r>
      <w:r>
        <w:rPr>
          <w:rFonts w:hint="eastAsia" w:ascii="Times New Roman" w:hAnsi="Times New Roman" w:eastAsia="黑体" w:cs="Times New Roman"/>
          <w:sz w:val="32"/>
          <w:szCs w:val="32"/>
        </w:rPr>
        <w:t>风险</w:t>
      </w:r>
      <w:r>
        <w:rPr>
          <w:rFonts w:ascii="Times New Roman" w:hAnsi="Times New Roman" w:eastAsia="黑体" w:cs="Times New Roman"/>
          <w:sz w:val="32"/>
          <w:szCs w:val="32"/>
        </w:rPr>
        <w:t>分析</w:t>
      </w:r>
      <w:bookmarkEnd w:id="12"/>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全旗</w:t>
      </w:r>
      <w:r>
        <w:rPr>
          <w:rFonts w:hint="eastAsia" w:ascii="Times New Roman" w:hAnsi="Times New Roman" w:eastAsia="仿宋_GB2312" w:cs="Times New Roman"/>
          <w:kern w:val="0"/>
          <w:sz w:val="32"/>
          <w:szCs w:val="32"/>
        </w:rPr>
        <w:t>现</w:t>
      </w:r>
      <w:r>
        <w:rPr>
          <w:rFonts w:ascii="Times New Roman" w:hAnsi="Times New Roman" w:eastAsia="仿宋_GB2312" w:cs="Times New Roman"/>
          <w:kern w:val="0"/>
          <w:sz w:val="32"/>
          <w:szCs w:val="32"/>
        </w:rPr>
        <w:t>有危险化学品生产企业26家，经营企业（无储存）38家，储存企业1家，加油站137家。其中，涉及重大危险源的危化品生产经营企业11家，使用企业4家。</w:t>
      </w:r>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危险化学品风险主要有：</w:t>
      </w:r>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（一）危险化学品具有高度的易燃易爆性和有毒性，发生火灾或泄漏事故后情况复杂，爆炸、复燃复爆，扩散的范围大、速度快，极易导致立体、大面积、多火点等形式的燃烧。</w:t>
      </w:r>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（二）</w:t>
      </w:r>
      <w:r>
        <w:rPr>
          <w:rFonts w:hint="eastAsia" w:ascii="Times New Roman" w:hAnsi="Times New Roman" w:eastAsia="仿宋_GB2312" w:cs="Times New Roman"/>
          <w:kern w:val="0"/>
          <w:sz w:val="32"/>
          <w:szCs w:val="32"/>
        </w:rPr>
        <w:t>危险化学品企业生产过程中</w:t>
      </w:r>
      <w:r>
        <w:rPr>
          <w:rFonts w:ascii="Times New Roman" w:hAnsi="Times New Roman" w:eastAsia="仿宋_GB2312" w:cs="Times New Roman"/>
          <w:kern w:val="0"/>
          <w:sz w:val="32"/>
          <w:szCs w:val="32"/>
        </w:rPr>
        <w:t>使用化工生产的产品、中间体、副产品及含于其中的杂质和生产中的</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三废</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排放物，如氯气、硫化氢、含磷的污水等，均属工业毒物，具有毒性、腐蚀性和火灾危险性。</w:t>
      </w:r>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（三）危险化学品企业发生火灾事故后，火灾</w:t>
      </w:r>
      <w:r>
        <w:rPr>
          <w:rFonts w:hint="eastAsia" w:ascii="Times New Roman" w:hAnsi="Times New Roman" w:eastAsia="仿宋_GB2312" w:cs="Times New Roman"/>
          <w:kern w:val="0"/>
          <w:sz w:val="32"/>
          <w:szCs w:val="32"/>
        </w:rPr>
        <w:t>现场</w:t>
      </w:r>
      <w:r>
        <w:rPr>
          <w:rFonts w:ascii="Times New Roman" w:hAnsi="Times New Roman" w:eastAsia="仿宋_GB2312" w:cs="Times New Roman"/>
          <w:kern w:val="0"/>
          <w:sz w:val="32"/>
          <w:szCs w:val="32"/>
        </w:rPr>
        <w:t>情况</w:t>
      </w:r>
      <w:r>
        <w:rPr>
          <w:rFonts w:hint="eastAsia" w:ascii="Times New Roman" w:hAnsi="Times New Roman" w:eastAsia="仿宋_GB2312" w:cs="Times New Roman"/>
          <w:kern w:val="0"/>
          <w:sz w:val="32"/>
          <w:szCs w:val="32"/>
        </w:rPr>
        <w:t>相对</w:t>
      </w:r>
      <w:r>
        <w:rPr>
          <w:rFonts w:ascii="Times New Roman" w:hAnsi="Times New Roman" w:eastAsia="仿宋_GB2312" w:cs="Times New Roman"/>
          <w:kern w:val="0"/>
          <w:sz w:val="32"/>
          <w:szCs w:val="32"/>
        </w:rPr>
        <w:t>复杂，常伴随着爆炸、闪燃、二次爆炸，或燃烧后爆炸，或燃烧与爆炸相互交替的现象。</w:t>
      </w:r>
    </w:p>
    <w:p>
      <w:pPr>
        <w:pStyle w:val="7"/>
        <w:adjustRightInd w:val="0"/>
        <w:snapToGrid w:val="0"/>
        <w:spacing w:line="560" w:lineRule="exact"/>
        <w:ind w:firstLine="640" w:firstLineChars="200"/>
        <w:outlineLvl w:val="0"/>
        <w:rPr>
          <w:rFonts w:ascii="Times New Roman" w:hAnsi="Times New Roman" w:eastAsia="黑体" w:cs="Times New Roman"/>
          <w:sz w:val="32"/>
          <w:szCs w:val="32"/>
        </w:rPr>
      </w:pPr>
      <w:bookmarkStart w:id="13" w:name="_Toc135994571"/>
      <w:r>
        <w:rPr>
          <w:rFonts w:ascii="Times New Roman" w:hAnsi="Times New Roman" w:eastAsia="黑体" w:cs="Times New Roman"/>
          <w:sz w:val="32"/>
          <w:szCs w:val="32"/>
        </w:rPr>
        <w:t>3组织机构与职责</w:t>
      </w:r>
      <w:bookmarkEnd w:id="13"/>
    </w:p>
    <w:p>
      <w:pPr>
        <w:pStyle w:val="4"/>
        <w:tabs>
          <w:tab w:val="left" w:pos="709"/>
        </w:tabs>
        <w:spacing w:before="0" w:after="0" w:line="560" w:lineRule="exact"/>
        <w:ind w:firstLine="640" w:firstLineChars="200"/>
        <w:jc w:val="both"/>
        <w:rPr>
          <w:rFonts w:ascii="Times New Roman" w:hAnsi="Times New Roman" w:eastAsia="楷体"/>
          <w:kern w:val="2"/>
        </w:rPr>
      </w:pPr>
      <w:bookmarkStart w:id="14" w:name="_Toc113806634"/>
      <w:bookmarkStart w:id="15" w:name="_Toc135994572"/>
      <w:r>
        <w:rPr>
          <w:rFonts w:ascii="Times New Roman" w:hAnsi="Times New Roman" w:eastAsia="楷体"/>
          <w:kern w:val="2"/>
        </w:rPr>
        <w:t>3.1应急</w:t>
      </w:r>
      <w:r>
        <w:rPr>
          <w:rFonts w:hint="eastAsia" w:ascii="Times New Roman" w:hAnsi="Times New Roman" w:eastAsia="楷体"/>
          <w:kern w:val="2"/>
        </w:rPr>
        <w:t>指挥部及职责</w:t>
      </w:r>
      <w:bookmarkEnd w:id="14"/>
      <w:bookmarkEnd w:id="15"/>
    </w:p>
    <w:p>
      <w:pPr>
        <w:widowControl/>
        <w:shd w:val="clear" w:color="auto" w:fill="FFFFFF"/>
        <w:spacing w:line="560" w:lineRule="exact"/>
        <w:ind w:firstLine="640" w:firstLineChars="200"/>
        <w:rPr>
          <w:rFonts w:ascii="Times New Roman" w:hAnsi="Times New Roman" w:eastAsia="仿宋_GB2312" w:cs="Times New Roman"/>
          <w:sz w:val="32"/>
          <w:szCs w:val="32"/>
        </w:rPr>
      </w:pPr>
      <w:r>
        <w:rPr>
          <w:rFonts w:eastAsia="仿宋_GB2312"/>
          <w:sz w:val="32"/>
          <w:szCs w:val="32"/>
        </w:rPr>
        <w:t>旗人民政府成立旗</w:t>
      </w:r>
      <w:r>
        <w:rPr>
          <w:rFonts w:hint="eastAsia" w:eastAsia="仿宋_GB2312"/>
          <w:sz w:val="32"/>
          <w:szCs w:val="32"/>
        </w:rPr>
        <w:t>危险化学品</w:t>
      </w:r>
      <w:r>
        <w:rPr>
          <w:rFonts w:eastAsia="仿宋_GB2312"/>
          <w:sz w:val="32"/>
          <w:szCs w:val="32"/>
        </w:rPr>
        <w:t>事故专项应急指挥部（以下简称旗应急指挥部），统一</w:t>
      </w:r>
      <w:r>
        <w:rPr>
          <w:rFonts w:hint="eastAsia" w:eastAsia="仿宋_GB2312"/>
          <w:sz w:val="32"/>
          <w:szCs w:val="32"/>
        </w:rPr>
        <w:t>指导、协调危险化学品</w:t>
      </w:r>
      <w:r>
        <w:rPr>
          <w:rFonts w:eastAsia="仿宋_GB2312"/>
          <w:sz w:val="32"/>
          <w:szCs w:val="32"/>
        </w:rPr>
        <w:t>生产安全事故应急处置工作。</w:t>
      </w:r>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总指挥：分管应急的副旗长</w:t>
      </w:r>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副总指挥：旗人民政府办公室主任、旗公安局局长</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旗应急管理局局长</w:t>
      </w:r>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成员单位：旗人民政府办公室、旗委宣传部、旗工信和科技局、旗财政局、旗交通运输局、旗公安局、旗人力资源和社会保障局、旗民政局、旗卫生健康委员会、市生态环境局达拉特分局、旗应急管理局、</w:t>
      </w:r>
      <w:r>
        <w:rPr>
          <w:rFonts w:hint="eastAsia" w:ascii="Times New Roman" w:hAnsi="Times New Roman" w:eastAsia="仿宋_GB2312" w:cs="Times New Roman"/>
          <w:kern w:val="0"/>
          <w:sz w:val="32"/>
          <w:szCs w:val="32"/>
        </w:rPr>
        <w:t>旗教育体育局、</w:t>
      </w:r>
      <w:r>
        <w:rPr>
          <w:rFonts w:ascii="Times New Roman" w:hAnsi="Times New Roman" w:eastAsia="仿宋_GB2312" w:cs="Times New Roman"/>
          <w:kern w:val="0"/>
          <w:sz w:val="32"/>
          <w:szCs w:val="32"/>
        </w:rPr>
        <w:t>旗市场监督管理局、旗气象局、旗消防救援大队、旗交管大队、</w:t>
      </w:r>
      <w:r>
        <w:rPr>
          <w:rFonts w:eastAsia="仿宋_GB2312"/>
          <w:sz w:val="32"/>
          <w:szCs w:val="32"/>
        </w:rPr>
        <w:t>开发区（园区）管委会</w:t>
      </w:r>
      <w:r>
        <w:rPr>
          <w:rFonts w:hint="eastAsia" w:ascii="Times New Roman" w:hAnsi="Times New Roman" w:eastAsia="仿宋_GB2312" w:cs="Times New Roman"/>
          <w:kern w:val="0"/>
          <w:sz w:val="32"/>
          <w:szCs w:val="32"/>
        </w:rPr>
        <w:t>、苏木镇</w:t>
      </w:r>
      <w:r>
        <w:rPr>
          <w:rFonts w:ascii="Times New Roman" w:hAnsi="Times New Roman" w:eastAsia="仿宋_GB2312" w:cs="Times New Roman"/>
          <w:kern w:val="0"/>
          <w:sz w:val="32"/>
          <w:szCs w:val="32"/>
        </w:rPr>
        <w:t>人民政府</w:t>
      </w:r>
      <w:r>
        <w:rPr>
          <w:rFonts w:hint="eastAsia" w:ascii="Times New Roman" w:hAnsi="Times New Roman" w:eastAsia="仿宋_GB2312" w:cs="Times New Roman"/>
          <w:kern w:val="0"/>
          <w:sz w:val="32"/>
          <w:szCs w:val="32"/>
        </w:rPr>
        <w:t>（街道办事处）</w:t>
      </w:r>
      <w:r>
        <w:rPr>
          <w:rFonts w:ascii="Times New Roman" w:hAnsi="Times New Roman" w:eastAsia="仿宋_GB2312" w:cs="Times New Roman"/>
          <w:kern w:val="0"/>
          <w:sz w:val="32"/>
          <w:szCs w:val="32"/>
        </w:rPr>
        <w:t>。</w:t>
      </w:r>
    </w:p>
    <w:p>
      <w:pPr>
        <w:spacing w:line="560" w:lineRule="exact"/>
        <w:ind w:firstLine="640" w:firstLineChars="200"/>
        <w:rPr>
          <w:rFonts w:eastAsia="仿宋_GB2312"/>
          <w:sz w:val="32"/>
          <w:szCs w:val="32"/>
        </w:rPr>
      </w:pPr>
      <w:bookmarkStart w:id="16" w:name="_Toc125048232"/>
      <w:bookmarkStart w:id="17" w:name="_Toc124899039"/>
      <w:bookmarkStart w:id="18" w:name="_Toc115271664"/>
      <w:bookmarkStart w:id="19" w:name="_Toc125031401"/>
      <w:bookmarkStart w:id="20" w:name="_Toc125031631"/>
      <w:bookmarkStart w:id="21" w:name="_Toc115335267"/>
      <w:r>
        <w:rPr>
          <w:rFonts w:eastAsia="仿宋_GB2312"/>
          <w:sz w:val="32"/>
          <w:szCs w:val="32"/>
        </w:rPr>
        <w:t>旗应急指挥部主要职责</w:t>
      </w:r>
      <w:bookmarkEnd w:id="16"/>
      <w:bookmarkEnd w:id="17"/>
      <w:bookmarkEnd w:id="18"/>
      <w:bookmarkEnd w:id="19"/>
      <w:bookmarkEnd w:id="20"/>
      <w:bookmarkEnd w:id="21"/>
      <w:r>
        <w:rPr>
          <w:rFonts w:hint="eastAsia" w:eastAsia="仿宋_GB2312"/>
          <w:sz w:val="32"/>
          <w:szCs w:val="32"/>
        </w:rPr>
        <w:t>为：</w:t>
      </w:r>
    </w:p>
    <w:p>
      <w:pPr>
        <w:spacing w:line="560" w:lineRule="exact"/>
        <w:ind w:firstLine="640" w:firstLineChars="200"/>
        <w:rPr>
          <w:rFonts w:eastAsia="仿宋_GB2312"/>
          <w:sz w:val="32"/>
          <w:szCs w:val="32"/>
        </w:rPr>
      </w:pPr>
      <w:r>
        <w:rPr>
          <w:rFonts w:eastAsia="仿宋_GB2312"/>
          <w:sz w:val="32"/>
          <w:szCs w:val="32"/>
        </w:rPr>
        <w:t>（一）贯彻落实生产安全事故应对法律法规，研究解决</w:t>
      </w:r>
      <w:r>
        <w:rPr>
          <w:rFonts w:hint="eastAsia" w:eastAsia="仿宋_GB2312"/>
          <w:sz w:val="32"/>
          <w:szCs w:val="32"/>
        </w:rPr>
        <w:t>危险化学品</w:t>
      </w:r>
      <w:r>
        <w:rPr>
          <w:rFonts w:eastAsia="仿宋_GB2312"/>
          <w:sz w:val="32"/>
          <w:szCs w:val="32"/>
        </w:rPr>
        <w:t>生产安全事故的重大问题及重要事项</w:t>
      </w:r>
      <w:r>
        <w:rPr>
          <w:rFonts w:hint="eastAsia"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（二）负责组织指挥一般事故应急处置，负责较大及以上事故的先期处置</w:t>
      </w:r>
      <w:r>
        <w:rPr>
          <w:rFonts w:hint="eastAsia"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（三）负责对旗行政区域内</w:t>
      </w:r>
      <w:r>
        <w:rPr>
          <w:rFonts w:hint="eastAsia" w:eastAsia="仿宋_GB2312"/>
          <w:sz w:val="32"/>
          <w:szCs w:val="32"/>
        </w:rPr>
        <w:t>危险化学品</w:t>
      </w:r>
      <w:r>
        <w:rPr>
          <w:rFonts w:eastAsia="仿宋_GB2312"/>
          <w:sz w:val="32"/>
          <w:szCs w:val="32"/>
        </w:rPr>
        <w:t>生产安全事故应对工作进行部署，加强督促检查和指导，向旗委、旗人民政府报告应急处置情况</w:t>
      </w:r>
      <w:r>
        <w:rPr>
          <w:rFonts w:hint="eastAsia"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（四）当事故超出本旗应急处置能力时，请求上级救援支援</w:t>
      </w:r>
      <w:r>
        <w:rPr>
          <w:rFonts w:hint="eastAsia"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（五）根据需要组建现场指挥部，制定现场处置方案，协调和调度各成员单位按照预案要求和职责分工开展事故的应对处置工作，及时向成员单位通报应急工作情况</w:t>
      </w:r>
      <w:r>
        <w:rPr>
          <w:rFonts w:hint="eastAsia"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（六）对于敏感的、可能有次生或衍生危害性的事故或预警信息，加强监测预警，组织专家会商和研判，按有关规定做好信息报告、发布和应急响应，必要时提升响应级别</w:t>
      </w:r>
      <w:r>
        <w:rPr>
          <w:rFonts w:hint="eastAsia"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（七）负责旗</w:t>
      </w:r>
      <w:r>
        <w:rPr>
          <w:rFonts w:hint="eastAsia" w:eastAsia="仿宋_GB2312"/>
          <w:sz w:val="32"/>
          <w:szCs w:val="32"/>
        </w:rPr>
        <w:t>应急</w:t>
      </w:r>
      <w:r>
        <w:rPr>
          <w:rFonts w:eastAsia="仿宋_GB2312"/>
          <w:sz w:val="32"/>
          <w:szCs w:val="32"/>
        </w:rPr>
        <w:t>指挥部所属应急救援队伍的建设、管理和协调，以及应急物资的储备保障等工作</w:t>
      </w:r>
      <w:r>
        <w:rPr>
          <w:rFonts w:hint="eastAsia"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（八）根据事故实际情况和发展趋势，决定启动、终止旗专项预案的应急响应</w:t>
      </w:r>
      <w:r>
        <w:rPr>
          <w:rFonts w:hint="eastAsia"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（九）承办旗委、旗人民政府交办的其他工作任务。</w:t>
      </w:r>
    </w:p>
    <w:p>
      <w:pPr>
        <w:spacing w:line="560" w:lineRule="exact"/>
        <w:ind w:firstLine="640" w:firstLineChars="200"/>
        <w:rPr>
          <w:rFonts w:eastAsia="仿宋_GB2312"/>
          <w:sz w:val="32"/>
          <w:szCs w:val="32"/>
        </w:rPr>
      </w:pPr>
      <w:r>
        <w:rPr>
          <w:rFonts w:eastAsia="仿宋_GB2312"/>
          <w:sz w:val="32"/>
          <w:szCs w:val="32"/>
        </w:rPr>
        <w:t>旗</w:t>
      </w:r>
      <w:r>
        <w:rPr>
          <w:rFonts w:hint="eastAsia" w:eastAsia="仿宋_GB2312"/>
          <w:sz w:val="32"/>
          <w:szCs w:val="32"/>
        </w:rPr>
        <w:t>应急指挥部办公室设在应急管理局，</w:t>
      </w:r>
      <w:r>
        <w:rPr>
          <w:rFonts w:eastAsia="仿宋_GB2312"/>
          <w:sz w:val="32"/>
          <w:szCs w:val="32"/>
        </w:rPr>
        <w:t>具体</w:t>
      </w:r>
      <w:r>
        <w:rPr>
          <w:rFonts w:hint="eastAsia" w:eastAsia="仿宋_GB2312"/>
          <w:sz w:val="32"/>
          <w:szCs w:val="32"/>
        </w:rPr>
        <w:t>职责</w:t>
      </w:r>
      <w:r>
        <w:rPr>
          <w:rFonts w:eastAsia="仿宋_GB2312"/>
          <w:sz w:val="32"/>
          <w:szCs w:val="32"/>
        </w:rPr>
        <w:t>参</w:t>
      </w:r>
      <w:r>
        <w:rPr>
          <w:rFonts w:hint="eastAsia" w:eastAsia="仿宋_GB2312"/>
          <w:sz w:val="32"/>
          <w:szCs w:val="32"/>
        </w:rPr>
        <w:t>照</w:t>
      </w:r>
      <w:r>
        <w:rPr>
          <w:rFonts w:eastAsia="仿宋_GB2312"/>
          <w:sz w:val="32"/>
          <w:szCs w:val="32"/>
        </w:rPr>
        <w:t>《达拉特旗生产安全事故应急预案》。</w:t>
      </w:r>
    </w:p>
    <w:p>
      <w:pPr>
        <w:pStyle w:val="4"/>
        <w:tabs>
          <w:tab w:val="left" w:pos="709"/>
        </w:tabs>
        <w:spacing w:before="0" w:after="0" w:line="560" w:lineRule="exact"/>
        <w:ind w:firstLine="640" w:firstLineChars="200"/>
        <w:jc w:val="both"/>
        <w:rPr>
          <w:rFonts w:ascii="Times New Roman" w:hAnsi="Times New Roman" w:eastAsia="楷体"/>
          <w:kern w:val="2"/>
        </w:rPr>
      </w:pPr>
      <w:bookmarkStart w:id="22" w:name="_Toc113806635"/>
      <w:bookmarkStart w:id="23" w:name="_Toc135994573"/>
      <w:r>
        <w:rPr>
          <w:rFonts w:ascii="Times New Roman" w:hAnsi="Times New Roman" w:eastAsia="楷体"/>
          <w:kern w:val="2"/>
        </w:rPr>
        <w:t>3.2应急</w:t>
      </w:r>
      <w:r>
        <w:rPr>
          <w:rFonts w:hint="eastAsia" w:ascii="Times New Roman" w:hAnsi="Times New Roman" w:eastAsia="楷体"/>
          <w:kern w:val="2"/>
        </w:rPr>
        <w:t>指挥部成员单位</w:t>
      </w:r>
      <w:r>
        <w:rPr>
          <w:rFonts w:ascii="Times New Roman" w:hAnsi="Times New Roman" w:eastAsia="楷体"/>
          <w:kern w:val="2"/>
        </w:rPr>
        <w:t>职责</w:t>
      </w:r>
      <w:bookmarkEnd w:id="22"/>
      <w:bookmarkEnd w:id="23"/>
    </w:p>
    <w:p>
      <w:pPr>
        <w:spacing w:line="560" w:lineRule="exact"/>
        <w:ind w:firstLine="640" w:firstLineChars="200"/>
        <w:rPr>
          <w:rFonts w:eastAsia="仿宋_GB2312"/>
          <w:sz w:val="32"/>
          <w:szCs w:val="32"/>
        </w:rPr>
      </w:pPr>
      <w:r>
        <w:rPr>
          <w:rFonts w:hint="eastAsia" w:eastAsia="仿宋_GB2312"/>
          <w:sz w:val="32"/>
          <w:szCs w:val="32"/>
        </w:rPr>
        <w:t>应急指挥部成员单位按照各自职责和业务范围，在专项指挥部的领导下，负责旗危险化学品生产安全事故的预防和应对工作，职责分工如下：</w:t>
      </w:r>
    </w:p>
    <w:p>
      <w:pPr>
        <w:spacing w:line="560" w:lineRule="exact"/>
        <w:ind w:firstLine="640" w:firstLineChars="200"/>
        <w:rPr>
          <w:rFonts w:eastAsia="仿宋_GB2312"/>
          <w:sz w:val="32"/>
          <w:szCs w:val="32"/>
        </w:rPr>
      </w:pPr>
      <w:r>
        <w:rPr>
          <w:rFonts w:eastAsia="仿宋_GB2312"/>
          <w:sz w:val="32"/>
          <w:szCs w:val="32"/>
        </w:rPr>
        <w:t>（一）旗人民政府办公室：负责协助旗人民政府领导处置事故，汇总上报事故信息，协调应急救援处置相关力量。</w:t>
      </w:r>
    </w:p>
    <w:p>
      <w:pPr>
        <w:spacing w:line="560" w:lineRule="exact"/>
        <w:ind w:firstLine="640" w:firstLineChars="200"/>
        <w:rPr>
          <w:rFonts w:eastAsia="仿宋_GB2312"/>
          <w:sz w:val="32"/>
          <w:szCs w:val="32"/>
        </w:rPr>
      </w:pPr>
      <w:r>
        <w:rPr>
          <w:rFonts w:eastAsia="仿宋_GB2312"/>
          <w:sz w:val="32"/>
          <w:szCs w:val="32"/>
        </w:rPr>
        <w:t>（二）旗宣传部：负责组织事故应急救援宣传报道、新闻发布工作。</w:t>
      </w:r>
      <w:r>
        <w:rPr>
          <w:rFonts w:hint="eastAsia" w:eastAsia="仿宋_GB2312"/>
          <w:sz w:val="32"/>
          <w:szCs w:val="32"/>
        </w:rPr>
        <w:t>组织相关新闻单位进行危险化学品安全知识宣传。做好新闻媒体和互联网舆情信息的引导管理工作。</w:t>
      </w:r>
    </w:p>
    <w:p>
      <w:pPr>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三</w:t>
      </w:r>
      <w:r>
        <w:rPr>
          <w:rFonts w:eastAsia="仿宋_GB2312"/>
          <w:sz w:val="32"/>
          <w:szCs w:val="32"/>
        </w:rPr>
        <w:t>）旗工信和科技局：协调相关电信运营商做好应急情况下电讯系统设施、设备完好保障及事故应急救援期间救援系统通讯畅通无阻。</w:t>
      </w:r>
    </w:p>
    <w:p>
      <w:pPr>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四</w:t>
      </w:r>
      <w:r>
        <w:rPr>
          <w:rFonts w:eastAsia="仿宋_GB2312"/>
          <w:sz w:val="32"/>
          <w:szCs w:val="32"/>
        </w:rPr>
        <w:t>）旗财政局：负责</w:t>
      </w:r>
      <w:r>
        <w:rPr>
          <w:rFonts w:hint="eastAsia" w:eastAsia="仿宋_GB2312"/>
          <w:sz w:val="32"/>
          <w:szCs w:val="32"/>
        </w:rPr>
        <w:t>按照职责分工，做好危险化学品事故应急处置工作资金保障。</w:t>
      </w:r>
    </w:p>
    <w:p>
      <w:pPr>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五</w:t>
      </w:r>
      <w:r>
        <w:rPr>
          <w:rFonts w:eastAsia="仿宋_GB2312"/>
          <w:sz w:val="32"/>
          <w:szCs w:val="32"/>
        </w:rPr>
        <w:t>）旗交通运输局：负责事故状态下的公路交通运输保障；</w:t>
      </w:r>
      <w:r>
        <w:rPr>
          <w:rFonts w:hint="eastAsia" w:eastAsia="仿宋_GB2312"/>
          <w:sz w:val="32"/>
          <w:szCs w:val="32"/>
        </w:rPr>
        <w:t>组织协调恢复道路、公路、桥梁等受损交通基础设施。</w:t>
      </w:r>
    </w:p>
    <w:p>
      <w:pPr>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六</w:t>
      </w:r>
      <w:r>
        <w:rPr>
          <w:rFonts w:eastAsia="仿宋_GB2312"/>
          <w:sz w:val="32"/>
          <w:szCs w:val="32"/>
        </w:rPr>
        <w:t>）旗公安局：</w:t>
      </w:r>
      <w:r>
        <w:rPr>
          <w:rFonts w:hint="eastAsia" w:eastAsia="仿宋_GB2312"/>
          <w:sz w:val="32"/>
          <w:szCs w:val="32"/>
        </w:rPr>
        <w:t>组织事故可能危及区域内的人员疏散撤离。维护人员撤离区域及事故现场的社会秩序。</w:t>
      </w:r>
    </w:p>
    <w:p>
      <w:pPr>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七</w:t>
      </w:r>
      <w:r>
        <w:rPr>
          <w:rFonts w:eastAsia="仿宋_GB2312"/>
          <w:sz w:val="32"/>
          <w:szCs w:val="32"/>
        </w:rPr>
        <w:t>）旗人力资源和社会保障局：负责</w:t>
      </w:r>
      <w:r>
        <w:rPr>
          <w:rFonts w:hint="eastAsia" w:eastAsia="仿宋_GB2312"/>
          <w:sz w:val="32"/>
          <w:szCs w:val="32"/>
        </w:rPr>
        <w:t>事故伤亡人员</w:t>
      </w:r>
      <w:r>
        <w:rPr>
          <w:rFonts w:eastAsia="仿宋_GB2312"/>
          <w:sz w:val="32"/>
          <w:szCs w:val="32"/>
        </w:rPr>
        <w:t>工伤</w:t>
      </w:r>
      <w:r>
        <w:rPr>
          <w:rFonts w:hint="eastAsia" w:eastAsia="仿宋_GB2312"/>
          <w:sz w:val="32"/>
          <w:szCs w:val="32"/>
        </w:rPr>
        <w:t>保险落实</w:t>
      </w:r>
      <w:r>
        <w:rPr>
          <w:rFonts w:eastAsia="仿宋_GB2312"/>
          <w:sz w:val="32"/>
          <w:szCs w:val="32"/>
        </w:rPr>
        <w:t>，指导工伤待遇劳动争议仲裁工作。</w:t>
      </w:r>
    </w:p>
    <w:p>
      <w:pPr>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八</w:t>
      </w:r>
      <w:r>
        <w:rPr>
          <w:rFonts w:eastAsia="仿宋_GB2312"/>
          <w:sz w:val="32"/>
          <w:szCs w:val="32"/>
        </w:rPr>
        <w:t>）旗民政局：负责对事故伤害群众进行社会救助保障工作，协同事发地</w:t>
      </w:r>
      <w:r>
        <w:rPr>
          <w:rFonts w:hint="eastAsia" w:eastAsia="仿宋_GB2312"/>
          <w:sz w:val="32"/>
          <w:szCs w:val="32"/>
        </w:rPr>
        <w:t>苏木镇人民政府（</w:t>
      </w:r>
      <w:r>
        <w:rPr>
          <w:rFonts w:eastAsia="仿宋_GB2312"/>
          <w:sz w:val="32"/>
          <w:szCs w:val="32"/>
        </w:rPr>
        <w:t>街道办事处</w:t>
      </w:r>
      <w:r>
        <w:rPr>
          <w:rFonts w:hint="eastAsia" w:eastAsia="仿宋_GB2312"/>
          <w:sz w:val="32"/>
          <w:szCs w:val="32"/>
        </w:rPr>
        <w:t>）</w:t>
      </w:r>
      <w:r>
        <w:rPr>
          <w:rFonts w:eastAsia="仿宋_GB2312"/>
          <w:sz w:val="32"/>
          <w:szCs w:val="32"/>
        </w:rPr>
        <w:t>承办旗应急指挥部交办的涉及社会救助工作的其他事项。</w:t>
      </w:r>
    </w:p>
    <w:p>
      <w:pPr>
        <w:spacing w:line="56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九</w:t>
      </w:r>
      <w:r>
        <w:rPr>
          <w:rFonts w:eastAsia="仿宋_GB2312"/>
          <w:sz w:val="32"/>
          <w:szCs w:val="32"/>
        </w:rPr>
        <w:t>）旗卫生健康委员会：负责事故</w:t>
      </w:r>
      <w:r>
        <w:rPr>
          <w:rFonts w:hint="eastAsia" w:eastAsia="仿宋_GB2312"/>
          <w:sz w:val="32"/>
          <w:szCs w:val="32"/>
        </w:rPr>
        <w:t>中受伤人员的</w:t>
      </w:r>
      <w:r>
        <w:rPr>
          <w:rFonts w:eastAsia="仿宋_GB2312"/>
          <w:sz w:val="32"/>
          <w:szCs w:val="32"/>
        </w:rPr>
        <w:t>现场医疗</w:t>
      </w:r>
      <w:r>
        <w:rPr>
          <w:rFonts w:hint="eastAsia" w:eastAsia="仿宋_GB2312"/>
          <w:sz w:val="32"/>
          <w:szCs w:val="32"/>
        </w:rPr>
        <w:t>救治、转运、院内救治等</w:t>
      </w:r>
      <w:r>
        <w:rPr>
          <w:rFonts w:eastAsia="仿宋_GB2312"/>
          <w:sz w:val="32"/>
          <w:szCs w:val="32"/>
        </w:rPr>
        <w:t>工作</w:t>
      </w:r>
      <w:r>
        <w:rPr>
          <w:rFonts w:hint="eastAsia" w:eastAsia="仿宋_GB2312"/>
          <w:sz w:val="32"/>
          <w:szCs w:val="32"/>
        </w:rPr>
        <w:t>。负责统计人员伤亡情况及医疗救治情况。</w:t>
      </w:r>
    </w:p>
    <w:p>
      <w:pPr>
        <w:spacing w:line="560" w:lineRule="exact"/>
        <w:ind w:firstLine="640" w:firstLineChars="200"/>
        <w:rPr>
          <w:rFonts w:eastAsia="仿宋_GB2312"/>
          <w:sz w:val="32"/>
          <w:szCs w:val="32"/>
        </w:rPr>
      </w:pPr>
      <w:r>
        <w:rPr>
          <w:rFonts w:eastAsia="仿宋_GB2312"/>
          <w:sz w:val="32"/>
          <w:szCs w:val="32"/>
        </w:rPr>
        <w:t>（十）旗应急管理局：</w:t>
      </w:r>
      <w:r>
        <w:rPr>
          <w:rFonts w:hint="eastAsia" w:eastAsia="仿宋_GB2312"/>
          <w:sz w:val="32"/>
          <w:szCs w:val="32"/>
        </w:rPr>
        <w:t>负责危险化学品生产安全事故应急处置综合协调工作。调动全旗相关应急救援队伍、专家和应急物资参与事故处置。负责指导苏木镇人民政府（街道办事处）做好受灾群众转移安置工作。依法组织、指导事故调查处理工作。</w:t>
      </w:r>
    </w:p>
    <w:p>
      <w:pPr>
        <w:spacing w:line="560" w:lineRule="exact"/>
        <w:ind w:firstLine="640" w:firstLineChars="200"/>
        <w:rPr>
          <w:rFonts w:eastAsia="仿宋_GB2312"/>
          <w:sz w:val="32"/>
          <w:szCs w:val="32"/>
        </w:rPr>
      </w:pPr>
      <w:r>
        <w:rPr>
          <w:rFonts w:eastAsia="仿宋_GB2312"/>
          <w:sz w:val="32"/>
          <w:szCs w:val="32"/>
        </w:rPr>
        <w:t>（十</w:t>
      </w:r>
      <w:r>
        <w:rPr>
          <w:rFonts w:hint="eastAsia" w:eastAsia="仿宋_GB2312"/>
          <w:sz w:val="32"/>
          <w:szCs w:val="32"/>
        </w:rPr>
        <w:t>一</w:t>
      </w:r>
      <w:r>
        <w:rPr>
          <w:rFonts w:eastAsia="仿宋_GB2312"/>
          <w:sz w:val="32"/>
          <w:szCs w:val="32"/>
        </w:rPr>
        <w:t>）</w:t>
      </w:r>
      <w:r>
        <w:rPr>
          <w:rFonts w:hint="eastAsia" w:eastAsia="仿宋_GB2312"/>
          <w:sz w:val="32"/>
          <w:szCs w:val="32"/>
        </w:rPr>
        <w:t>旗教育体育局：</w:t>
      </w:r>
      <w:r>
        <w:rPr>
          <w:rFonts w:eastAsia="仿宋_GB2312"/>
          <w:sz w:val="32"/>
          <w:szCs w:val="32"/>
        </w:rPr>
        <w:t>负责</w:t>
      </w:r>
      <w:r>
        <w:rPr>
          <w:rFonts w:hint="eastAsia" w:eastAsia="仿宋_GB2312"/>
          <w:sz w:val="32"/>
          <w:szCs w:val="32"/>
        </w:rPr>
        <w:t>组织协调教育、体育等环节危险化学品事故中，提供相关基础信息，并参与配合处置。</w:t>
      </w:r>
    </w:p>
    <w:p>
      <w:pPr>
        <w:spacing w:line="560" w:lineRule="exact"/>
        <w:ind w:firstLine="640" w:firstLineChars="200"/>
        <w:rPr>
          <w:rFonts w:eastAsia="仿宋_GB2312"/>
          <w:sz w:val="32"/>
          <w:szCs w:val="32"/>
        </w:rPr>
      </w:pPr>
      <w:r>
        <w:rPr>
          <w:rFonts w:eastAsia="仿宋_GB2312"/>
          <w:sz w:val="32"/>
          <w:szCs w:val="32"/>
        </w:rPr>
        <w:t>（十</w:t>
      </w:r>
      <w:r>
        <w:rPr>
          <w:rFonts w:hint="eastAsia" w:eastAsia="仿宋_GB2312"/>
          <w:sz w:val="32"/>
          <w:szCs w:val="32"/>
        </w:rPr>
        <w:t>二</w:t>
      </w:r>
      <w:r>
        <w:rPr>
          <w:rFonts w:eastAsia="仿宋_GB2312"/>
          <w:sz w:val="32"/>
          <w:szCs w:val="32"/>
        </w:rPr>
        <w:t>）</w:t>
      </w:r>
      <w:r>
        <w:rPr>
          <w:rFonts w:hint="eastAsia" w:eastAsia="仿宋_GB2312"/>
          <w:sz w:val="32"/>
          <w:szCs w:val="32"/>
        </w:rPr>
        <w:t>旗市场监督管理局：</w:t>
      </w:r>
      <w:r>
        <w:rPr>
          <w:rFonts w:eastAsia="仿宋_GB2312"/>
          <w:sz w:val="32"/>
          <w:szCs w:val="32"/>
        </w:rPr>
        <w:t>负责</w:t>
      </w:r>
      <w:r>
        <w:rPr>
          <w:rFonts w:hint="eastAsia" w:eastAsia="仿宋_GB2312"/>
          <w:sz w:val="32"/>
          <w:szCs w:val="32"/>
        </w:rPr>
        <w:t>组织危险化学品事故中与特种设备相关的事故调查处理和救援技术支持工作。</w:t>
      </w:r>
    </w:p>
    <w:p>
      <w:pPr>
        <w:spacing w:line="560" w:lineRule="exact"/>
        <w:ind w:firstLine="640" w:firstLineChars="200"/>
        <w:rPr>
          <w:rFonts w:eastAsia="仿宋_GB2312"/>
          <w:sz w:val="32"/>
          <w:szCs w:val="32"/>
        </w:rPr>
      </w:pPr>
      <w:r>
        <w:rPr>
          <w:rFonts w:eastAsia="仿宋_GB2312"/>
          <w:sz w:val="32"/>
          <w:szCs w:val="32"/>
        </w:rPr>
        <w:t>（十</w:t>
      </w:r>
      <w:r>
        <w:rPr>
          <w:rFonts w:hint="eastAsia" w:eastAsia="仿宋_GB2312"/>
          <w:sz w:val="32"/>
          <w:szCs w:val="32"/>
        </w:rPr>
        <w:t>三</w:t>
      </w:r>
      <w:r>
        <w:rPr>
          <w:rFonts w:eastAsia="仿宋_GB2312"/>
          <w:sz w:val="32"/>
          <w:szCs w:val="32"/>
        </w:rPr>
        <w:t>）市生态环境局达拉特分局：负责</w:t>
      </w:r>
      <w:r>
        <w:rPr>
          <w:rFonts w:hint="eastAsia" w:eastAsia="仿宋_GB2312"/>
          <w:sz w:val="32"/>
          <w:szCs w:val="32"/>
        </w:rPr>
        <w:t>组织事故现场周边</w:t>
      </w:r>
      <w:r>
        <w:rPr>
          <w:rFonts w:eastAsia="仿宋_GB2312"/>
          <w:sz w:val="32"/>
          <w:szCs w:val="32"/>
        </w:rPr>
        <w:t>环境</w:t>
      </w:r>
      <w:r>
        <w:rPr>
          <w:rFonts w:hint="eastAsia" w:eastAsia="仿宋_GB2312"/>
          <w:sz w:val="32"/>
          <w:szCs w:val="32"/>
        </w:rPr>
        <w:t>进行应急</w:t>
      </w:r>
      <w:r>
        <w:rPr>
          <w:rFonts w:eastAsia="仿宋_GB2312"/>
          <w:sz w:val="32"/>
          <w:szCs w:val="32"/>
        </w:rPr>
        <w:t>监测，提出控制措施</w:t>
      </w:r>
      <w:r>
        <w:rPr>
          <w:rFonts w:hint="eastAsia" w:eastAsia="仿宋_GB2312"/>
          <w:sz w:val="32"/>
          <w:szCs w:val="32"/>
        </w:rPr>
        <w:t>的建议。</w:t>
      </w:r>
      <w:r>
        <w:rPr>
          <w:rFonts w:eastAsia="仿宋_GB2312"/>
          <w:sz w:val="32"/>
          <w:szCs w:val="32"/>
        </w:rPr>
        <w:t>对事故救援过程中可能导致的水体、土壤、大气等次生污染事故提出处置措施并监督实施；事故得到控制后，监督相关处置单位消除现场遗留的危险物质，防止环境污染。</w:t>
      </w:r>
    </w:p>
    <w:p>
      <w:pPr>
        <w:spacing w:line="560" w:lineRule="exact"/>
        <w:ind w:firstLine="640" w:firstLineChars="200"/>
        <w:rPr>
          <w:rFonts w:eastAsia="仿宋_GB2312"/>
          <w:sz w:val="32"/>
          <w:szCs w:val="32"/>
        </w:rPr>
      </w:pPr>
      <w:r>
        <w:rPr>
          <w:rFonts w:eastAsia="仿宋_GB2312"/>
          <w:sz w:val="32"/>
          <w:szCs w:val="32"/>
        </w:rPr>
        <w:t>（十</w:t>
      </w:r>
      <w:r>
        <w:rPr>
          <w:rFonts w:hint="eastAsia" w:eastAsia="仿宋_GB2312"/>
          <w:sz w:val="32"/>
          <w:szCs w:val="32"/>
        </w:rPr>
        <w:t>四</w:t>
      </w:r>
      <w:r>
        <w:rPr>
          <w:rFonts w:eastAsia="仿宋_GB2312"/>
          <w:sz w:val="32"/>
          <w:szCs w:val="32"/>
        </w:rPr>
        <w:t>）旗气象局：负责为事故应急</w:t>
      </w:r>
      <w:r>
        <w:rPr>
          <w:rFonts w:hint="eastAsia" w:eastAsia="仿宋_GB2312"/>
          <w:sz w:val="32"/>
          <w:szCs w:val="32"/>
        </w:rPr>
        <w:t>处置提供</w:t>
      </w:r>
      <w:r>
        <w:rPr>
          <w:rFonts w:eastAsia="仿宋_GB2312"/>
          <w:sz w:val="32"/>
          <w:szCs w:val="32"/>
        </w:rPr>
        <w:t>气象保障</w:t>
      </w:r>
      <w:r>
        <w:rPr>
          <w:rFonts w:hint="eastAsia" w:eastAsia="仿宋_GB2312"/>
          <w:sz w:val="32"/>
          <w:szCs w:val="32"/>
        </w:rPr>
        <w:t>服务，提供事故现场或者现场附近的气象资料。</w:t>
      </w:r>
    </w:p>
    <w:p>
      <w:pPr>
        <w:spacing w:line="560" w:lineRule="exact"/>
        <w:ind w:firstLine="640" w:firstLineChars="200"/>
        <w:rPr>
          <w:rFonts w:eastAsia="仿宋_GB2312"/>
          <w:sz w:val="32"/>
          <w:szCs w:val="32"/>
        </w:rPr>
      </w:pPr>
      <w:r>
        <w:rPr>
          <w:rFonts w:eastAsia="仿宋_GB2312"/>
          <w:sz w:val="32"/>
          <w:szCs w:val="32"/>
        </w:rPr>
        <w:t>（十</w:t>
      </w:r>
      <w:r>
        <w:rPr>
          <w:rFonts w:hint="eastAsia" w:eastAsia="仿宋_GB2312"/>
          <w:sz w:val="32"/>
          <w:szCs w:val="32"/>
        </w:rPr>
        <w:t>五</w:t>
      </w:r>
      <w:r>
        <w:rPr>
          <w:rFonts w:eastAsia="仿宋_GB2312"/>
          <w:sz w:val="32"/>
          <w:szCs w:val="32"/>
        </w:rPr>
        <w:t>）旗消防救援大队：负责</w:t>
      </w:r>
      <w:r>
        <w:rPr>
          <w:rFonts w:hint="eastAsia" w:eastAsia="仿宋_GB2312"/>
          <w:sz w:val="32"/>
          <w:szCs w:val="32"/>
        </w:rPr>
        <w:t>开展事故抢险救援工作，扑救事故现场火灾，对现场失踪人员进行搜救。</w:t>
      </w:r>
    </w:p>
    <w:p>
      <w:pPr>
        <w:spacing w:line="560" w:lineRule="exact"/>
        <w:ind w:firstLine="640" w:firstLineChars="200"/>
        <w:rPr>
          <w:rFonts w:eastAsia="仿宋_GB2312"/>
          <w:sz w:val="32"/>
          <w:szCs w:val="32"/>
        </w:rPr>
      </w:pPr>
      <w:r>
        <w:rPr>
          <w:rFonts w:eastAsia="仿宋_GB2312"/>
          <w:sz w:val="32"/>
          <w:szCs w:val="32"/>
        </w:rPr>
        <w:t>（十</w:t>
      </w:r>
      <w:r>
        <w:rPr>
          <w:rFonts w:hint="eastAsia" w:eastAsia="仿宋_GB2312"/>
          <w:sz w:val="32"/>
          <w:szCs w:val="32"/>
        </w:rPr>
        <w:t>六</w:t>
      </w:r>
      <w:r>
        <w:rPr>
          <w:rFonts w:eastAsia="仿宋_GB2312"/>
          <w:sz w:val="32"/>
          <w:szCs w:val="32"/>
        </w:rPr>
        <w:t>）旗交管大队：负责事故现场区域周边道路交通管制工作</w:t>
      </w:r>
      <w:r>
        <w:rPr>
          <w:rFonts w:hint="eastAsia" w:eastAsia="仿宋_GB2312"/>
          <w:sz w:val="32"/>
          <w:szCs w:val="32"/>
        </w:rPr>
        <w:t>，为应急抢险救援做好绿色通道保障。</w:t>
      </w:r>
    </w:p>
    <w:p>
      <w:pPr>
        <w:spacing w:line="560" w:lineRule="exact"/>
        <w:ind w:firstLine="640" w:firstLineChars="200"/>
        <w:rPr>
          <w:rFonts w:eastAsia="仿宋_GB2312"/>
          <w:sz w:val="32"/>
          <w:szCs w:val="32"/>
        </w:rPr>
      </w:pPr>
      <w:r>
        <w:rPr>
          <w:rFonts w:eastAsia="仿宋_GB2312"/>
          <w:sz w:val="32"/>
          <w:szCs w:val="32"/>
        </w:rPr>
        <w:t>（十</w:t>
      </w:r>
      <w:r>
        <w:rPr>
          <w:rFonts w:hint="eastAsia" w:eastAsia="仿宋_GB2312"/>
          <w:sz w:val="32"/>
          <w:szCs w:val="32"/>
        </w:rPr>
        <w:t>七</w:t>
      </w:r>
      <w:r>
        <w:rPr>
          <w:rFonts w:eastAsia="仿宋_GB2312"/>
          <w:sz w:val="32"/>
          <w:szCs w:val="32"/>
        </w:rPr>
        <w:t>）开发区（园区）管委会</w:t>
      </w:r>
      <w:r>
        <w:rPr>
          <w:rFonts w:hint="eastAsia" w:eastAsia="仿宋_GB2312"/>
          <w:sz w:val="32"/>
          <w:szCs w:val="32"/>
        </w:rPr>
        <w:t>、</w:t>
      </w:r>
      <w:r>
        <w:rPr>
          <w:rFonts w:eastAsia="仿宋_GB2312"/>
          <w:sz w:val="32"/>
          <w:szCs w:val="32"/>
        </w:rPr>
        <w:t>苏木镇人民政府</w:t>
      </w:r>
      <w:r>
        <w:rPr>
          <w:rFonts w:hint="eastAsia" w:eastAsia="仿宋_GB2312"/>
          <w:sz w:val="32"/>
          <w:szCs w:val="32"/>
        </w:rPr>
        <w:t>（</w:t>
      </w:r>
      <w:r>
        <w:rPr>
          <w:rFonts w:eastAsia="仿宋_GB2312"/>
          <w:sz w:val="32"/>
          <w:szCs w:val="32"/>
        </w:rPr>
        <w:t>街道办事处</w:t>
      </w:r>
      <w:r>
        <w:rPr>
          <w:rFonts w:hint="eastAsia" w:eastAsia="仿宋_GB2312"/>
          <w:sz w:val="32"/>
          <w:szCs w:val="32"/>
        </w:rPr>
        <w:t>）</w:t>
      </w:r>
      <w:r>
        <w:rPr>
          <w:rFonts w:eastAsia="仿宋_GB2312"/>
          <w:sz w:val="32"/>
          <w:szCs w:val="32"/>
        </w:rPr>
        <w:t>：</w:t>
      </w:r>
      <w:r>
        <w:rPr>
          <w:rFonts w:hint="eastAsia" w:eastAsia="仿宋_GB2312"/>
          <w:sz w:val="32"/>
          <w:szCs w:val="32"/>
        </w:rPr>
        <w:t>负责组织、协调、实施辖区内事故应急救援工作。负责建立完善辖区事故应急管理工作体制和机制，制定本辖区事故应急预案，做好辖区内安全防范及应急队伍、装备和物资的准备工作；</w:t>
      </w:r>
      <w:r>
        <w:rPr>
          <w:rFonts w:eastAsia="仿宋_GB2312"/>
          <w:sz w:val="32"/>
          <w:szCs w:val="32"/>
        </w:rPr>
        <w:t>配合有关部门做好事故抢险、人员疏散安置、交通管制、物资供应、善后处理等相关工作。</w:t>
      </w:r>
    </w:p>
    <w:p>
      <w:pPr>
        <w:pStyle w:val="4"/>
        <w:tabs>
          <w:tab w:val="left" w:pos="709"/>
        </w:tabs>
        <w:spacing w:before="0" w:after="0" w:line="560" w:lineRule="exact"/>
        <w:ind w:firstLine="640" w:firstLineChars="200"/>
        <w:jc w:val="both"/>
        <w:rPr>
          <w:rFonts w:ascii="Times New Roman" w:hAnsi="Times New Roman" w:eastAsia="楷体"/>
          <w:kern w:val="2"/>
        </w:rPr>
      </w:pPr>
      <w:bookmarkStart w:id="24" w:name="_Toc135994574"/>
      <w:bookmarkStart w:id="25" w:name="_Toc113806638"/>
      <w:r>
        <w:rPr>
          <w:rFonts w:ascii="Times New Roman" w:hAnsi="Times New Roman" w:eastAsia="楷体"/>
          <w:kern w:val="2"/>
        </w:rPr>
        <w:t>3.3现场指挥部</w:t>
      </w:r>
      <w:bookmarkEnd w:id="24"/>
      <w:bookmarkEnd w:id="25"/>
    </w:p>
    <w:p>
      <w:pPr>
        <w:spacing w:line="560" w:lineRule="exact"/>
        <w:ind w:firstLine="640" w:firstLineChars="200"/>
        <w:rPr>
          <w:rFonts w:eastAsia="仿宋_GB2312"/>
          <w:sz w:val="32"/>
          <w:szCs w:val="32"/>
        </w:rPr>
      </w:pPr>
      <w:r>
        <w:rPr>
          <w:rFonts w:eastAsia="仿宋_GB2312"/>
          <w:sz w:val="32"/>
          <w:szCs w:val="32"/>
        </w:rPr>
        <w:t>旗应急指挥部</w:t>
      </w:r>
      <w:r>
        <w:rPr>
          <w:rFonts w:hint="eastAsia" w:eastAsia="仿宋_GB2312"/>
          <w:sz w:val="32"/>
          <w:szCs w:val="32"/>
        </w:rPr>
        <w:t>视情</w:t>
      </w:r>
      <w:r>
        <w:rPr>
          <w:rFonts w:eastAsia="仿宋_GB2312"/>
          <w:sz w:val="32"/>
          <w:szCs w:val="32"/>
        </w:rPr>
        <w:t>成立现场指挥部，统一指挥和协调现场应急处置工作。由赴现场指挥处置的旗领导或旗应急指挥部派出的负责人任现场指挥长，现场指挥部成员由旗应急指挥部成员单位、事发单位相关负责同志组成。</w:t>
      </w:r>
    </w:p>
    <w:p>
      <w:pPr>
        <w:spacing w:line="560" w:lineRule="exact"/>
        <w:ind w:firstLine="640" w:firstLineChars="200"/>
        <w:rPr>
          <w:rFonts w:eastAsia="仿宋_GB2312"/>
          <w:sz w:val="32"/>
          <w:szCs w:val="32"/>
        </w:rPr>
      </w:pPr>
      <w:r>
        <w:rPr>
          <w:rFonts w:eastAsia="仿宋_GB2312"/>
          <w:sz w:val="32"/>
          <w:szCs w:val="32"/>
        </w:rPr>
        <w:t>现场指挥部根据应急处置工作需要，可设立工作组，在现场指挥部统一领导下，具体承担事故救援和处置工作。工作组的类别和</w:t>
      </w:r>
      <w:r>
        <w:rPr>
          <w:rFonts w:hint="eastAsia" w:eastAsia="仿宋_GB2312"/>
          <w:sz w:val="32"/>
          <w:szCs w:val="32"/>
        </w:rPr>
        <w:t>职责</w:t>
      </w:r>
      <w:r>
        <w:rPr>
          <w:rFonts w:eastAsia="仿宋_GB2312"/>
          <w:sz w:val="32"/>
          <w:szCs w:val="32"/>
        </w:rPr>
        <w:t>参照《达拉特旗生产安全事故应急预案》。</w:t>
      </w:r>
    </w:p>
    <w:p>
      <w:pPr>
        <w:pStyle w:val="4"/>
        <w:tabs>
          <w:tab w:val="left" w:pos="709"/>
        </w:tabs>
        <w:spacing w:before="0" w:after="0" w:line="560" w:lineRule="exact"/>
        <w:ind w:firstLine="640" w:firstLineChars="200"/>
        <w:jc w:val="both"/>
        <w:rPr>
          <w:rFonts w:ascii="Times New Roman" w:hAnsi="Times New Roman" w:eastAsia="楷体"/>
          <w:kern w:val="2"/>
        </w:rPr>
      </w:pPr>
      <w:bookmarkStart w:id="26" w:name="_Toc135994575"/>
      <w:bookmarkStart w:id="27" w:name="_Toc113806639"/>
      <w:r>
        <w:rPr>
          <w:rFonts w:ascii="Times New Roman" w:hAnsi="Times New Roman" w:eastAsia="楷体"/>
          <w:kern w:val="2"/>
        </w:rPr>
        <w:t>3.4专家组</w:t>
      </w:r>
      <w:bookmarkEnd w:id="26"/>
      <w:bookmarkEnd w:id="27"/>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专家组由相关领域的技术专家组成。主要职责是：</w:t>
      </w:r>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（一）</w:t>
      </w:r>
      <w:r>
        <w:rPr>
          <w:rFonts w:hint="eastAsia" w:ascii="Times New Roman" w:hAnsi="Times New Roman" w:eastAsia="仿宋_GB2312" w:cs="Times New Roman"/>
          <w:kern w:val="0"/>
          <w:sz w:val="32"/>
          <w:szCs w:val="32"/>
        </w:rPr>
        <w:t>为灾情研判、应急救援、恢复重建、修订完善应急预案提供技术支持</w:t>
      </w:r>
      <w:r>
        <w:rPr>
          <w:rFonts w:ascii="Times New Roman" w:hAnsi="Times New Roman" w:eastAsia="仿宋_GB2312" w:cs="Times New Roman"/>
          <w:kern w:val="0"/>
          <w:sz w:val="32"/>
          <w:szCs w:val="32"/>
        </w:rPr>
        <w:t>。</w:t>
      </w:r>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（二）</w:t>
      </w:r>
      <w:r>
        <w:rPr>
          <w:rFonts w:hint="eastAsia" w:ascii="Times New Roman" w:hAnsi="Times New Roman" w:eastAsia="仿宋_GB2312" w:cs="Times New Roman"/>
          <w:kern w:val="0"/>
          <w:sz w:val="32"/>
          <w:szCs w:val="32"/>
        </w:rPr>
        <w:t>协助事故现场指挥部分析研判事故原因，判断事故发展趋势、危害程度，提出应急救援措施和建议</w:t>
      </w:r>
      <w:r>
        <w:rPr>
          <w:rFonts w:ascii="Times New Roman" w:hAnsi="Times New Roman" w:eastAsia="仿宋_GB2312" w:cs="Times New Roman"/>
          <w:kern w:val="0"/>
          <w:sz w:val="32"/>
          <w:szCs w:val="32"/>
        </w:rPr>
        <w:t>。</w:t>
      </w:r>
    </w:p>
    <w:p>
      <w:pPr>
        <w:pStyle w:val="7"/>
        <w:adjustRightInd w:val="0"/>
        <w:snapToGrid w:val="0"/>
        <w:spacing w:line="560" w:lineRule="exact"/>
        <w:ind w:firstLine="640" w:firstLineChars="200"/>
        <w:outlineLvl w:val="0"/>
        <w:rPr>
          <w:rFonts w:ascii="Times New Roman" w:hAnsi="Times New Roman" w:eastAsia="黑体" w:cs="Times New Roman"/>
          <w:sz w:val="32"/>
          <w:szCs w:val="32"/>
        </w:rPr>
      </w:pPr>
      <w:bookmarkStart w:id="28" w:name="_Toc135994576"/>
      <w:r>
        <w:rPr>
          <w:rFonts w:ascii="Times New Roman" w:hAnsi="Times New Roman" w:eastAsia="黑体" w:cs="Times New Roman"/>
          <w:sz w:val="32"/>
          <w:szCs w:val="32"/>
        </w:rPr>
        <w:t>4预防</w:t>
      </w:r>
      <w:r>
        <w:rPr>
          <w:rFonts w:hint="eastAsia" w:ascii="Times New Roman" w:hAnsi="Times New Roman" w:eastAsia="黑体" w:cs="Times New Roman"/>
          <w:sz w:val="32"/>
          <w:szCs w:val="32"/>
        </w:rPr>
        <w:t>、监测与</w:t>
      </w:r>
      <w:r>
        <w:rPr>
          <w:rFonts w:ascii="Times New Roman" w:hAnsi="Times New Roman" w:eastAsia="黑体" w:cs="Times New Roman"/>
          <w:sz w:val="32"/>
          <w:szCs w:val="32"/>
        </w:rPr>
        <w:t>预警</w:t>
      </w:r>
      <w:bookmarkEnd w:id="28"/>
    </w:p>
    <w:p>
      <w:pPr>
        <w:pStyle w:val="4"/>
        <w:tabs>
          <w:tab w:val="left" w:pos="709"/>
        </w:tabs>
        <w:spacing w:before="0" w:after="0" w:line="560" w:lineRule="exact"/>
        <w:ind w:firstLine="640" w:firstLineChars="200"/>
        <w:jc w:val="both"/>
        <w:rPr>
          <w:rFonts w:ascii="Times New Roman" w:hAnsi="Times New Roman" w:eastAsia="楷体"/>
          <w:kern w:val="2"/>
        </w:rPr>
      </w:pPr>
      <w:bookmarkStart w:id="29" w:name="_Toc135994577"/>
      <w:r>
        <w:rPr>
          <w:rFonts w:ascii="Times New Roman" w:hAnsi="Times New Roman" w:eastAsia="楷体"/>
          <w:kern w:val="2"/>
        </w:rPr>
        <w:t>4.1预防</w:t>
      </w:r>
      <w:bookmarkEnd w:id="29"/>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旗应急管理局应建立健全危险化学品安全风险分级管控和隐患排查治理双重预防机制，健全风险防范化解机制，对危险化学品生产风险实施分级管控。</w:t>
      </w:r>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旗应急管理局</w:t>
      </w:r>
      <w:r>
        <w:rPr>
          <w:rFonts w:hint="eastAsia" w:ascii="Times New Roman" w:hAnsi="Times New Roman" w:eastAsia="仿宋_GB2312" w:cs="Times New Roman"/>
          <w:kern w:val="0"/>
          <w:sz w:val="32"/>
          <w:szCs w:val="32"/>
        </w:rPr>
        <w:t>及行业主管部门、有关单位应建立危险化学品单位台账，落实危险化学品风险管控责任和措施。督促危险化学品企业开展安全风险分级管控和隐患排查治理，对重大隐患进行挂牌督办或依法处理。旗应急指挥部应充分利用数字化、信息化手段，强化旗危险化学品安全生产风险监测预警等系统应用，发挥系统效能。</w:t>
      </w:r>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危险化学品</w:t>
      </w:r>
      <w:r>
        <w:rPr>
          <w:rFonts w:hint="eastAsia" w:ascii="Times New Roman" w:hAnsi="Times New Roman" w:eastAsia="仿宋_GB2312" w:cs="Times New Roman"/>
          <w:kern w:val="0"/>
          <w:sz w:val="32"/>
          <w:szCs w:val="32"/>
        </w:rPr>
        <w:t>从业单位</w:t>
      </w:r>
      <w:r>
        <w:rPr>
          <w:rFonts w:ascii="Times New Roman" w:hAnsi="Times New Roman" w:eastAsia="仿宋_GB2312" w:cs="Times New Roman"/>
          <w:kern w:val="0"/>
          <w:sz w:val="32"/>
          <w:szCs w:val="32"/>
        </w:rPr>
        <w:t>应当针对本单位可能发生事故的特点和危害，进行风险辨识和评估</w:t>
      </w:r>
      <w:r>
        <w:rPr>
          <w:rFonts w:hint="eastAsia" w:ascii="Times New Roman" w:hAnsi="Times New Roman" w:eastAsia="仿宋_GB2312" w:cs="Times New Roman"/>
          <w:kern w:val="0"/>
          <w:sz w:val="32"/>
          <w:szCs w:val="32"/>
        </w:rPr>
        <w:t>，根据评估结果采取相应管控措施，降低事故风险。定期开展隐患排查，对排查出的问题，做到“措施、责任、资金、时限、预案”五到位，限期进行整改。</w:t>
      </w:r>
    </w:p>
    <w:p>
      <w:pPr>
        <w:pStyle w:val="4"/>
        <w:tabs>
          <w:tab w:val="left" w:pos="709"/>
        </w:tabs>
        <w:spacing w:before="0" w:after="0" w:line="560" w:lineRule="exact"/>
        <w:ind w:firstLine="640" w:firstLineChars="200"/>
        <w:jc w:val="both"/>
        <w:rPr>
          <w:rFonts w:ascii="Times New Roman" w:hAnsi="Times New Roman" w:eastAsia="楷体"/>
          <w:kern w:val="2"/>
        </w:rPr>
      </w:pPr>
      <w:bookmarkStart w:id="30" w:name="_Toc135994578"/>
      <w:r>
        <w:rPr>
          <w:rFonts w:ascii="Times New Roman" w:hAnsi="Times New Roman" w:eastAsia="楷体"/>
          <w:kern w:val="2"/>
        </w:rPr>
        <w:t>4.2</w:t>
      </w:r>
      <w:r>
        <w:rPr>
          <w:rFonts w:hint="eastAsia" w:ascii="Times New Roman" w:hAnsi="Times New Roman" w:eastAsia="楷体"/>
          <w:kern w:val="2"/>
        </w:rPr>
        <w:t>监测</w:t>
      </w:r>
      <w:bookmarkEnd w:id="30"/>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负有危险化学品安全监督管理职责的相关部门、有关单位应建立危险化学品专业监测和社会监测相结合的突发事故监测体系，完善危险化学品突发事故监测制度，规范事故信息的获取、报送、分析、发布格式和程序。按照职责分工，建立健全危险化学品单位基础信息数据库，完善监测网络，配备必要的设备设施。</w:t>
      </w:r>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危险化学品企业要建立完善安全生产风险动态监测监控、评估及预警体系，加强对本企业危险化学品装置设施等工艺参数、重要场所及安全相关信息的监测监控、报警及处理工作。</w:t>
      </w:r>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旗应急</w:t>
      </w:r>
      <w:r>
        <w:rPr>
          <w:rFonts w:ascii="Times New Roman" w:hAnsi="Times New Roman" w:eastAsia="仿宋_GB2312" w:cs="Times New Roman"/>
          <w:kern w:val="0"/>
          <w:sz w:val="32"/>
          <w:szCs w:val="32"/>
        </w:rPr>
        <w:t>指挥部办公室和宣传、公安网监等部门应建立突发事件舆情快速收集研判机制，及时收集媒体对</w:t>
      </w:r>
      <w:r>
        <w:rPr>
          <w:rFonts w:hint="eastAsia" w:ascii="Times New Roman" w:hAnsi="Times New Roman" w:eastAsia="仿宋_GB2312" w:cs="Times New Roman"/>
          <w:kern w:val="0"/>
          <w:sz w:val="32"/>
          <w:szCs w:val="32"/>
        </w:rPr>
        <w:t>旗</w:t>
      </w:r>
      <w:r>
        <w:rPr>
          <w:rFonts w:ascii="Times New Roman" w:hAnsi="Times New Roman" w:eastAsia="仿宋_GB2312" w:cs="Times New Roman"/>
          <w:kern w:val="0"/>
          <w:sz w:val="32"/>
          <w:szCs w:val="32"/>
        </w:rPr>
        <w:t>危险化学品事故和有关敏感问题的报道，密切跟踪舆情动态。</w:t>
      </w:r>
    </w:p>
    <w:p>
      <w:pPr>
        <w:pStyle w:val="4"/>
        <w:tabs>
          <w:tab w:val="left" w:pos="709"/>
        </w:tabs>
        <w:spacing w:before="0" w:after="0" w:line="560" w:lineRule="exact"/>
        <w:ind w:firstLine="640" w:firstLineChars="200"/>
        <w:jc w:val="both"/>
        <w:rPr>
          <w:rFonts w:ascii="Times New Roman" w:hAnsi="Times New Roman" w:eastAsia="楷体"/>
          <w:kern w:val="2"/>
        </w:rPr>
      </w:pPr>
      <w:bookmarkStart w:id="31" w:name="_Toc135994579"/>
      <w:r>
        <w:rPr>
          <w:rFonts w:ascii="Times New Roman" w:hAnsi="Times New Roman" w:eastAsia="楷体"/>
          <w:kern w:val="2"/>
        </w:rPr>
        <w:t>4.3预警</w:t>
      </w:r>
      <w:bookmarkEnd w:id="31"/>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bookmarkStart w:id="32" w:name="_Toc125019822"/>
      <w:bookmarkStart w:id="33" w:name="_Toc115268622"/>
      <w:bookmarkStart w:id="34" w:name="_Toc125031245"/>
      <w:bookmarkStart w:id="35" w:name="_Toc116073198"/>
      <w:bookmarkStart w:id="36" w:name="_Toc113840899"/>
      <w:bookmarkStart w:id="37" w:name="_Toc125047666"/>
      <w:bookmarkStart w:id="38" w:name="_Toc115254471"/>
      <w:r>
        <w:rPr>
          <w:rFonts w:ascii="Times New Roman" w:hAnsi="Times New Roman" w:eastAsia="仿宋_GB2312" w:cs="Times New Roman"/>
          <w:kern w:val="0"/>
          <w:sz w:val="32"/>
          <w:szCs w:val="32"/>
        </w:rPr>
        <w:t>4.3.1预警</w:t>
      </w:r>
      <w:r>
        <w:rPr>
          <w:rFonts w:hint="eastAsia" w:ascii="Times New Roman" w:hAnsi="Times New Roman" w:eastAsia="仿宋_GB2312" w:cs="Times New Roman"/>
          <w:kern w:val="0"/>
          <w:sz w:val="32"/>
          <w:szCs w:val="32"/>
        </w:rPr>
        <w:t>分</w:t>
      </w:r>
      <w:r>
        <w:rPr>
          <w:rFonts w:ascii="Times New Roman" w:hAnsi="Times New Roman" w:eastAsia="仿宋_GB2312" w:cs="Times New Roman"/>
          <w:kern w:val="0"/>
          <w:sz w:val="32"/>
          <w:szCs w:val="32"/>
        </w:rPr>
        <w:t>级</w:t>
      </w:r>
      <w:bookmarkEnd w:id="32"/>
      <w:bookmarkEnd w:id="33"/>
      <w:bookmarkEnd w:id="34"/>
      <w:bookmarkEnd w:id="35"/>
      <w:bookmarkEnd w:id="36"/>
      <w:bookmarkEnd w:id="37"/>
      <w:bookmarkEnd w:id="38"/>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按照危险化学品</w:t>
      </w:r>
      <w:r>
        <w:rPr>
          <w:rFonts w:hint="eastAsia" w:ascii="Times New Roman" w:hAnsi="Times New Roman" w:eastAsia="仿宋_GB2312" w:cs="Times New Roman"/>
          <w:kern w:val="0"/>
          <w:sz w:val="32"/>
          <w:szCs w:val="32"/>
        </w:rPr>
        <w:t>生产安全</w:t>
      </w:r>
      <w:r>
        <w:rPr>
          <w:rFonts w:ascii="Times New Roman" w:hAnsi="Times New Roman" w:eastAsia="仿宋_GB2312" w:cs="Times New Roman"/>
          <w:kern w:val="0"/>
          <w:sz w:val="32"/>
          <w:szCs w:val="32"/>
        </w:rPr>
        <w:t>事故</w:t>
      </w:r>
      <w:r>
        <w:rPr>
          <w:rFonts w:hint="eastAsia" w:ascii="Times New Roman" w:hAnsi="Times New Roman" w:eastAsia="仿宋_GB2312" w:cs="Times New Roman"/>
          <w:kern w:val="0"/>
          <w:sz w:val="32"/>
          <w:szCs w:val="32"/>
        </w:rPr>
        <w:t>可能造成的危害、影响范围和发展趋势，预计可能发生的事故等级。预警级别由高到低分为</w:t>
      </w:r>
      <w:r>
        <w:rPr>
          <w:rFonts w:ascii="Times New Roman" w:hAnsi="Times New Roman" w:eastAsia="仿宋_GB2312" w:cs="Times New Roman"/>
          <w:kern w:val="0"/>
          <w:sz w:val="32"/>
          <w:szCs w:val="32"/>
        </w:rPr>
        <w:t>Ⅰ级、Ⅱ级、Ⅲ级和Ⅳ级，分别用红色、橙色、黄色和蓝色标</w:t>
      </w:r>
      <w:r>
        <w:rPr>
          <w:rFonts w:hint="eastAsia" w:ascii="Times New Roman" w:hAnsi="Times New Roman" w:eastAsia="仿宋_GB2312" w:cs="Times New Roman"/>
          <w:kern w:val="0"/>
          <w:sz w:val="32"/>
          <w:szCs w:val="32"/>
        </w:rPr>
        <w:t>示</w:t>
      </w:r>
      <w:r>
        <w:rPr>
          <w:rFonts w:ascii="Times New Roman" w:hAnsi="Times New Roman" w:eastAsia="仿宋_GB2312" w:cs="Times New Roman"/>
          <w:kern w:val="0"/>
          <w:sz w:val="32"/>
          <w:szCs w:val="32"/>
        </w:rPr>
        <w:t>。根据事态发展，发布单位可适时调整预警级别并重新报告、通报和发布有关预警信息。</w:t>
      </w:r>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bookmarkStart w:id="39" w:name="_Toc125019823"/>
      <w:bookmarkStart w:id="40" w:name="_Toc115254472"/>
      <w:bookmarkStart w:id="41" w:name="_Toc125047667"/>
      <w:bookmarkStart w:id="42" w:name="_Toc125031246"/>
      <w:bookmarkStart w:id="43" w:name="_Toc116073199"/>
      <w:bookmarkStart w:id="44" w:name="_Toc115268623"/>
      <w:bookmarkStart w:id="45" w:name="_Toc113840900"/>
      <w:r>
        <w:rPr>
          <w:rFonts w:ascii="Times New Roman" w:hAnsi="Times New Roman" w:eastAsia="仿宋_GB2312" w:cs="Times New Roman"/>
          <w:kern w:val="0"/>
          <w:sz w:val="32"/>
          <w:szCs w:val="32"/>
        </w:rPr>
        <w:t>4.3.2预警发布</w:t>
      </w:r>
      <w:bookmarkEnd w:id="39"/>
      <w:bookmarkEnd w:id="40"/>
      <w:bookmarkEnd w:id="41"/>
      <w:bookmarkEnd w:id="42"/>
      <w:bookmarkEnd w:id="43"/>
      <w:bookmarkEnd w:id="44"/>
      <w:bookmarkEnd w:id="45"/>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预警</w:t>
      </w:r>
      <w:r>
        <w:rPr>
          <w:rFonts w:hint="eastAsia" w:ascii="Times New Roman" w:hAnsi="Times New Roman" w:eastAsia="仿宋_GB2312" w:cs="Times New Roman"/>
          <w:kern w:val="0"/>
          <w:sz w:val="32"/>
          <w:szCs w:val="32"/>
        </w:rPr>
        <w:t>信息主要</w:t>
      </w:r>
      <w:r>
        <w:rPr>
          <w:rFonts w:ascii="Times New Roman" w:hAnsi="Times New Roman" w:eastAsia="仿宋_GB2312" w:cs="Times New Roman"/>
          <w:kern w:val="0"/>
          <w:sz w:val="32"/>
          <w:szCs w:val="32"/>
        </w:rPr>
        <w:t>包括：</w:t>
      </w:r>
      <w:r>
        <w:rPr>
          <w:rFonts w:hint="eastAsia" w:ascii="Times New Roman" w:hAnsi="Times New Roman" w:eastAsia="仿宋_GB2312" w:cs="Times New Roman"/>
          <w:kern w:val="0"/>
          <w:sz w:val="32"/>
          <w:szCs w:val="32"/>
        </w:rPr>
        <w:t>发布机关、发布时间、可能引发的事故类型、预警级别、起始时间、影响范围、建议或强制性防范措施以及其他需要发布的信息。</w:t>
      </w:r>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预警信息发布方式主要包括：预警信息发布系统、广播、电视、报刊、通信、互联网、警报器、宣传车，或者组织人员逐户通知等方式。</w:t>
      </w:r>
      <w:r>
        <w:rPr>
          <w:rFonts w:ascii="Times New Roman" w:hAnsi="Times New Roman" w:eastAsia="仿宋_GB2312" w:cs="Times New Roman"/>
          <w:kern w:val="0"/>
          <w:sz w:val="32"/>
          <w:szCs w:val="32"/>
        </w:rPr>
        <w:t>对老、幼、病、残、孕等特殊人群以及学校等特殊场所和警报盲区应当采取有针对性的公告方式。</w:t>
      </w:r>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Ⅰ级、Ⅱ级预警由国务院和自治区人民政府发布</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Ⅲ级预警由市人民政府发布</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Ⅳ级预警由旗人民政府发布。</w:t>
      </w:r>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bookmarkStart w:id="46" w:name="_Toc125031247"/>
      <w:bookmarkStart w:id="47" w:name="_Toc115254473"/>
      <w:bookmarkStart w:id="48" w:name="_Toc115268624"/>
      <w:bookmarkStart w:id="49" w:name="_Toc116073200"/>
      <w:bookmarkStart w:id="50" w:name="_Toc113840901"/>
      <w:bookmarkStart w:id="51" w:name="_Toc125047668"/>
      <w:bookmarkStart w:id="52" w:name="_Toc125019824"/>
      <w:r>
        <w:rPr>
          <w:rFonts w:ascii="Times New Roman" w:hAnsi="Times New Roman" w:eastAsia="仿宋_GB2312" w:cs="Times New Roman"/>
          <w:kern w:val="0"/>
          <w:sz w:val="32"/>
          <w:szCs w:val="32"/>
        </w:rPr>
        <w:t>4.3.3预警行动</w:t>
      </w:r>
      <w:bookmarkEnd w:id="46"/>
      <w:bookmarkEnd w:id="47"/>
      <w:bookmarkEnd w:id="48"/>
      <w:bookmarkEnd w:id="49"/>
      <w:bookmarkEnd w:id="50"/>
      <w:bookmarkEnd w:id="51"/>
      <w:bookmarkEnd w:id="52"/>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预警信息发布后，旗应急指挥部办公室及成员单位应采取以下措施：</w:t>
      </w:r>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（一</w:t>
      </w:r>
      <w:r>
        <w:rPr>
          <w:rFonts w:ascii="Times New Roman" w:hAnsi="Times New Roman" w:eastAsia="仿宋_GB2312" w:cs="Times New Roman"/>
          <w:kern w:val="0"/>
          <w:sz w:val="32"/>
          <w:szCs w:val="32"/>
        </w:rPr>
        <w:t>）分析研判。</w:t>
      </w:r>
      <w:r>
        <w:rPr>
          <w:rFonts w:hint="eastAsia" w:ascii="Times New Roman" w:hAnsi="Times New Roman" w:eastAsia="仿宋_GB2312" w:cs="Times New Roman"/>
          <w:kern w:val="0"/>
          <w:sz w:val="32"/>
          <w:szCs w:val="32"/>
        </w:rPr>
        <w:t>旗应急指挥部</w:t>
      </w:r>
      <w:r>
        <w:rPr>
          <w:rFonts w:ascii="Times New Roman" w:hAnsi="Times New Roman" w:eastAsia="仿宋_GB2312" w:cs="Times New Roman"/>
          <w:kern w:val="0"/>
          <w:sz w:val="32"/>
          <w:szCs w:val="32"/>
        </w:rPr>
        <w:t>组织有关部门单位及专家及时分析研判，根据事故可能的影响范围和危害程度，制定相应防范应对措施。</w:t>
      </w:r>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（二</w:t>
      </w:r>
      <w:r>
        <w:rPr>
          <w:rFonts w:ascii="Times New Roman" w:hAnsi="Times New Roman" w:eastAsia="仿宋_GB2312" w:cs="Times New Roman"/>
          <w:kern w:val="0"/>
          <w:sz w:val="32"/>
          <w:szCs w:val="32"/>
        </w:rPr>
        <w:t>）值班值守。</w:t>
      </w:r>
      <w:r>
        <w:rPr>
          <w:rFonts w:hint="eastAsia" w:ascii="Times New Roman" w:hAnsi="Times New Roman" w:eastAsia="仿宋_GB2312" w:cs="Times New Roman"/>
          <w:kern w:val="0"/>
          <w:sz w:val="32"/>
          <w:szCs w:val="32"/>
        </w:rPr>
        <w:t>旗</w:t>
      </w:r>
      <w:r>
        <w:rPr>
          <w:rFonts w:ascii="Times New Roman" w:hAnsi="Times New Roman" w:eastAsia="仿宋_GB2312" w:cs="Times New Roman"/>
          <w:kern w:val="0"/>
          <w:sz w:val="32"/>
          <w:szCs w:val="32"/>
        </w:rPr>
        <w:t>人民政府及有关部门</w:t>
      </w:r>
      <w:r>
        <w:rPr>
          <w:rFonts w:hint="eastAsia" w:ascii="Times New Roman" w:hAnsi="Times New Roman" w:eastAsia="仿宋_GB2312" w:cs="Times New Roman"/>
          <w:kern w:val="0"/>
          <w:sz w:val="32"/>
          <w:szCs w:val="32"/>
        </w:rPr>
        <w:t>、相关</w:t>
      </w:r>
      <w:r>
        <w:rPr>
          <w:rFonts w:ascii="Times New Roman" w:hAnsi="Times New Roman" w:eastAsia="仿宋_GB2312" w:cs="Times New Roman"/>
          <w:kern w:val="0"/>
          <w:sz w:val="32"/>
          <w:szCs w:val="32"/>
        </w:rPr>
        <w:t>单位建立常态化值班值守制度，确保通信畅通。</w:t>
      </w:r>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（三</w:t>
      </w:r>
      <w:r>
        <w:rPr>
          <w:rFonts w:ascii="Times New Roman" w:hAnsi="Times New Roman" w:eastAsia="仿宋_GB2312" w:cs="Times New Roman"/>
          <w:kern w:val="0"/>
          <w:sz w:val="32"/>
          <w:szCs w:val="32"/>
        </w:rPr>
        <w:t>）防范处置。在涉险区域设置警示标志，利用各种渠道告知公众避险，提前疏散、转移可能受到危害的人员，并进行妥善安置，必要时实施交通管制，封闭危险区域和道路。</w:t>
      </w:r>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（四</w:t>
      </w:r>
      <w:r>
        <w:rPr>
          <w:rFonts w:ascii="Times New Roman" w:hAnsi="Times New Roman" w:eastAsia="仿宋_GB2312" w:cs="Times New Roman"/>
          <w:kern w:val="0"/>
          <w:sz w:val="32"/>
          <w:szCs w:val="32"/>
        </w:rPr>
        <w:t>）应急准备。</w:t>
      </w:r>
      <w:r>
        <w:rPr>
          <w:rFonts w:hint="eastAsia" w:ascii="Times New Roman" w:hAnsi="Times New Roman" w:eastAsia="仿宋_GB2312" w:cs="Times New Roman"/>
          <w:kern w:val="0"/>
          <w:sz w:val="32"/>
          <w:szCs w:val="32"/>
        </w:rPr>
        <w:t>旗应急</w:t>
      </w:r>
      <w:r>
        <w:rPr>
          <w:rFonts w:ascii="Times New Roman" w:hAnsi="Times New Roman" w:eastAsia="仿宋_GB2312" w:cs="Times New Roman"/>
          <w:kern w:val="0"/>
          <w:sz w:val="32"/>
          <w:szCs w:val="32"/>
        </w:rPr>
        <w:t>指挥部成员单位进入待命状态，动员应急人员做好参加应急响应的准备，视情预置有关队伍、装备、物资等应急资源等。</w:t>
      </w:r>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（五</w:t>
      </w:r>
      <w:r>
        <w:rPr>
          <w:rFonts w:ascii="Times New Roman" w:hAnsi="Times New Roman" w:eastAsia="仿宋_GB2312" w:cs="Times New Roman"/>
          <w:kern w:val="0"/>
          <w:sz w:val="32"/>
          <w:szCs w:val="32"/>
        </w:rPr>
        <w:t>）舆论引导。随时掌握并报告发布事态进展情况，加强舆情监测，做好舆论引导工作。</w:t>
      </w:r>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bookmarkStart w:id="53" w:name="_Toc125031248"/>
      <w:bookmarkStart w:id="54" w:name="_Toc125047669"/>
      <w:bookmarkStart w:id="55" w:name="_Toc115268625"/>
      <w:bookmarkStart w:id="56" w:name="_Toc116073201"/>
      <w:bookmarkStart w:id="57" w:name="_Toc113840902"/>
      <w:bookmarkStart w:id="58" w:name="_Toc125019825"/>
      <w:bookmarkStart w:id="59" w:name="_Toc115254474"/>
      <w:r>
        <w:rPr>
          <w:rFonts w:ascii="Times New Roman" w:hAnsi="Times New Roman" w:eastAsia="仿宋_GB2312" w:cs="Times New Roman"/>
          <w:kern w:val="0"/>
          <w:sz w:val="32"/>
          <w:szCs w:val="32"/>
        </w:rPr>
        <w:t>4.3.4预警解除</w:t>
      </w:r>
      <w:bookmarkEnd w:id="53"/>
      <w:bookmarkEnd w:id="54"/>
      <w:bookmarkEnd w:id="55"/>
      <w:bookmarkEnd w:id="56"/>
      <w:bookmarkEnd w:id="57"/>
      <w:bookmarkEnd w:id="58"/>
      <w:bookmarkEnd w:id="59"/>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当确定事故无发生可能，相关风险已降至可接受水平或经采取相应措施后不可能发生或者危险已经解除的，按照</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谁发布、谁解除</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的原则，由发布单位宣布解除警报，终止预警行动，解除已采取的有关措施。</w:t>
      </w:r>
    </w:p>
    <w:p>
      <w:pPr>
        <w:pStyle w:val="7"/>
        <w:adjustRightInd w:val="0"/>
        <w:snapToGrid w:val="0"/>
        <w:spacing w:line="560" w:lineRule="exact"/>
        <w:ind w:firstLine="640" w:firstLineChars="200"/>
        <w:outlineLvl w:val="0"/>
        <w:rPr>
          <w:rFonts w:ascii="Times New Roman" w:hAnsi="Times New Roman" w:eastAsia="黑体" w:cs="Times New Roman"/>
          <w:sz w:val="32"/>
          <w:szCs w:val="32"/>
        </w:rPr>
      </w:pPr>
      <w:bookmarkStart w:id="60" w:name="_Toc135994580"/>
      <w:r>
        <w:rPr>
          <w:rFonts w:ascii="Times New Roman" w:hAnsi="Times New Roman" w:eastAsia="黑体" w:cs="Times New Roman"/>
          <w:sz w:val="32"/>
          <w:szCs w:val="32"/>
        </w:rPr>
        <w:t>5应急处置</w:t>
      </w:r>
      <w:bookmarkEnd w:id="60"/>
    </w:p>
    <w:p>
      <w:pPr>
        <w:pStyle w:val="4"/>
        <w:tabs>
          <w:tab w:val="left" w:pos="709"/>
        </w:tabs>
        <w:spacing w:before="0" w:after="0" w:line="560" w:lineRule="exact"/>
        <w:ind w:firstLine="640" w:firstLineChars="200"/>
        <w:jc w:val="both"/>
        <w:rPr>
          <w:rFonts w:ascii="Times New Roman" w:hAnsi="Times New Roman" w:eastAsia="楷体"/>
          <w:kern w:val="2"/>
        </w:rPr>
      </w:pPr>
      <w:bookmarkStart w:id="61" w:name="_Toc135994581"/>
      <w:r>
        <w:rPr>
          <w:rFonts w:ascii="Times New Roman" w:hAnsi="Times New Roman" w:eastAsia="楷体"/>
          <w:kern w:val="2"/>
        </w:rPr>
        <w:t>5.1信息报告</w:t>
      </w:r>
      <w:bookmarkEnd w:id="61"/>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危险化学品生产安全事故发生后，事故单位应立即向开发区（园区）管委会、苏木镇人民政府（街道办事处）和旗应急管理部门报告。事发地人民政府和应急管理部门接到危险化学品生产安全事故信息后，应当立即核实有关情况，并按照分级管理的原则第一时间报送至上级人民政府及相关部门，必要时可以越级报送。</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信息初报的内容包括：事故发生的时间、地点、信息来源、事故类别、简要经过、影响范围和损害程度的初步估计、现场救援情况、事故已采取的措施等。</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当情况发生变化时，须及时进行信息续报。信息续报的内容包括：人员伤亡、事故影响最新情况、事故重大变化情况、采取应急处置措施的效果、检测评估最新情况、下一步需采取的措施等。</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危险化学品生产安全事故中伤亡、失踪、被困人员涉及港澳台侨、外籍人员的，按照国家有关规定向有关部门、涉外机构通报。</w:t>
      </w:r>
    </w:p>
    <w:p>
      <w:pPr>
        <w:pStyle w:val="4"/>
        <w:tabs>
          <w:tab w:val="left" w:pos="709"/>
        </w:tabs>
        <w:spacing w:before="0" w:after="0" w:line="560" w:lineRule="exact"/>
        <w:ind w:firstLine="640" w:firstLineChars="200"/>
        <w:jc w:val="both"/>
        <w:rPr>
          <w:rFonts w:ascii="Times New Roman" w:hAnsi="Times New Roman" w:eastAsia="楷体"/>
          <w:kern w:val="2"/>
        </w:rPr>
      </w:pPr>
      <w:bookmarkStart w:id="62" w:name="_Toc135994582"/>
      <w:r>
        <w:rPr>
          <w:rFonts w:ascii="Times New Roman" w:hAnsi="Times New Roman" w:eastAsia="楷体"/>
          <w:kern w:val="2"/>
        </w:rPr>
        <w:t>5.2先期处置</w:t>
      </w:r>
      <w:bookmarkEnd w:id="62"/>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5.2.1事故单位</w:t>
      </w:r>
      <w:r>
        <w:rPr>
          <w:rFonts w:hint="eastAsia" w:ascii="Times New Roman" w:hAnsi="Times New Roman" w:eastAsia="仿宋_GB2312" w:cs="Times New Roman"/>
          <w:kern w:val="0"/>
          <w:sz w:val="32"/>
          <w:szCs w:val="32"/>
        </w:rPr>
        <w:t>先</w:t>
      </w:r>
      <w:r>
        <w:rPr>
          <w:rFonts w:ascii="Times New Roman" w:hAnsi="Times New Roman" w:eastAsia="仿宋_GB2312" w:cs="Times New Roman"/>
          <w:kern w:val="0"/>
          <w:sz w:val="32"/>
          <w:szCs w:val="32"/>
        </w:rPr>
        <w:t>期处置</w:t>
      </w:r>
    </w:p>
    <w:p>
      <w:pPr>
        <w:spacing w:line="560" w:lineRule="exact"/>
        <w:ind w:firstLine="640" w:firstLineChars="200"/>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事故发生后，事</w:t>
      </w:r>
      <w:r>
        <w:rPr>
          <w:rFonts w:hint="eastAsia" w:ascii="Times New Roman" w:hAnsi="Times New Roman" w:eastAsia="仿宋_GB2312" w:cs="Times New Roman"/>
          <w:sz w:val="32"/>
          <w:szCs w:val="32"/>
        </w:rPr>
        <w:t>发</w:t>
      </w:r>
      <w:r>
        <w:rPr>
          <w:rFonts w:ascii="Times New Roman" w:hAnsi="Times New Roman" w:eastAsia="仿宋_GB2312" w:cs="Times New Roman"/>
          <w:sz w:val="32"/>
          <w:szCs w:val="32"/>
          <w:lang w:val="zh-CN"/>
        </w:rPr>
        <w:t>单位要立即启动应急预案，</w:t>
      </w:r>
      <w:r>
        <w:rPr>
          <w:rFonts w:hint="eastAsia" w:ascii="Times New Roman" w:hAnsi="Times New Roman" w:eastAsia="仿宋_GB2312" w:cs="Times New Roman"/>
          <w:sz w:val="32"/>
          <w:szCs w:val="32"/>
          <w:lang w:val="zh-CN"/>
        </w:rPr>
        <w:t>第一时间组织本单位应急救援力量营救受害人员，疏散、撤离、安置受到威胁的人员；控制危险源，标明危险区域，封锁危险场所，采取其他防止危害扩大的必要措施；做好专业队伍引导；向所在地开发区（园区）管委会、苏木镇人民政府（街道办事处）及相关部门、有关单位报告。</w:t>
      </w:r>
    </w:p>
    <w:p>
      <w:pPr>
        <w:spacing w:line="560" w:lineRule="exact"/>
        <w:ind w:firstLine="640" w:firstLineChars="200"/>
        <w:rPr>
          <w:rFonts w:ascii="Times New Roman" w:hAnsi="Times New Roman" w:eastAsia="仿宋_GB2312" w:cs="Times New Roman"/>
          <w:sz w:val="32"/>
          <w:szCs w:val="32"/>
          <w:lang w:val="zh-CN"/>
        </w:rPr>
      </w:pPr>
      <w:r>
        <w:rPr>
          <w:rFonts w:ascii="Times New Roman" w:hAnsi="Times New Roman" w:eastAsia="仿宋_GB2312" w:cs="Times New Roman"/>
          <w:sz w:val="32"/>
          <w:szCs w:val="32"/>
          <w:lang w:val="zh-CN"/>
        </w:rPr>
        <w:t>5.2.2事发地政府先期处置</w:t>
      </w:r>
    </w:p>
    <w:p>
      <w:pPr>
        <w:spacing w:line="560" w:lineRule="exact"/>
        <w:ind w:firstLine="640" w:firstLineChars="200"/>
        <w:rPr>
          <w:rFonts w:eastAsia="仿宋_GB2312"/>
          <w:sz w:val="32"/>
          <w:szCs w:val="32"/>
        </w:rPr>
      </w:pPr>
      <w:r>
        <w:rPr>
          <w:rFonts w:ascii="Times New Roman" w:hAnsi="Times New Roman" w:eastAsia="仿宋_GB2312" w:cs="Times New Roman"/>
          <w:sz w:val="32"/>
          <w:szCs w:val="32"/>
          <w:lang w:val="zh-CN"/>
        </w:rPr>
        <w:t>事发地</w:t>
      </w:r>
      <w:r>
        <w:rPr>
          <w:rFonts w:hint="eastAsia" w:eastAsia="仿宋_GB2312"/>
          <w:sz w:val="32"/>
          <w:szCs w:val="32"/>
        </w:rPr>
        <w:t>开发区（园区）管委会、苏木镇人民政府（街道办事处）等，第一时间组织受影响群众的转移疏散、自救互救，采取措施控制事态发展，做好应急救援队伍引导工作，协助维护社会秩序，及时向旗委、旗政府报告事故进展情况。</w:t>
      </w:r>
    </w:p>
    <w:p>
      <w:pPr>
        <w:pStyle w:val="4"/>
        <w:tabs>
          <w:tab w:val="left" w:pos="709"/>
        </w:tabs>
        <w:spacing w:before="0" w:after="0" w:line="560" w:lineRule="exact"/>
        <w:ind w:firstLine="640" w:firstLineChars="200"/>
        <w:jc w:val="both"/>
        <w:rPr>
          <w:rFonts w:ascii="Times New Roman" w:hAnsi="Times New Roman" w:eastAsia="楷体"/>
          <w:kern w:val="2"/>
        </w:rPr>
      </w:pPr>
      <w:bookmarkStart w:id="63" w:name="_Toc135994583"/>
      <w:r>
        <w:rPr>
          <w:rFonts w:ascii="Times New Roman" w:hAnsi="Times New Roman" w:eastAsia="楷体"/>
          <w:kern w:val="2"/>
        </w:rPr>
        <w:t>5.3分级响应</w:t>
      </w:r>
      <w:bookmarkEnd w:id="63"/>
    </w:p>
    <w:p>
      <w:pPr>
        <w:pStyle w:val="2"/>
        <w:spacing w:after="0" w:line="560" w:lineRule="exact"/>
        <w:ind w:left="0" w:leftChars="0"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5.3.1响应标准</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根据灾害事故预警等级、预期影响和危害程度等因素，</w:t>
      </w:r>
      <w:r>
        <w:rPr>
          <w:rFonts w:hint="eastAsia" w:ascii="Times New Roman" w:hAnsi="Times New Roman" w:eastAsia="仿宋_GB2312" w:cs="Times New Roman"/>
          <w:sz w:val="32"/>
          <w:szCs w:val="32"/>
        </w:rPr>
        <w:t>危险化学品</w:t>
      </w:r>
      <w:r>
        <w:rPr>
          <w:rFonts w:ascii="Times New Roman" w:hAnsi="Times New Roman" w:eastAsia="仿宋_GB2312" w:cs="Times New Roman"/>
          <w:sz w:val="32"/>
          <w:szCs w:val="32"/>
        </w:rPr>
        <w:t>生产安全事故应急响应分为Ⅰ级、Ⅱ级、Ⅲ级和Ⅳ级共四个等级。</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w:t>
      </w:r>
      <w:r>
        <w:rPr>
          <w:rFonts w:ascii="Times New Roman" w:hAnsi="Times New Roman" w:eastAsia="仿宋_GB2312" w:cs="Times New Roman"/>
          <w:sz w:val="32"/>
          <w:szCs w:val="32"/>
        </w:rPr>
        <w:t>Ⅰ级响应</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1.造成或可能造成30人以上死亡（含失踪）的事故。</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2.造成100人以上重伤（含急性工业中毒）的事故。</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3.需要紧急转移安置10万人以上的事故。</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4.造成直接经济损失1亿元以上或特别重大社会影响的事故。</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w:t>
      </w:r>
      <w:r>
        <w:rPr>
          <w:rFonts w:ascii="Times New Roman" w:hAnsi="Times New Roman" w:eastAsia="仿宋_GB2312" w:cs="Times New Roman"/>
          <w:sz w:val="32"/>
          <w:szCs w:val="32"/>
        </w:rPr>
        <w:t>Ⅱ级响应</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1.造成或可能造成10人以上30人以下死亡（含失踪）的事故。</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2.造成50人以上100人以下重伤（含急性工业中毒）的事故。</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3.需要紧急转移安置1万以上10万人以下的事故。</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4.造成直接经济损失5000万元以上1亿元以下或重大社会影响的事故。</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Ⅲ级响应</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1.造成或可能造成3人以上10人以下死亡（含失踪）的事故。</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2.造成10人以上50人以下重伤（含急性工业中毒）的事故。</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3.需要紧急转移安置1000人以上1万人以下的事故。</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4.造成直接经济损失较大或较大社会影响的事故。</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Ⅳ级响应</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1.造成或可能造成3人以下死亡（含失踪）的事故。</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2.造成10人以下重伤（含急性工业中毒）的事故。</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3.需要紧急转移安置1000人以下的事故。</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4.造成一定的经济损失或社会影响的事故。</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上述所称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以上</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包括本数，所称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以下</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不包括本数。</w:t>
      </w:r>
    </w:p>
    <w:p>
      <w:pPr>
        <w:pStyle w:val="2"/>
        <w:spacing w:after="0" w:line="560" w:lineRule="exact"/>
        <w:ind w:left="0" w:leftChars="0"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5.3.2</w:t>
      </w:r>
      <w:r>
        <w:rPr>
          <w:rFonts w:hint="eastAsia" w:ascii="Times New Roman" w:hAnsi="Times New Roman" w:eastAsia="仿宋_GB2312" w:cs="Times New Roman"/>
          <w:sz w:val="32"/>
          <w:szCs w:val="32"/>
        </w:rPr>
        <w:t>分级</w:t>
      </w:r>
      <w:r>
        <w:rPr>
          <w:rFonts w:ascii="Times New Roman" w:hAnsi="Times New Roman" w:eastAsia="仿宋_GB2312" w:cs="Times New Roman"/>
          <w:sz w:val="32"/>
          <w:szCs w:val="32"/>
        </w:rPr>
        <w:t>响应</w:t>
      </w:r>
    </w:p>
    <w:p>
      <w:pPr>
        <w:spacing w:line="560" w:lineRule="exact"/>
        <w:ind w:firstLine="640" w:firstLineChars="200"/>
        <w:rPr>
          <w:rFonts w:ascii="Times New Roman" w:hAnsi="Times New Roman" w:eastAsia="仿宋_GB2312" w:cs="Times New Roman"/>
          <w:sz w:val="32"/>
          <w:szCs w:val="32"/>
          <w:lang w:val="zh-CN"/>
        </w:rPr>
      </w:pPr>
      <w:bookmarkStart w:id="64" w:name="_Hlk113870955"/>
      <w:r>
        <w:rPr>
          <w:rFonts w:hint="eastAsia" w:ascii="Times New Roman" w:hAnsi="Times New Roman" w:eastAsia="仿宋_GB2312" w:cs="Times New Roman"/>
          <w:sz w:val="32"/>
          <w:szCs w:val="32"/>
          <w:lang w:val="zh-CN"/>
        </w:rPr>
        <w:t>达到</w:t>
      </w:r>
      <w:r>
        <w:rPr>
          <w:rFonts w:ascii="Times New Roman" w:hAnsi="Times New Roman" w:eastAsia="仿宋_GB2312" w:cs="Times New Roman"/>
          <w:sz w:val="32"/>
          <w:szCs w:val="32"/>
          <w:lang w:val="zh-CN"/>
        </w:rPr>
        <w:t>Ⅳ级</w:t>
      </w:r>
      <w:r>
        <w:rPr>
          <w:rFonts w:hint="eastAsia" w:ascii="Times New Roman" w:hAnsi="Times New Roman" w:eastAsia="仿宋_GB2312" w:cs="Times New Roman"/>
          <w:sz w:val="32"/>
          <w:szCs w:val="32"/>
          <w:lang w:val="zh-CN"/>
        </w:rPr>
        <w:t>响应启动条件，由旗应急</w:t>
      </w:r>
      <w:r>
        <w:rPr>
          <w:rFonts w:ascii="Times New Roman" w:hAnsi="Times New Roman" w:eastAsia="仿宋_GB2312" w:cs="Times New Roman"/>
          <w:sz w:val="32"/>
          <w:szCs w:val="32"/>
          <w:lang w:val="zh-CN"/>
        </w:rPr>
        <w:t>指挥部办公室向旗应急指挥部提出Ⅳ级响应的建议，由旗</w:t>
      </w:r>
      <w:r>
        <w:rPr>
          <w:rFonts w:hint="eastAsia" w:ascii="Times New Roman" w:hAnsi="Times New Roman" w:eastAsia="仿宋_GB2312" w:cs="Times New Roman"/>
          <w:sz w:val="32"/>
          <w:szCs w:val="32"/>
          <w:lang w:val="zh-CN"/>
        </w:rPr>
        <w:t>应</w:t>
      </w:r>
      <w:r>
        <w:rPr>
          <w:rFonts w:ascii="Times New Roman" w:hAnsi="Times New Roman" w:eastAsia="仿宋_GB2312" w:cs="Times New Roman"/>
          <w:sz w:val="32"/>
          <w:szCs w:val="32"/>
          <w:lang w:val="zh-CN"/>
        </w:rPr>
        <w:t>急指挥部</w:t>
      </w:r>
      <w:r>
        <w:rPr>
          <w:rFonts w:hint="eastAsia" w:ascii="Times New Roman" w:hAnsi="Times New Roman" w:eastAsia="仿宋_GB2312" w:cs="Times New Roman"/>
          <w:sz w:val="32"/>
          <w:szCs w:val="32"/>
          <w:lang w:val="zh-CN"/>
        </w:rPr>
        <w:t>副总</w:t>
      </w:r>
      <w:r>
        <w:rPr>
          <w:rFonts w:ascii="Times New Roman" w:hAnsi="Times New Roman" w:eastAsia="仿宋_GB2312" w:cs="Times New Roman"/>
          <w:sz w:val="32"/>
          <w:szCs w:val="32"/>
          <w:lang w:val="zh-CN"/>
        </w:rPr>
        <w:t>指挥启动</w:t>
      </w:r>
      <w:r>
        <w:rPr>
          <w:rFonts w:hint="eastAsia" w:ascii="Times New Roman" w:hAnsi="Times New Roman" w:eastAsia="仿宋_GB2312" w:cs="Times New Roman"/>
          <w:sz w:val="32"/>
          <w:szCs w:val="32"/>
          <w:lang w:val="zh-CN"/>
        </w:rPr>
        <w:t>。</w:t>
      </w:r>
      <w:r>
        <w:rPr>
          <w:rFonts w:ascii="Times New Roman" w:hAnsi="Times New Roman" w:eastAsia="仿宋_GB2312" w:cs="Times New Roman"/>
          <w:sz w:val="32"/>
          <w:szCs w:val="32"/>
          <w:lang w:val="zh-CN"/>
        </w:rPr>
        <w:t>Ⅰ级、Ⅱ级和Ⅲ级响应</w:t>
      </w:r>
      <w:r>
        <w:rPr>
          <w:rFonts w:hint="eastAsia" w:ascii="Times New Roman" w:hAnsi="Times New Roman" w:eastAsia="仿宋_GB2312" w:cs="Times New Roman"/>
          <w:sz w:val="32"/>
          <w:szCs w:val="32"/>
          <w:lang w:val="zh-CN"/>
        </w:rPr>
        <w:t>由</w:t>
      </w:r>
      <w:r>
        <w:rPr>
          <w:rFonts w:ascii="Times New Roman" w:hAnsi="Times New Roman" w:eastAsia="仿宋_GB2312" w:cs="Times New Roman"/>
          <w:sz w:val="32"/>
          <w:szCs w:val="32"/>
          <w:lang w:val="zh-CN"/>
        </w:rPr>
        <w:t>旗应急指挥部</w:t>
      </w:r>
      <w:r>
        <w:rPr>
          <w:rFonts w:hint="eastAsia" w:ascii="Times New Roman" w:hAnsi="Times New Roman" w:eastAsia="仿宋_GB2312" w:cs="Times New Roman"/>
          <w:sz w:val="32"/>
          <w:szCs w:val="32"/>
          <w:lang w:val="zh-CN"/>
        </w:rPr>
        <w:t>总</w:t>
      </w:r>
      <w:r>
        <w:rPr>
          <w:rFonts w:ascii="Times New Roman" w:hAnsi="Times New Roman" w:eastAsia="仿宋_GB2312" w:cs="Times New Roman"/>
          <w:sz w:val="32"/>
          <w:szCs w:val="32"/>
          <w:lang w:val="zh-CN"/>
        </w:rPr>
        <w:t>指挥启动，旗人民政府在Ⅳ级响应的基础上，配合上级应急指挥机构开展应急处置工作。</w:t>
      </w:r>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bookmarkStart w:id="65" w:name="_Hlk135988263"/>
      <w:r>
        <w:rPr>
          <w:rFonts w:ascii="Times New Roman" w:hAnsi="Times New Roman" w:eastAsia="仿宋_GB2312" w:cs="Times New Roman"/>
          <w:kern w:val="0"/>
          <w:sz w:val="32"/>
          <w:szCs w:val="32"/>
        </w:rPr>
        <w:t>超出旗人民政府处置能力的，报请市人民政府及市相关部门提供支援或组织指导应对。</w:t>
      </w:r>
    </w:p>
    <w:p>
      <w:pPr>
        <w:widowControl/>
        <w:shd w:val="clear" w:color="auto" w:fill="FFFFFF"/>
        <w:spacing w:line="560" w:lineRule="exact"/>
        <w:ind w:firstLine="640" w:firstLineChars="200"/>
        <w:rPr>
          <w:rFonts w:eastAsia="仿宋_GB2312"/>
          <w:kern w:val="0"/>
          <w:sz w:val="32"/>
          <w:szCs w:val="32"/>
        </w:rPr>
      </w:pPr>
      <w:r>
        <w:rPr>
          <w:rFonts w:ascii="Times New Roman" w:hAnsi="Times New Roman" w:eastAsia="仿宋_GB2312" w:cs="Times New Roman"/>
          <w:kern w:val="0"/>
          <w:sz w:val="32"/>
          <w:szCs w:val="32"/>
        </w:rPr>
        <w:t>事故</w:t>
      </w:r>
      <w:r>
        <w:rPr>
          <w:rFonts w:hint="eastAsia" w:eastAsia="仿宋_GB2312"/>
          <w:kern w:val="0"/>
          <w:sz w:val="32"/>
          <w:szCs w:val="32"/>
        </w:rPr>
        <w:t>有</w:t>
      </w:r>
      <w:r>
        <w:rPr>
          <w:rFonts w:ascii="Times New Roman" w:hAnsi="Times New Roman" w:eastAsia="仿宋_GB2312" w:cs="Times New Roman"/>
          <w:kern w:val="0"/>
          <w:sz w:val="32"/>
          <w:szCs w:val="32"/>
        </w:rPr>
        <w:t>扩大或蔓延扩大的趋势、情况复杂难以控制时，应按程序上报，及时提升预警和响应级别。事故危害已经减缓和消除，不会进一步扩散，应按程序上报，相应降低或解除预警和响应级别。</w:t>
      </w:r>
    </w:p>
    <w:bookmarkEnd w:id="64"/>
    <w:bookmarkEnd w:id="65"/>
    <w:p>
      <w:pPr>
        <w:pStyle w:val="4"/>
        <w:tabs>
          <w:tab w:val="left" w:pos="709"/>
        </w:tabs>
        <w:spacing w:before="0" w:after="0" w:line="560" w:lineRule="exact"/>
        <w:ind w:firstLine="640" w:firstLineChars="200"/>
        <w:jc w:val="both"/>
        <w:rPr>
          <w:rFonts w:ascii="Times New Roman" w:hAnsi="Times New Roman" w:eastAsia="楷体"/>
          <w:kern w:val="2"/>
        </w:rPr>
      </w:pPr>
      <w:bookmarkStart w:id="66" w:name="_Toc135994584"/>
      <w:r>
        <w:rPr>
          <w:rFonts w:ascii="Times New Roman" w:hAnsi="Times New Roman" w:eastAsia="楷体"/>
          <w:kern w:val="2"/>
        </w:rPr>
        <w:t>5.4响应</w:t>
      </w:r>
      <w:r>
        <w:rPr>
          <w:rFonts w:hint="eastAsia" w:ascii="Times New Roman" w:hAnsi="Times New Roman" w:eastAsia="楷体"/>
          <w:kern w:val="2"/>
        </w:rPr>
        <w:t>措施</w:t>
      </w:r>
      <w:bookmarkEnd w:id="66"/>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应急响应启动后，根据事故类型、事故可控性、严重程度、影响范围，</w:t>
      </w:r>
      <w:r>
        <w:rPr>
          <w:rFonts w:hint="eastAsia" w:eastAsia="仿宋_GB2312"/>
          <w:kern w:val="0"/>
          <w:sz w:val="32"/>
          <w:szCs w:val="32"/>
        </w:rPr>
        <w:t>旗应急指挥部、相关</w:t>
      </w:r>
      <w:r>
        <w:rPr>
          <w:rFonts w:hint="eastAsia" w:ascii="Times New Roman" w:hAnsi="Times New Roman" w:eastAsia="仿宋_GB2312" w:cs="Times New Roman"/>
          <w:kern w:val="0"/>
          <w:sz w:val="32"/>
          <w:szCs w:val="32"/>
        </w:rPr>
        <w:t>单位可采取下列一项或多项应急处置措施：</w:t>
      </w:r>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（一</w:t>
      </w:r>
      <w:r>
        <w:rPr>
          <w:rFonts w:ascii="Times New Roman" w:hAnsi="Times New Roman" w:eastAsia="仿宋_GB2312" w:cs="Times New Roman"/>
          <w:kern w:val="0"/>
          <w:sz w:val="32"/>
          <w:szCs w:val="32"/>
        </w:rPr>
        <w:t>）制定方案。根据危险化学品生产安全事故类型，收集现场信息，研判事故发展趋势、制定抢险救援方案和现场处置方案。</w:t>
      </w:r>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（二</w:t>
      </w:r>
      <w:r>
        <w:rPr>
          <w:rFonts w:ascii="Times New Roman" w:hAnsi="Times New Roman" w:eastAsia="仿宋_GB2312" w:cs="Times New Roman"/>
          <w:kern w:val="0"/>
          <w:sz w:val="32"/>
          <w:szCs w:val="32"/>
        </w:rPr>
        <w:t>）调配应急力量和资源。调集专业抢险救援队伍和应急处置专家。</w:t>
      </w:r>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（三</w:t>
      </w:r>
      <w:r>
        <w:rPr>
          <w:rFonts w:ascii="Times New Roman" w:hAnsi="Times New Roman" w:eastAsia="仿宋_GB2312" w:cs="Times New Roman"/>
          <w:kern w:val="0"/>
          <w:sz w:val="32"/>
          <w:szCs w:val="32"/>
        </w:rPr>
        <w:t>）搜救、疏散人员。立即组织营救和救治受害人员，开展人员搜救工作，疏散、撤离或者采取其他措施保护受危害区域内的其他人员。</w:t>
      </w:r>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（四</w:t>
      </w:r>
      <w:r>
        <w:rPr>
          <w:rFonts w:ascii="Times New Roman" w:hAnsi="Times New Roman" w:eastAsia="仿宋_GB2312" w:cs="Times New Roman"/>
          <w:kern w:val="0"/>
          <w:sz w:val="32"/>
          <w:szCs w:val="32"/>
        </w:rPr>
        <w:t>）抢险救援。组织开展事故处置、工程抢险、道路交通设施抢修和事故现场清理等工作；迅速控制危险源，采取必要措施，防止事故危害扩大和次生、衍生灾害发生，为事故调查收集有关资料。</w:t>
      </w:r>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（五</w:t>
      </w:r>
      <w:r>
        <w:rPr>
          <w:rFonts w:ascii="Times New Roman" w:hAnsi="Times New Roman" w:eastAsia="仿宋_GB2312" w:cs="Times New Roman"/>
          <w:kern w:val="0"/>
          <w:sz w:val="32"/>
          <w:szCs w:val="32"/>
        </w:rPr>
        <w:t>）现场管制。划定警戒区域，在警戒区域边界设置警示标志，将警戒区域内与事故应急处置无关的人员撤离至安全区。对通往事故现场的道路实行交通管制，严禁无关车辆进入；清理主要交通干道，保证道路畅通；合理设置出入口，控制、记录进入事故救援核心区的人员。</w:t>
      </w:r>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（六</w:t>
      </w:r>
      <w:r>
        <w:rPr>
          <w:rFonts w:ascii="Times New Roman" w:hAnsi="Times New Roman" w:eastAsia="仿宋_GB2312" w:cs="Times New Roman"/>
          <w:kern w:val="0"/>
          <w:sz w:val="32"/>
          <w:szCs w:val="32"/>
        </w:rPr>
        <w:t>）医疗救护。调度医疗队伍，设立临时医疗点，协调外部医疗机构，为事故受伤人员、救援人员提供医疗保障服务；做好现场救援区域的防疫消毒；向受伤人员和受灾群众提供心理卫生咨询和帮助。</w:t>
      </w:r>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（七</w:t>
      </w:r>
      <w:r>
        <w:rPr>
          <w:rFonts w:ascii="Times New Roman" w:hAnsi="Times New Roman" w:eastAsia="仿宋_GB2312" w:cs="Times New Roman"/>
          <w:kern w:val="0"/>
          <w:sz w:val="32"/>
          <w:szCs w:val="32"/>
        </w:rPr>
        <w:t>）环境监测。开展事故现场及周边可能受影响区域的环境监测，综合分析和评价监测数据，预测事故可能造成的环境影响，采取控制污染扩散的措施，提出现场救援工作建议。</w:t>
      </w:r>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（八</w:t>
      </w:r>
      <w:r>
        <w:rPr>
          <w:rFonts w:ascii="Times New Roman" w:hAnsi="Times New Roman" w:eastAsia="仿宋_GB2312" w:cs="Times New Roman"/>
          <w:kern w:val="0"/>
          <w:sz w:val="32"/>
          <w:szCs w:val="32"/>
        </w:rPr>
        <w:t>）现场安全防护。根据危险化学品特性、事故类别及应急人员职责，采取相应防护措施。应急救援指挥人员、医务人员和其他不进入危险区域的人员应配备基本个人防护装备；消防、救援和侦检等进入危险区域的人员应配备隔离型密闭防毒面罩、适用的化学防护服和空气呼吸器等防护装备。</w:t>
      </w:r>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（九</w:t>
      </w:r>
      <w:r>
        <w:rPr>
          <w:rFonts w:ascii="Times New Roman" w:hAnsi="Times New Roman" w:eastAsia="仿宋_GB2312" w:cs="Times New Roman"/>
          <w:kern w:val="0"/>
          <w:sz w:val="32"/>
          <w:szCs w:val="32"/>
        </w:rPr>
        <w:t>）后勤保障。根据事故处置工作需求，及时提供物资、装备、食品、交通、供电、供水、供气和通信等方面的后勤服务和资源保障。</w:t>
      </w:r>
    </w:p>
    <w:p>
      <w:pPr>
        <w:pStyle w:val="4"/>
        <w:tabs>
          <w:tab w:val="left" w:pos="709"/>
        </w:tabs>
        <w:spacing w:before="0" w:after="0" w:line="560" w:lineRule="exact"/>
        <w:ind w:firstLine="640" w:firstLineChars="200"/>
        <w:jc w:val="both"/>
        <w:rPr>
          <w:rFonts w:ascii="Times New Roman" w:hAnsi="Times New Roman" w:eastAsia="楷体"/>
          <w:kern w:val="2"/>
        </w:rPr>
      </w:pPr>
      <w:bookmarkStart w:id="67" w:name="_Toc135994585"/>
      <w:r>
        <w:rPr>
          <w:rFonts w:ascii="Times New Roman" w:hAnsi="Times New Roman" w:eastAsia="楷体"/>
          <w:kern w:val="2"/>
        </w:rPr>
        <w:t>5.5事故</w:t>
      </w:r>
      <w:r>
        <w:rPr>
          <w:rFonts w:hint="eastAsia" w:ascii="Times New Roman" w:hAnsi="Times New Roman" w:eastAsia="楷体"/>
          <w:kern w:val="2"/>
        </w:rPr>
        <w:t>现场</w:t>
      </w:r>
      <w:r>
        <w:rPr>
          <w:rFonts w:ascii="Times New Roman" w:hAnsi="Times New Roman" w:eastAsia="楷体"/>
          <w:kern w:val="2"/>
        </w:rPr>
        <w:t>处置要点</w:t>
      </w:r>
      <w:bookmarkEnd w:id="67"/>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bookmarkStart w:id="68" w:name="_Toc115268634"/>
      <w:bookmarkStart w:id="69" w:name="_Toc125047678"/>
      <w:bookmarkStart w:id="70" w:name="_Toc125031257"/>
      <w:bookmarkStart w:id="71" w:name="_Toc113840911"/>
      <w:bookmarkStart w:id="72" w:name="_Toc115254483"/>
      <w:bookmarkStart w:id="73" w:name="_Toc125019834"/>
      <w:bookmarkStart w:id="74" w:name="_Toc116073210"/>
      <w:r>
        <w:rPr>
          <w:rFonts w:ascii="Times New Roman" w:hAnsi="Times New Roman" w:eastAsia="仿宋_GB2312" w:cs="Times New Roman"/>
          <w:kern w:val="0"/>
          <w:sz w:val="32"/>
          <w:szCs w:val="32"/>
        </w:rPr>
        <w:t>5.5.1</w:t>
      </w:r>
      <w:r>
        <w:rPr>
          <w:rFonts w:hint="eastAsia" w:ascii="Times New Roman" w:hAnsi="Times New Roman" w:eastAsia="仿宋_GB2312" w:cs="Times New Roman"/>
          <w:kern w:val="0"/>
          <w:sz w:val="32"/>
          <w:szCs w:val="32"/>
        </w:rPr>
        <w:t>危险化学品</w:t>
      </w:r>
      <w:r>
        <w:rPr>
          <w:rFonts w:ascii="Times New Roman" w:hAnsi="Times New Roman" w:eastAsia="仿宋_GB2312" w:cs="Times New Roman"/>
          <w:kern w:val="0"/>
          <w:sz w:val="32"/>
          <w:szCs w:val="32"/>
        </w:rPr>
        <w:t>火灾爆炸事故</w:t>
      </w:r>
      <w:r>
        <w:rPr>
          <w:rFonts w:hint="eastAsia" w:ascii="Times New Roman" w:hAnsi="Times New Roman" w:eastAsia="仿宋_GB2312" w:cs="Times New Roman"/>
          <w:kern w:val="0"/>
          <w:sz w:val="32"/>
          <w:szCs w:val="32"/>
        </w:rPr>
        <w:t>现场</w:t>
      </w:r>
      <w:r>
        <w:rPr>
          <w:rFonts w:ascii="Times New Roman" w:hAnsi="Times New Roman" w:eastAsia="仿宋_GB2312" w:cs="Times New Roman"/>
          <w:kern w:val="0"/>
          <w:sz w:val="32"/>
          <w:szCs w:val="32"/>
        </w:rPr>
        <w:t>处置</w:t>
      </w:r>
      <w:bookmarkEnd w:id="68"/>
      <w:bookmarkEnd w:id="69"/>
      <w:bookmarkEnd w:id="70"/>
      <w:bookmarkEnd w:id="71"/>
      <w:bookmarkEnd w:id="72"/>
      <w:bookmarkEnd w:id="73"/>
      <w:bookmarkEnd w:id="74"/>
      <w:r>
        <w:rPr>
          <w:rFonts w:hint="eastAsia" w:ascii="Times New Roman" w:hAnsi="Times New Roman" w:eastAsia="仿宋_GB2312" w:cs="Times New Roman"/>
          <w:kern w:val="0"/>
          <w:sz w:val="32"/>
          <w:szCs w:val="32"/>
        </w:rPr>
        <w:t>要点</w:t>
      </w:r>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（一</w:t>
      </w:r>
      <w:r>
        <w:rPr>
          <w:rFonts w:ascii="Times New Roman" w:hAnsi="Times New Roman" w:eastAsia="仿宋_GB2312" w:cs="Times New Roman"/>
          <w:kern w:val="0"/>
          <w:sz w:val="32"/>
          <w:szCs w:val="32"/>
        </w:rPr>
        <w:t>）现场侦查。在充分做好个人防护的基础上，对现场被困人员情况，以及着火部位、蔓延方向、火势范围、毗邻威胁程度、生产装置、控制路线、建（构）筑物损坏程度、现场及周边污染情况等进行初步侦查。</w:t>
      </w:r>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（二</w:t>
      </w:r>
      <w:r>
        <w:rPr>
          <w:rFonts w:ascii="Times New Roman" w:hAnsi="Times New Roman" w:eastAsia="仿宋_GB2312" w:cs="Times New Roman"/>
          <w:kern w:val="0"/>
          <w:sz w:val="32"/>
          <w:szCs w:val="32"/>
        </w:rPr>
        <w:t>）实施警戒。根据侦查结果研判火灾爆炸发生位置、危险化学品性质，以及火势扩大或二次爆炸的可能性，综合考虑事故发生区域的周围环境及可能对周边的影响，确定警戒范围。将警戒范围划分为重危区、中危区、轻危区和安全区，并设立警戒标志，在安全区外视情况设立隔离带。对警戒区周边道路实施交通管制，禁止无关人员和车辆进入现场，警戒区内实施停电、停火措施，并立即将警戒区内无关人员有序疏散至安全区域。</w:t>
      </w:r>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（三</w:t>
      </w:r>
      <w:r>
        <w:rPr>
          <w:rFonts w:ascii="Times New Roman" w:hAnsi="Times New Roman" w:eastAsia="仿宋_GB2312" w:cs="Times New Roman"/>
          <w:kern w:val="0"/>
          <w:sz w:val="32"/>
          <w:szCs w:val="32"/>
        </w:rPr>
        <w:t>）制定救援方案。现场指挥部根据燃烧范围、燃烧物品、周围物品危险性及火势蔓延途径等影响因素，选取合适的灭火剂和灭火方式，制定救援方案。</w:t>
      </w:r>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（四</w:t>
      </w:r>
      <w:r>
        <w:rPr>
          <w:rFonts w:ascii="Times New Roman" w:hAnsi="Times New Roman" w:eastAsia="仿宋_GB2312" w:cs="Times New Roman"/>
          <w:kern w:val="0"/>
          <w:sz w:val="32"/>
          <w:szCs w:val="32"/>
        </w:rPr>
        <w:t>）实施救援。在做好充分的救援准备及安全防护后，进入事故现场实施救援。搜救受伤及被困人员，采取正确的救助方式，将所有遇险人员转移至上风或侧上风方向空气无污染地区，对救出的中毒窒息人员、高温液体烫伤人员、化学烧伤人员等立即采取相应措施进行现场急救，伤情较重者及时送往医疗急救机构进行救治。制止泄漏，切断泄漏源，当不能有效堵漏时，可采取倒罐输转、放空点燃、惰性气体置换等方式进行泄漏处理。根据需要采取转移可燃物料、切断与装置及管线设施的连通等措施，利用消防水炮或消防水栓对着火罐、设备进行冷却。对周围受火灾威胁设施</w:t>
      </w:r>
      <w:r>
        <w:rPr>
          <w:rFonts w:hint="eastAsia" w:ascii="Times New Roman" w:hAnsi="Times New Roman" w:eastAsia="仿宋_GB2312" w:cs="Times New Roman"/>
          <w:kern w:val="0"/>
          <w:sz w:val="32"/>
          <w:szCs w:val="32"/>
        </w:rPr>
        <w:t>及时采取冷却、退料、泄压，采用沙袋或其他材料筑堤拦截飘散流淌的易燃液体或挖沟导流将物料导向安全地点，采用毛毡、沙袋等堵住下水井、窖井口等保护措施，防止火焰蔓延并对火场进行控制，当达到灭火条件时实施灭火作业。</w:t>
      </w:r>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（五</w:t>
      </w:r>
      <w:r>
        <w:rPr>
          <w:rFonts w:ascii="Times New Roman" w:hAnsi="Times New Roman" w:eastAsia="仿宋_GB2312" w:cs="Times New Roman"/>
          <w:kern w:val="0"/>
          <w:sz w:val="32"/>
          <w:szCs w:val="32"/>
        </w:rPr>
        <w:t>）现场监测。实时监测事故现场气象扩散和易燃易爆气体浓度，监测泄漏物质和消防废水对周围环境的影响；明确泄漏危及周围环境的可能性，防止造成二次污染；根据现场气体浓度及爆炸源的情况确定是否有二次爆炸的危险，确定应当采取的处置措施。</w:t>
      </w:r>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（六</w:t>
      </w:r>
      <w:r>
        <w:rPr>
          <w:rFonts w:ascii="Times New Roman" w:hAnsi="Times New Roman" w:eastAsia="仿宋_GB2312" w:cs="Times New Roman"/>
          <w:kern w:val="0"/>
          <w:sz w:val="32"/>
          <w:szCs w:val="32"/>
        </w:rPr>
        <w:t>）火灾扑救过程中，现场指挥部根据危险区的危害因素和火灾发展趋势进行动态评估，及时提出灭火指导意见，调整救援方案，并将现场救援情况及时报</w:t>
      </w:r>
      <w:r>
        <w:rPr>
          <w:rFonts w:hint="eastAsia" w:ascii="Times New Roman" w:hAnsi="Times New Roman" w:eastAsia="仿宋_GB2312" w:cs="Times New Roman"/>
          <w:kern w:val="0"/>
          <w:sz w:val="32"/>
          <w:szCs w:val="32"/>
        </w:rPr>
        <w:t>旗应急</w:t>
      </w:r>
      <w:r>
        <w:rPr>
          <w:rFonts w:ascii="Times New Roman" w:hAnsi="Times New Roman" w:eastAsia="仿宋_GB2312" w:cs="Times New Roman"/>
          <w:kern w:val="0"/>
          <w:sz w:val="32"/>
          <w:szCs w:val="32"/>
        </w:rPr>
        <w:t>指挥部。</w:t>
      </w:r>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bookmarkStart w:id="75" w:name="_Toc116073211"/>
      <w:bookmarkStart w:id="76" w:name="_Toc125047679"/>
      <w:bookmarkStart w:id="77" w:name="_Toc115254484"/>
      <w:bookmarkStart w:id="78" w:name="_Toc125019835"/>
      <w:bookmarkStart w:id="79" w:name="_Toc125031258"/>
      <w:bookmarkStart w:id="80" w:name="_Toc113840912"/>
      <w:bookmarkStart w:id="81" w:name="_Toc115268635"/>
      <w:r>
        <w:rPr>
          <w:rFonts w:ascii="Times New Roman" w:hAnsi="Times New Roman" w:eastAsia="仿宋_GB2312" w:cs="Times New Roman"/>
          <w:kern w:val="0"/>
          <w:sz w:val="32"/>
          <w:szCs w:val="32"/>
        </w:rPr>
        <w:t>5.5.2</w:t>
      </w:r>
      <w:r>
        <w:rPr>
          <w:rFonts w:hint="eastAsia" w:ascii="Times New Roman" w:hAnsi="Times New Roman" w:eastAsia="仿宋_GB2312" w:cs="Times New Roman"/>
          <w:kern w:val="0"/>
          <w:sz w:val="32"/>
          <w:szCs w:val="32"/>
        </w:rPr>
        <w:t>危险化学品</w:t>
      </w:r>
      <w:r>
        <w:rPr>
          <w:rFonts w:ascii="Times New Roman" w:hAnsi="Times New Roman" w:eastAsia="仿宋_GB2312" w:cs="Times New Roman"/>
          <w:kern w:val="0"/>
          <w:sz w:val="32"/>
          <w:szCs w:val="32"/>
        </w:rPr>
        <w:t>易燃易爆</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有毒</w:t>
      </w:r>
      <w:r>
        <w:rPr>
          <w:rFonts w:hint="eastAsia" w:ascii="Times New Roman" w:hAnsi="Times New Roman" w:eastAsia="仿宋_GB2312" w:cs="Times New Roman"/>
          <w:kern w:val="0"/>
          <w:sz w:val="32"/>
          <w:szCs w:val="32"/>
        </w:rPr>
        <w:t>有害</w:t>
      </w:r>
      <w:r>
        <w:rPr>
          <w:rFonts w:ascii="Times New Roman" w:hAnsi="Times New Roman" w:eastAsia="仿宋_GB2312" w:cs="Times New Roman"/>
          <w:kern w:val="0"/>
          <w:sz w:val="32"/>
          <w:szCs w:val="32"/>
        </w:rPr>
        <w:t>物质泄漏事故</w:t>
      </w:r>
      <w:r>
        <w:rPr>
          <w:rFonts w:hint="eastAsia" w:ascii="Times New Roman" w:hAnsi="Times New Roman" w:eastAsia="仿宋_GB2312" w:cs="Times New Roman"/>
          <w:kern w:val="0"/>
          <w:sz w:val="32"/>
          <w:szCs w:val="32"/>
        </w:rPr>
        <w:t>现场</w:t>
      </w:r>
      <w:r>
        <w:rPr>
          <w:rFonts w:ascii="Times New Roman" w:hAnsi="Times New Roman" w:eastAsia="仿宋_GB2312" w:cs="Times New Roman"/>
          <w:kern w:val="0"/>
          <w:sz w:val="32"/>
          <w:szCs w:val="32"/>
        </w:rPr>
        <w:t>处置</w:t>
      </w:r>
      <w:bookmarkEnd w:id="75"/>
      <w:bookmarkEnd w:id="76"/>
      <w:bookmarkEnd w:id="77"/>
      <w:bookmarkEnd w:id="78"/>
      <w:bookmarkEnd w:id="79"/>
      <w:bookmarkEnd w:id="80"/>
      <w:bookmarkEnd w:id="81"/>
      <w:r>
        <w:rPr>
          <w:rFonts w:hint="eastAsia" w:ascii="Times New Roman" w:hAnsi="Times New Roman" w:eastAsia="仿宋_GB2312" w:cs="Times New Roman"/>
          <w:kern w:val="0"/>
          <w:sz w:val="32"/>
          <w:szCs w:val="32"/>
        </w:rPr>
        <w:t>要点</w:t>
      </w:r>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（一</w:t>
      </w:r>
      <w:r>
        <w:rPr>
          <w:rFonts w:ascii="Times New Roman" w:hAnsi="Times New Roman" w:eastAsia="仿宋_GB2312" w:cs="Times New Roman"/>
          <w:kern w:val="0"/>
          <w:sz w:val="32"/>
          <w:szCs w:val="32"/>
        </w:rPr>
        <w:t>）现场侦查。在充分做好个人防护的基础上，对现场被困人员情况，以及容器储量、泄漏量、泄漏部位、形式，设施、建（构）筑物险情及可能引发爆炸燃烧的各种危险源，现场及周边污染情况等进行初步侦查。</w:t>
      </w:r>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（二</w:t>
      </w:r>
      <w:r>
        <w:rPr>
          <w:rFonts w:ascii="Times New Roman" w:hAnsi="Times New Roman" w:eastAsia="仿宋_GB2312" w:cs="Times New Roman"/>
          <w:kern w:val="0"/>
          <w:sz w:val="32"/>
          <w:szCs w:val="32"/>
        </w:rPr>
        <w:t>）实施警戒。根据侦查结果研判泄漏的危险化学品种类及性质、泄漏源的位置及气象情况，确定警戒范围，将警戒范围划分为重危区、中危区、轻危区和安全区，并设立警戒标志，在安全区外视情况设立隔离带。对警戒区周边道路实施交通管制，禁止无关人员和车辆进入现场，警戒区内实施停电、停火措施，消除可能引发火灾和爆炸的火源，并立即将警戒区内无关人员有序疏散至安全区域。</w:t>
      </w:r>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（三</w:t>
      </w:r>
      <w:r>
        <w:rPr>
          <w:rFonts w:ascii="Times New Roman" w:hAnsi="Times New Roman" w:eastAsia="仿宋_GB2312" w:cs="Times New Roman"/>
          <w:kern w:val="0"/>
          <w:sz w:val="32"/>
          <w:szCs w:val="32"/>
        </w:rPr>
        <w:t>）制定救援方案。现场指挥部根据泄漏源的周围环境（环境功能区、人口密度等）、周围区域重大危险源的分布以及预测的事故现场泄漏扩散趋势等情况，确定主要的控制措施（如筑堤导流、堵漏、倒罐转移等），制定救援方案。</w:t>
      </w:r>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（四</w:t>
      </w:r>
      <w:r>
        <w:rPr>
          <w:rFonts w:ascii="Times New Roman" w:hAnsi="Times New Roman" w:eastAsia="仿宋_GB2312" w:cs="Times New Roman"/>
          <w:kern w:val="0"/>
          <w:sz w:val="32"/>
          <w:szCs w:val="32"/>
        </w:rPr>
        <w:t>）实施救援。根据救援方案，在充分做好救援准备及个人防护的基础上，进入事故现场。搜救受伤及被困人员，采取正确的救助方式，将所有遇险人员移至上风或侧上风方向空气无污染地区，对救出的中毒窒息人员立即采取相应措施进行现场急救，伤情较重者及时送医疗急救部门救治。根据现场泄漏情况，采取关阀断料、开阀导流、排料泄压、火炬放空、倒罐转移、应急堵漏、冷却防爆、注水排险、喷雾稀释、引火点燃等措施控制泄漏源，防止泄漏物进入下水道、地下室或受限空间。稀释泄漏物浓度，拦截、导流和蓄积泄漏物，防止泄漏物向重要目标或环境敏感区扩散。</w:t>
      </w:r>
      <w:r>
        <w:rPr>
          <w:rFonts w:hint="eastAsia" w:ascii="Times New Roman" w:hAnsi="Times New Roman" w:eastAsia="仿宋_GB2312" w:cs="Times New Roman"/>
          <w:kern w:val="0"/>
          <w:sz w:val="32"/>
          <w:szCs w:val="32"/>
        </w:rPr>
        <w:t>贮罐区发生液体泄漏时，及时关闭雨水阀，防止物料外流。</w:t>
      </w:r>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（五</w:t>
      </w:r>
      <w:r>
        <w:rPr>
          <w:rFonts w:ascii="Times New Roman" w:hAnsi="Times New Roman" w:eastAsia="仿宋_GB2312" w:cs="Times New Roman"/>
          <w:kern w:val="0"/>
          <w:sz w:val="32"/>
          <w:szCs w:val="32"/>
        </w:rPr>
        <w:t>）泄漏物清理。当存在大量残液时，用防爆泵抽吸或使用无火花器具收集，集中处理；少量残液用稀释、吸附、固化、中和等方法处理。</w:t>
      </w:r>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（六</w:t>
      </w:r>
      <w:r>
        <w:rPr>
          <w:rFonts w:ascii="Times New Roman" w:hAnsi="Times New Roman" w:eastAsia="仿宋_GB2312" w:cs="Times New Roman"/>
          <w:kern w:val="0"/>
          <w:sz w:val="32"/>
          <w:szCs w:val="32"/>
        </w:rPr>
        <w:t>）现场监测。加强对现场水质、大气、土壤、气象信息的监测，并采取措施防止泄漏物质进一步对大气、附近水源、下水道造成二次污染。</w:t>
      </w:r>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（七</w:t>
      </w:r>
      <w:r>
        <w:rPr>
          <w:rFonts w:ascii="Times New Roman" w:hAnsi="Times New Roman" w:eastAsia="仿宋_GB2312" w:cs="Times New Roman"/>
          <w:kern w:val="0"/>
          <w:sz w:val="32"/>
          <w:szCs w:val="32"/>
        </w:rPr>
        <w:t>）现场指挥部根据危险区的危害因素和泄漏物质浓度扩散趋势进行动态评估，及时提出指导意见，调整救援方案，并将现场救援情况及时报送</w:t>
      </w:r>
      <w:r>
        <w:rPr>
          <w:rFonts w:hint="eastAsia" w:ascii="Times New Roman" w:hAnsi="Times New Roman" w:eastAsia="仿宋_GB2312" w:cs="Times New Roman"/>
          <w:kern w:val="0"/>
          <w:sz w:val="32"/>
          <w:szCs w:val="32"/>
        </w:rPr>
        <w:t>旗应急</w:t>
      </w:r>
      <w:r>
        <w:rPr>
          <w:rFonts w:ascii="Times New Roman" w:hAnsi="Times New Roman" w:eastAsia="仿宋_GB2312" w:cs="Times New Roman"/>
          <w:kern w:val="0"/>
          <w:sz w:val="32"/>
          <w:szCs w:val="32"/>
        </w:rPr>
        <w:t>指挥部。</w:t>
      </w:r>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其他危险化学品生产安全事故的应急救援与处置，综合参照上述现场处置要点，及时、科学、有效开展现场处置工作。</w:t>
      </w:r>
    </w:p>
    <w:p>
      <w:pPr>
        <w:pStyle w:val="4"/>
        <w:tabs>
          <w:tab w:val="left" w:pos="709"/>
        </w:tabs>
        <w:spacing w:before="0" w:after="0" w:line="560" w:lineRule="exact"/>
        <w:ind w:firstLine="640" w:firstLineChars="200"/>
        <w:jc w:val="both"/>
        <w:rPr>
          <w:rFonts w:ascii="Times New Roman" w:hAnsi="Times New Roman" w:eastAsia="楷体"/>
          <w:kern w:val="2"/>
        </w:rPr>
      </w:pPr>
      <w:bookmarkStart w:id="82" w:name="_Toc135994586"/>
      <w:r>
        <w:rPr>
          <w:rFonts w:ascii="Times New Roman" w:hAnsi="Times New Roman" w:eastAsia="楷体"/>
          <w:kern w:val="2"/>
        </w:rPr>
        <w:t>5.6</w:t>
      </w:r>
      <w:r>
        <w:rPr>
          <w:rFonts w:hint="eastAsia" w:ascii="Times New Roman" w:hAnsi="Times New Roman" w:eastAsia="楷体"/>
          <w:kern w:val="2"/>
        </w:rPr>
        <w:t>防护救护</w:t>
      </w:r>
      <w:r>
        <w:rPr>
          <w:rFonts w:ascii="Times New Roman" w:hAnsi="Times New Roman" w:eastAsia="楷体"/>
          <w:kern w:val="2"/>
        </w:rPr>
        <w:t>措施</w:t>
      </w:r>
      <w:bookmarkEnd w:id="82"/>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bookmarkStart w:id="83" w:name="_Toc125047681"/>
      <w:bookmarkStart w:id="84" w:name="_Toc115268637"/>
      <w:bookmarkStart w:id="85" w:name="_Toc125019837"/>
      <w:bookmarkStart w:id="86" w:name="_Toc115254486"/>
      <w:bookmarkStart w:id="87" w:name="_Toc125031260"/>
      <w:bookmarkStart w:id="88" w:name="_Toc116073213"/>
      <w:bookmarkStart w:id="89" w:name="_Toc113840914"/>
      <w:r>
        <w:rPr>
          <w:rFonts w:ascii="Times New Roman" w:hAnsi="Times New Roman" w:eastAsia="仿宋_GB2312" w:cs="Times New Roman"/>
          <w:kern w:val="0"/>
          <w:sz w:val="32"/>
          <w:szCs w:val="32"/>
        </w:rPr>
        <w:t>5.6.1</w:t>
      </w:r>
      <w:r>
        <w:rPr>
          <w:rFonts w:hint="eastAsia" w:ascii="Times New Roman" w:hAnsi="Times New Roman" w:eastAsia="仿宋_GB2312" w:cs="Times New Roman"/>
          <w:kern w:val="0"/>
          <w:sz w:val="32"/>
          <w:szCs w:val="32"/>
        </w:rPr>
        <w:t>应急人员防护</w:t>
      </w:r>
      <w:bookmarkEnd w:id="83"/>
      <w:bookmarkEnd w:id="84"/>
      <w:bookmarkEnd w:id="85"/>
      <w:bookmarkEnd w:id="86"/>
      <w:bookmarkEnd w:id="87"/>
      <w:bookmarkEnd w:id="88"/>
      <w:bookmarkEnd w:id="89"/>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根据危险化学品危险特性采取相应的防护措施。工程抢险、消防和侦检等进入污染区域的应急人员应按照规定要求佩戴相应的防护装备，采取相应安全防护措施。现场应急指挥人员等处于事故上风向位置，保持足够安全距离。</w:t>
      </w:r>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严格执行应急救援人员进入和离开事故现场的相关规定。控制、记录进入现场救援人员的数量。</w:t>
      </w:r>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5.6.2</w:t>
      </w:r>
      <w:r>
        <w:rPr>
          <w:rFonts w:hint="eastAsia" w:ascii="Times New Roman" w:hAnsi="Times New Roman" w:eastAsia="仿宋_GB2312" w:cs="Times New Roman"/>
          <w:kern w:val="0"/>
          <w:sz w:val="32"/>
          <w:szCs w:val="32"/>
        </w:rPr>
        <w:t>遇险人员救护</w:t>
      </w:r>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应急救援人员携带救生器材迅速进入现场，将遇险受困人员转移到安全区。对救出人员进行现场急救和登记后，移交专业医疗卫生机构进行救护。</w:t>
      </w:r>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将警戒隔离区内与事故应急处理无关人员撤离至安全区，撤离时要选择正确方向和路线。</w:t>
      </w:r>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5.6.3</w:t>
      </w:r>
      <w:r>
        <w:rPr>
          <w:rFonts w:hint="eastAsia" w:ascii="Times New Roman" w:hAnsi="Times New Roman" w:eastAsia="仿宋_GB2312" w:cs="Times New Roman"/>
          <w:kern w:val="0"/>
          <w:sz w:val="32"/>
          <w:szCs w:val="32"/>
        </w:rPr>
        <w:t>群众安全防护</w:t>
      </w:r>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根据危险化学品事故特点，组织和指导群众就地取用毛巾、湿布、口罩等物品，采用简易有效措施自救互救。进入安全区域后，应尽快去除受污染的衣物，防止继发性伤害。</w:t>
      </w:r>
    </w:p>
    <w:p>
      <w:pPr>
        <w:pStyle w:val="4"/>
        <w:tabs>
          <w:tab w:val="left" w:pos="709"/>
        </w:tabs>
        <w:spacing w:before="0" w:after="0" w:line="560" w:lineRule="exact"/>
        <w:ind w:firstLine="640" w:firstLineChars="200"/>
        <w:jc w:val="both"/>
        <w:rPr>
          <w:rFonts w:ascii="Times New Roman" w:hAnsi="Times New Roman" w:eastAsia="楷体"/>
          <w:kern w:val="2"/>
        </w:rPr>
      </w:pPr>
      <w:bookmarkStart w:id="90" w:name="_Toc135994587"/>
      <w:r>
        <w:rPr>
          <w:rFonts w:ascii="Times New Roman" w:hAnsi="Times New Roman" w:eastAsia="楷体"/>
          <w:kern w:val="2"/>
        </w:rPr>
        <w:t>5.7信息发布</w:t>
      </w:r>
      <w:r>
        <w:rPr>
          <w:rFonts w:hint="eastAsia" w:ascii="Times New Roman" w:hAnsi="Times New Roman" w:eastAsia="楷体"/>
          <w:kern w:val="2"/>
        </w:rPr>
        <w:t>和舆论引导</w:t>
      </w:r>
      <w:bookmarkEnd w:id="90"/>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5.7.1</w:t>
      </w:r>
      <w:r>
        <w:rPr>
          <w:rFonts w:hint="eastAsia" w:ascii="Times New Roman" w:hAnsi="Times New Roman" w:eastAsia="仿宋_GB2312" w:cs="Times New Roman"/>
          <w:kern w:val="0"/>
          <w:sz w:val="32"/>
          <w:szCs w:val="32"/>
        </w:rPr>
        <w:t>信息发布</w:t>
      </w:r>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事故发生后，各相关部门应及时报送事故信息。旗人民政府或旗应急指挥部及时通过主流媒体按照工作程序第一时间向社会发布简要信息，</w:t>
      </w:r>
      <w:r>
        <w:rPr>
          <w:rFonts w:ascii="Times New Roman" w:hAnsi="Times New Roman" w:eastAsia="仿宋_GB2312" w:cs="Times New Roman"/>
          <w:kern w:val="0"/>
          <w:sz w:val="32"/>
          <w:szCs w:val="32"/>
        </w:rPr>
        <w:t>随后发布初步核实情况、政府应对措施和公众防范措施等，并及时做好后续信息发布工作。</w:t>
      </w:r>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信息发布形式主要包括提供新闻稿、举行新闻发布会、接受媒体采访，以及运用官方网站、微博、微信、移动客户端、手机短信等官方信息平台等发布，具体发布按照有关规定执行。</w:t>
      </w:r>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5.7.2</w:t>
      </w:r>
      <w:r>
        <w:rPr>
          <w:rFonts w:hint="eastAsia" w:ascii="Times New Roman" w:hAnsi="Times New Roman" w:eastAsia="仿宋_GB2312" w:cs="Times New Roman"/>
          <w:kern w:val="0"/>
          <w:sz w:val="32"/>
          <w:szCs w:val="32"/>
        </w:rPr>
        <w:t>舆论引导</w:t>
      </w:r>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旗人民政府及旗委宣传部门应加强网络媒体、移动新媒体信息发布内容管理和舆情分析，及时回应社会关切，迅速澄清谣言，引导网民依法、理性表达意见，形成积极健康的社会舆论。</w:t>
      </w:r>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未经相关应急指挥机构批准，参与应急处置工作的各有关单位和个人不得擅自对外发布事件原因、伤亡数字、责任追究等有关应急处置和事态发展的信息。任何单位和个人不得编造、传播有关应急处置和事态发展的虚假信息。</w:t>
      </w:r>
    </w:p>
    <w:p>
      <w:pPr>
        <w:pStyle w:val="4"/>
        <w:tabs>
          <w:tab w:val="left" w:pos="709"/>
        </w:tabs>
        <w:spacing w:before="0" w:after="0" w:line="560" w:lineRule="exact"/>
        <w:ind w:firstLine="640" w:firstLineChars="200"/>
        <w:jc w:val="both"/>
        <w:rPr>
          <w:rFonts w:ascii="Times New Roman" w:hAnsi="Times New Roman" w:eastAsia="楷体"/>
          <w:kern w:val="2"/>
        </w:rPr>
      </w:pPr>
      <w:bookmarkStart w:id="91" w:name="_Toc135994588"/>
      <w:r>
        <w:rPr>
          <w:rFonts w:ascii="Times New Roman" w:hAnsi="Times New Roman" w:eastAsia="楷体"/>
          <w:kern w:val="2"/>
        </w:rPr>
        <w:t>5.8应急结束</w:t>
      </w:r>
      <w:bookmarkEnd w:id="91"/>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事故现场得到有效控制，事故险情得到根本消除，经现场指挥部检查确认，不存在造成次生事故因素，不会对事故现场和周围环境造成环境影响时，由现场指挥部向负责统一指挥的应急指挥机构报告，经批准后，宣布应急结束。</w:t>
      </w:r>
    </w:p>
    <w:p>
      <w:pPr>
        <w:pStyle w:val="7"/>
        <w:adjustRightInd w:val="0"/>
        <w:snapToGrid w:val="0"/>
        <w:spacing w:line="560" w:lineRule="exact"/>
        <w:ind w:firstLine="640" w:firstLineChars="200"/>
        <w:outlineLvl w:val="0"/>
        <w:rPr>
          <w:rFonts w:ascii="Times New Roman" w:hAnsi="Times New Roman" w:eastAsia="黑体" w:cs="Times New Roman"/>
          <w:sz w:val="32"/>
          <w:szCs w:val="32"/>
        </w:rPr>
      </w:pPr>
      <w:bookmarkStart w:id="92" w:name="_Toc135994589"/>
      <w:r>
        <w:rPr>
          <w:rFonts w:ascii="Times New Roman" w:hAnsi="Times New Roman" w:eastAsia="黑体" w:cs="Times New Roman"/>
          <w:sz w:val="32"/>
          <w:szCs w:val="32"/>
        </w:rPr>
        <w:t>6后期处置</w:t>
      </w:r>
      <w:bookmarkEnd w:id="92"/>
    </w:p>
    <w:p>
      <w:pPr>
        <w:pStyle w:val="4"/>
        <w:tabs>
          <w:tab w:val="left" w:pos="709"/>
        </w:tabs>
        <w:spacing w:before="0" w:after="0" w:line="560" w:lineRule="exact"/>
        <w:ind w:firstLine="640" w:firstLineChars="200"/>
        <w:jc w:val="both"/>
        <w:rPr>
          <w:rFonts w:ascii="Times New Roman" w:hAnsi="Times New Roman" w:eastAsia="楷体"/>
          <w:kern w:val="2"/>
        </w:rPr>
      </w:pPr>
      <w:bookmarkStart w:id="93" w:name="_Toc135994590"/>
      <w:r>
        <w:rPr>
          <w:rFonts w:ascii="Times New Roman" w:hAnsi="Times New Roman" w:eastAsia="楷体"/>
          <w:kern w:val="2"/>
        </w:rPr>
        <w:t>6.1善后处置</w:t>
      </w:r>
      <w:bookmarkEnd w:id="93"/>
    </w:p>
    <w:p>
      <w:pPr>
        <w:spacing w:line="560" w:lineRule="exact"/>
        <w:ind w:firstLine="640" w:firstLineChars="200"/>
        <w:rPr>
          <w:rFonts w:eastAsia="仿宋_GB2312"/>
          <w:sz w:val="32"/>
          <w:szCs w:val="32"/>
        </w:rPr>
      </w:pPr>
      <w:r>
        <w:rPr>
          <w:rFonts w:hint="eastAsia" w:eastAsia="仿宋_GB2312"/>
          <w:sz w:val="32"/>
          <w:szCs w:val="32"/>
        </w:rPr>
        <w:t>宣布应急结束后，由旗相关部门和事发地政府负责后期处置工作，根据事故造成的后果及实际情况，制订善后处置措施并组织实施，必要时，经旗委、旗政府批准，成立旗善后工作领导小组。</w:t>
      </w:r>
    </w:p>
    <w:p>
      <w:pPr>
        <w:spacing w:line="560" w:lineRule="exact"/>
        <w:ind w:firstLine="640" w:firstLineChars="200"/>
        <w:rPr>
          <w:rFonts w:eastAsia="仿宋_GB2312"/>
          <w:sz w:val="32"/>
          <w:szCs w:val="32"/>
        </w:rPr>
      </w:pPr>
      <w:r>
        <w:rPr>
          <w:rFonts w:hint="eastAsia" w:eastAsia="仿宋_GB2312"/>
          <w:sz w:val="32"/>
          <w:szCs w:val="32"/>
        </w:rPr>
        <w:t>事后</w:t>
      </w:r>
      <w:r>
        <w:rPr>
          <w:rFonts w:eastAsia="仿宋_GB2312"/>
          <w:sz w:val="32"/>
          <w:szCs w:val="32"/>
        </w:rPr>
        <w:t>处置主要包括人员安置、补偿，征用物资补偿，社会救助，保险理赔，灾后重建，污染物收集、清理与处理等事项；妥善安置和慰问受害人员及受影响群众，做好事故伤亡人员家属的安抚工作；依据法律和政策规定负责遇难者及其家属的善后处理、受伤人员医疗救助等，保持社会稳定，尽快恢复正常生活生产秩序。</w:t>
      </w:r>
    </w:p>
    <w:p>
      <w:pPr>
        <w:pStyle w:val="4"/>
        <w:tabs>
          <w:tab w:val="left" w:pos="709"/>
        </w:tabs>
        <w:spacing w:before="0" w:after="0" w:line="560" w:lineRule="exact"/>
        <w:ind w:firstLine="640" w:firstLineChars="200"/>
        <w:jc w:val="both"/>
        <w:rPr>
          <w:rFonts w:ascii="Times New Roman" w:hAnsi="Times New Roman" w:eastAsia="楷体"/>
          <w:kern w:val="2"/>
        </w:rPr>
      </w:pPr>
      <w:bookmarkStart w:id="94" w:name="_Toc135994591"/>
      <w:r>
        <w:rPr>
          <w:rFonts w:ascii="Times New Roman" w:hAnsi="Times New Roman" w:eastAsia="楷体"/>
          <w:kern w:val="2"/>
        </w:rPr>
        <w:t>6.2保险</w:t>
      </w:r>
      <w:r>
        <w:rPr>
          <w:rFonts w:hint="eastAsia" w:ascii="Times New Roman" w:hAnsi="Times New Roman" w:eastAsia="楷体"/>
          <w:kern w:val="2"/>
        </w:rPr>
        <w:t>理赔</w:t>
      </w:r>
      <w:bookmarkEnd w:id="94"/>
    </w:p>
    <w:p>
      <w:pPr>
        <w:widowControl/>
        <w:shd w:val="clear" w:color="auto" w:fill="FFFFFF"/>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事故发生后，银行保险监管部门负责督促保险机构及时开展保险受理、赔付工作。相关部门将损失情况及时向银行监管部门和保险机构通报，协助做好保险理赔和纠纷处理工作。</w:t>
      </w:r>
    </w:p>
    <w:p>
      <w:pPr>
        <w:pStyle w:val="4"/>
        <w:tabs>
          <w:tab w:val="left" w:pos="709"/>
        </w:tabs>
        <w:spacing w:before="0" w:after="0" w:line="560" w:lineRule="exact"/>
        <w:ind w:firstLine="640" w:firstLineChars="200"/>
        <w:jc w:val="both"/>
        <w:rPr>
          <w:rFonts w:ascii="Times New Roman" w:hAnsi="Times New Roman" w:eastAsia="楷体"/>
          <w:kern w:val="2"/>
        </w:rPr>
      </w:pPr>
      <w:bookmarkStart w:id="95" w:name="_Toc135994592"/>
      <w:r>
        <w:rPr>
          <w:rFonts w:ascii="Times New Roman" w:hAnsi="Times New Roman" w:eastAsia="楷体"/>
          <w:kern w:val="2"/>
        </w:rPr>
        <w:t>6.3调查</w:t>
      </w:r>
      <w:r>
        <w:rPr>
          <w:rFonts w:hint="eastAsia" w:ascii="Times New Roman" w:hAnsi="Times New Roman" w:eastAsia="楷体"/>
          <w:kern w:val="2"/>
        </w:rPr>
        <w:t>评估</w:t>
      </w:r>
      <w:bookmarkEnd w:id="95"/>
    </w:p>
    <w:p>
      <w:pPr>
        <w:widowControl/>
        <w:shd w:val="clear" w:color="auto" w:fill="FFFFFF"/>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事故发生后，根据有关规定，由旗应急指挥部办公室或相关单位牵头，按照《生产安全事故报告和调查处理条例》等有关法律、法规、规章，及时组织开展事故调查处理及责任追究工作。事故调查人员要及时介入，事故调查处理应及时、准确地查清事故经过、事故原因和事故损失，查明事故性质，认定事故责任，总结事故教训，提出整改措施，并依法追究有关单位和人员责任。</w:t>
      </w:r>
    </w:p>
    <w:p>
      <w:pPr>
        <w:widowControl/>
        <w:shd w:val="clear" w:color="auto" w:fill="FFFFFF"/>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事故处置结束后，开展事故应对工作总结评估，对事前、事发、事中、事后全过程应对工作进行全面、客观的分析和评估，针对存在的问题总结经验教训，提出改进建议等，并形成事故应对工作总结评估报告。</w:t>
      </w:r>
    </w:p>
    <w:p>
      <w:pPr>
        <w:pStyle w:val="4"/>
        <w:tabs>
          <w:tab w:val="left" w:pos="709"/>
        </w:tabs>
        <w:spacing w:before="0" w:after="0" w:line="560" w:lineRule="exact"/>
        <w:ind w:firstLine="640" w:firstLineChars="200"/>
        <w:jc w:val="both"/>
        <w:rPr>
          <w:rFonts w:ascii="Times New Roman" w:hAnsi="Times New Roman" w:eastAsia="楷体"/>
          <w:kern w:val="2"/>
        </w:rPr>
      </w:pPr>
      <w:bookmarkStart w:id="96" w:name="_Toc135994593"/>
      <w:r>
        <w:rPr>
          <w:rFonts w:ascii="Times New Roman" w:hAnsi="Times New Roman" w:eastAsia="楷体"/>
          <w:kern w:val="2"/>
        </w:rPr>
        <w:t>6.4奖励</w:t>
      </w:r>
      <w:bookmarkEnd w:id="96"/>
      <w:r>
        <w:rPr>
          <w:rFonts w:hint="eastAsia" w:ascii="Times New Roman" w:hAnsi="Times New Roman" w:eastAsia="楷体"/>
          <w:kern w:val="2"/>
        </w:rPr>
        <w:t>处罚</w:t>
      </w:r>
    </w:p>
    <w:p>
      <w:pPr>
        <w:widowControl/>
        <w:shd w:val="clear" w:color="auto" w:fill="FFFFFF"/>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对在应急抢险救援、指挥等方面有突出贡献的单位和个人，</w:t>
      </w:r>
      <w:r>
        <w:rPr>
          <w:rFonts w:hint="eastAsia" w:ascii="Times New Roman" w:hAnsi="Times New Roman" w:eastAsia="仿宋_GB2312" w:cs="Times New Roman"/>
          <w:sz w:val="32"/>
          <w:szCs w:val="32"/>
        </w:rPr>
        <w:t>旗</w:t>
      </w:r>
      <w:r>
        <w:rPr>
          <w:rFonts w:ascii="Times New Roman" w:hAnsi="Times New Roman" w:eastAsia="仿宋_GB2312" w:cs="Times New Roman"/>
          <w:sz w:val="32"/>
          <w:szCs w:val="32"/>
        </w:rPr>
        <w:t>人民政府和有关部门应按有关规定，给予表彰和奖励。对在事故中玩忽职守，不认真履行职责，造成严重后果的单位和个人，给予行政处分和处罚，构成犯罪的，依法追究刑事责任。</w:t>
      </w:r>
    </w:p>
    <w:p>
      <w:pPr>
        <w:pStyle w:val="7"/>
        <w:adjustRightInd w:val="0"/>
        <w:snapToGrid w:val="0"/>
        <w:spacing w:line="560" w:lineRule="exact"/>
        <w:ind w:firstLine="640" w:firstLineChars="200"/>
        <w:outlineLvl w:val="0"/>
        <w:rPr>
          <w:rFonts w:ascii="Times New Roman" w:hAnsi="Times New Roman" w:eastAsia="黑体" w:cs="Times New Roman"/>
          <w:sz w:val="32"/>
          <w:szCs w:val="32"/>
        </w:rPr>
      </w:pPr>
      <w:bookmarkStart w:id="97" w:name="_Toc135994594"/>
      <w:r>
        <w:rPr>
          <w:rFonts w:ascii="Times New Roman" w:hAnsi="Times New Roman" w:eastAsia="黑体" w:cs="Times New Roman"/>
          <w:sz w:val="32"/>
          <w:szCs w:val="32"/>
        </w:rPr>
        <w:t>7应急保障</w:t>
      </w:r>
      <w:bookmarkEnd w:id="97"/>
    </w:p>
    <w:p>
      <w:pPr>
        <w:pStyle w:val="4"/>
        <w:tabs>
          <w:tab w:val="left" w:pos="709"/>
        </w:tabs>
        <w:spacing w:before="0" w:after="0" w:line="560" w:lineRule="exact"/>
        <w:ind w:firstLine="640" w:firstLineChars="200"/>
        <w:jc w:val="both"/>
        <w:rPr>
          <w:rFonts w:ascii="Times New Roman" w:hAnsi="Times New Roman" w:eastAsia="楷体"/>
          <w:kern w:val="2"/>
        </w:rPr>
      </w:pPr>
      <w:bookmarkStart w:id="98" w:name="_Toc135994595"/>
      <w:r>
        <w:rPr>
          <w:rFonts w:ascii="Times New Roman" w:hAnsi="Times New Roman" w:eastAsia="楷体"/>
          <w:kern w:val="2"/>
        </w:rPr>
        <w:t>7.1应急队伍保障</w:t>
      </w:r>
      <w:bookmarkEnd w:id="98"/>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旗危险化学品生产安全事故应急队伍由综合性消防救援队伍、专业救援队伍和社会救援力量等组成。旗人民政府及有关部门需掌握区域内应急救援队伍资源信息情况，并督促检查应急救援队伍建设和准备情况。</w:t>
      </w:r>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危险化学品从业单位应按照规定建立应急救援队伍，</w:t>
      </w:r>
      <w:r>
        <w:rPr>
          <w:rFonts w:ascii="Times New Roman" w:hAnsi="Times New Roman" w:eastAsia="仿宋_GB2312" w:cs="Times New Roman"/>
          <w:kern w:val="0"/>
          <w:sz w:val="32"/>
          <w:szCs w:val="32"/>
        </w:rPr>
        <w:t>应配备专业装备和专业救援人员，开展应急培训和演练。</w:t>
      </w:r>
    </w:p>
    <w:p>
      <w:pPr>
        <w:pStyle w:val="4"/>
        <w:tabs>
          <w:tab w:val="left" w:pos="709"/>
        </w:tabs>
        <w:spacing w:before="0" w:after="0" w:line="560" w:lineRule="exact"/>
        <w:ind w:firstLine="640" w:firstLineChars="200"/>
        <w:jc w:val="both"/>
        <w:rPr>
          <w:rFonts w:ascii="Times New Roman" w:hAnsi="Times New Roman" w:eastAsia="楷体"/>
          <w:kern w:val="2"/>
        </w:rPr>
      </w:pPr>
      <w:bookmarkStart w:id="99" w:name="_Toc135994596"/>
      <w:r>
        <w:rPr>
          <w:rFonts w:ascii="Times New Roman" w:hAnsi="Times New Roman" w:eastAsia="楷体"/>
          <w:kern w:val="2"/>
        </w:rPr>
        <w:t>7.2物资装备保障</w:t>
      </w:r>
      <w:bookmarkEnd w:id="99"/>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旗应急指挥部按照“统筹管理、定点储备、综合调度、统一指挥”的原则，不断提升应急物资准备、快速响应、保障有序的建设能力和水平，完善旗危险化学品应急物资储备，提升快速调运能力。</w:t>
      </w:r>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危险化学品</w:t>
      </w:r>
      <w:r>
        <w:rPr>
          <w:rFonts w:hint="eastAsia" w:ascii="Times New Roman" w:hAnsi="Times New Roman" w:eastAsia="仿宋_GB2312" w:cs="Times New Roman"/>
          <w:kern w:val="0"/>
          <w:sz w:val="32"/>
          <w:szCs w:val="32"/>
        </w:rPr>
        <w:t>从业单位</w:t>
      </w:r>
      <w:r>
        <w:rPr>
          <w:rFonts w:ascii="Times New Roman" w:hAnsi="Times New Roman" w:eastAsia="仿宋_GB2312" w:cs="Times New Roman"/>
          <w:kern w:val="0"/>
          <w:sz w:val="32"/>
          <w:szCs w:val="32"/>
        </w:rPr>
        <w:t>应当建立事故应急救援设施、设备、救治药品和医疗器械等储备制度，储备必要的应急物资和装备。</w:t>
      </w:r>
    </w:p>
    <w:p>
      <w:pPr>
        <w:pStyle w:val="4"/>
        <w:tabs>
          <w:tab w:val="left" w:pos="709"/>
        </w:tabs>
        <w:spacing w:before="0" w:after="0" w:line="560" w:lineRule="exact"/>
        <w:ind w:firstLine="640" w:firstLineChars="200"/>
        <w:jc w:val="both"/>
        <w:rPr>
          <w:rFonts w:ascii="Times New Roman" w:hAnsi="Times New Roman" w:eastAsia="楷体"/>
          <w:kern w:val="2"/>
        </w:rPr>
      </w:pPr>
      <w:bookmarkStart w:id="100" w:name="_Toc135994597"/>
      <w:r>
        <w:rPr>
          <w:rFonts w:ascii="Times New Roman" w:hAnsi="Times New Roman" w:eastAsia="楷体"/>
          <w:kern w:val="2"/>
        </w:rPr>
        <w:t>7.3治安和交通运输保障</w:t>
      </w:r>
      <w:bookmarkEnd w:id="100"/>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发生危险化学品事故后，旗公安局应对事故现场实施治安警戒和治安管理，加强对重点地区、重点场所、重点人群、重要物资设备的防范保护，维持现场秩序，必要时及时疏散群众，保持社会治安秩序的稳定。旗交通运输局、旗交管大队根据需要及时对现场和相关通道实行交通管制，开设应急救援特别通道，确保救灾物资、器材和人员的运送，形成快速、高效、顺畅、协调的应急运输系统。</w:t>
      </w:r>
    </w:p>
    <w:p>
      <w:pPr>
        <w:pStyle w:val="4"/>
        <w:tabs>
          <w:tab w:val="left" w:pos="709"/>
        </w:tabs>
        <w:spacing w:before="0" w:after="0" w:line="560" w:lineRule="exact"/>
        <w:ind w:firstLine="640" w:firstLineChars="200"/>
        <w:jc w:val="both"/>
        <w:rPr>
          <w:rFonts w:ascii="Times New Roman" w:hAnsi="Times New Roman" w:eastAsia="楷体"/>
          <w:kern w:val="2"/>
        </w:rPr>
      </w:pPr>
      <w:bookmarkStart w:id="101" w:name="_Toc135994598"/>
      <w:r>
        <w:rPr>
          <w:rFonts w:ascii="Times New Roman" w:hAnsi="Times New Roman" w:eastAsia="楷体"/>
          <w:kern w:val="2"/>
        </w:rPr>
        <w:t>7.4信息与</w:t>
      </w:r>
      <w:bookmarkEnd w:id="101"/>
      <w:r>
        <w:rPr>
          <w:rFonts w:hint="eastAsia" w:ascii="Times New Roman" w:hAnsi="Times New Roman" w:eastAsia="楷体"/>
          <w:kern w:val="2"/>
        </w:rPr>
        <w:t>通信保障</w:t>
      </w:r>
    </w:p>
    <w:p>
      <w:pPr>
        <w:spacing w:line="560" w:lineRule="exact"/>
        <w:ind w:firstLine="640" w:firstLineChars="200"/>
        <w:rPr>
          <w:rFonts w:eastAsia="仿宋_GB2312"/>
          <w:sz w:val="32"/>
          <w:szCs w:val="32"/>
        </w:rPr>
      </w:pPr>
      <w:bookmarkStart w:id="102" w:name="_Hlk135993692"/>
      <w:bookmarkStart w:id="151" w:name="_GoBack"/>
      <w:bookmarkEnd w:id="151"/>
      <w:r>
        <w:rPr>
          <w:rFonts w:hint="eastAsia" w:eastAsia="仿宋_GB2312"/>
          <w:sz w:val="32"/>
          <w:szCs w:val="32"/>
        </w:rPr>
        <w:t>相关部门应建立健全应急通信、广播系统，</w:t>
      </w:r>
      <w:bookmarkEnd w:id="102"/>
      <w:r>
        <w:rPr>
          <w:rFonts w:eastAsia="仿宋_GB2312"/>
          <w:sz w:val="32"/>
          <w:szCs w:val="32"/>
        </w:rPr>
        <w:t>依托现有的有线、无线、卫星等通信手段，以及安全事故信息网络系统，保证应急期间的信息及时、准确、可靠地传输</w:t>
      </w:r>
      <w:r>
        <w:rPr>
          <w:rFonts w:hint="eastAsia" w:eastAsia="仿宋_GB2312"/>
          <w:sz w:val="32"/>
          <w:szCs w:val="32"/>
        </w:rPr>
        <w:t>。在网络中断或网络盲区时，部署应急移动通信保障车，保障事故现场应急通信网络畅通。</w:t>
      </w:r>
    </w:p>
    <w:p>
      <w:pPr>
        <w:pStyle w:val="4"/>
        <w:tabs>
          <w:tab w:val="left" w:pos="709"/>
        </w:tabs>
        <w:spacing w:before="0" w:after="0" w:line="560" w:lineRule="exact"/>
        <w:ind w:firstLine="640" w:firstLineChars="200"/>
        <w:jc w:val="both"/>
        <w:rPr>
          <w:rFonts w:ascii="Times New Roman" w:hAnsi="Times New Roman" w:eastAsia="楷体"/>
          <w:kern w:val="2"/>
        </w:rPr>
      </w:pPr>
      <w:bookmarkStart w:id="103" w:name="_Toc135994599"/>
      <w:r>
        <w:rPr>
          <w:rFonts w:ascii="Times New Roman" w:hAnsi="Times New Roman" w:eastAsia="楷体"/>
          <w:kern w:val="2"/>
        </w:rPr>
        <w:t>7.5医疗卫生保障</w:t>
      </w:r>
      <w:bookmarkEnd w:id="103"/>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eastAsia="仿宋_GB2312"/>
          <w:sz w:val="32"/>
          <w:szCs w:val="32"/>
        </w:rPr>
        <w:t>旗卫生健康委员会</w:t>
      </w:r>
      <w:r>
        <w:rPr>
          <w:rFonts w:hint="eastAsia" w:eastAsia="仿宋_GB2312"/>
          <w:sz w:val="32"/>
          <w:szCs w:val="32"/>
        </w:rPr>
        <w:t>组织医疗救护队伍进入事故现场安全区域，对伤员进行救治，做好后续跟踪工作。按照现场抢救、院前急救、专科治疗几个阶段组织实施救护。</w:t>
      </w:r>
    </w:p>
    <w:p>
      <w:pPr>
        <w:pStyle w:val="4"/>
        <w:tabs>
          <w:tab w:val="left" w:pos="709"/>
        </w:tabs>
        <w:spacing w:before="0" w:after="0" w:line="560" w:lineRule="exact"/>
        <w:ind w:firstLine="640" w:firstLineChars="200"/>
        <w:jc w:val="both"/>
        <w:rPr>
          <w:rFonts w:ascii="Times New Roman" w:hAnsi="Times New Roman" w:eastAsia="楷体"/>
          <w:kern w:val="2"/>
        </w:rPr>
      </w:pPr>
      <w:bookmarkStart w:id="104" w:name="_Toc135994600"/>
      <w:r>
        <w:rPr>
          <w:rFonts w:ascii="Times New Roman" w:hAnsi="Times New Roman" w:eastAsia="楷体"/>
          <w:kern w:val="2"/>
        </w:rPr>
        <w:t>7.6资金保障</w:t>
      </w:r>
      <w:bookmarkEnd w:id="104"/>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旗财政局负责事故预防及应急处置相关财政资金管理。事故发生后，按照相关规定及时拨付事故应对资金。</w:t>
      </w:r>
    </w:p>
    <w:p>
      <w:pPr>
        <w:pStyle w:val="4"/>
        <w:tabs>
          <w:tab w:val="left" w:pos="709"/>
        </w:tabs>
        <w:spacing w:before="0" w:after="0" w:line="560" w:lineRule="exact"/>
        <w:ind w:firstLine="640" w:firstLineChars="200"/>
        <w:jc w:val="both"/>
        <w:rPr>
          <w:rFonts w:ascii="Times New Roman" w:hAnsi="Times New Roman" w:eastAsia="楷体"/>
          <w:kern w:val="2"/>
        </w:rPr>
      </w:pPr>
      <w:bookmarkStart w:id="105" w:name="_Toc135994601"/>
      <w:r>
        <w:rPr>
          <w:rFonts w:ascii="Times New Roman" w:hAnsi="Times New Roman" w:eastAsia="楷体"/>
          <w:kern w:val="2"/>
        </w:rPr>
        <w:t>7.7技术保障</w:t>
      </w:r>
      <w:bookmarkEnd w:id="105"/>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旗</w:t>
      </w:r>
      <w:r>
        <w:rPr>
          <w:rFonts w:hint="eastAsia" w:ascii="Times New Roman" w:hAnsi="Times New Roman" w:eastAsia="仿宋_GB2312" w:cs="Times New Roman"/>
          <w:kern w:val="0"/>
          <w:sz w:val="32"/>
          <w:szCs w:val="32"/>
        </w:rPr>
        <w:t>有关部门、单位应</w:t>
      </w:r>
      <w:r>
        <w:rPr>
          <w:rFonts w:ascii="Times New Roman" w:hAnsi="Times New Roman" w:eastAsia="仿宋_GB2312" w:cs="Times New Roman"/>
          <w:kern w:val="0"/>
          <w:sz w:val="32"/>
          <w:szCs w:val="32"/>
        </w:rPr>
        <w:t>加强</w:t>
      </w:r>
      <w:r>
        <w:rPr>
          <w:rFonts w:hint="eastAsia" w:ascii="Times New Roman" w:hAnsi="Times New Roman" w:eastAsia="仿宋_GB2312" w:cs="Times New Roman"/>
          <w:kern w:val="0"/>
          <w:sz w:val="32"/>
          <w:szCs w:val="32"/>
        </w:rPr>
        <w:t>应急</w:t>
      </w:r>
      <w:r>
        <w:rPr>
          <w:rFonts w:ascii="Times New Roman" w:hAnsi="Times New Roman" w:eastAsia="仿宋_GB2312" w:cs="Times New Roman"/>
          <w:kern w:val="0"/>
          <w:sz w:val="32"/>
          <w:szCs w:val="32"/>
        </w:rPr>
        <w:t>信息化建设，推进互联网技术在危险化学品安全监管领域的应用，构建覆盖全旗</w:t>
      </w:r>
      <w:r>
        <w:rPr>
          <w:rFonts w:hint="eastAsia" w:ascii="Times New Roman" w:hAnsi="Times New Roman" w:eastAsia="仿宋_GB2312" w:cs="Times New Roman"/>
          <w:kern w:val="0"/>
          <w:sz w:val="32"/>
          <w:szCs w:val="32"/>
        </w:rPr>
        <w:t>的</w:t>
      </w:r>
      <w:r>
        <w:rPr>
          <w:rFonts w:ascii="Times New Roman" w:hAnsi="Times New Roman" w:eastAsia="仿宋_GB2312" w:cs="Times New Roman"/>
          <w:kern w:val="0"/>
          <w:sz w:val="32"/>
          <w:szCs w:val="32"/>
        </w:rPr>
        <w:t>信息化平台，实现对重要场所、重点部位、关键设备设施的动态化和信息化监管，提升监控、预警和应急处置能力。</w:t>
      </w:r>
    </w:p>
    <w:p>
      <w:pPr>
        <w:pStyle w:val="7"/>
        <w:adjustRightInd w:val="0"/>
        <w:snapToGrid w:val="0"/>
        <w:spacing w:line="560" w:lineRule="exact"/>
        <w:ind w:firstLine="640" w:firstLineChars="200"/>
        <w:outlineLvl w:val="0"/>
        <w:rPr>
          <w:rFonts w:ascii="Times New Roman" w:hAnsi="Times New Roman" w:eastAsia="黑体" w:cs="Times New Roman"/>
          <w:sz w:val="32"/>
          <w:szCs w:val="32"/>
        </w:rPr>
      </w:pPr>
      <w:bookmarkStart w:id="106" w:name="_Toc113806665"/>
      <w:bookmarkStart w:id="107" w:name="_Toc135994602"/>
      <w:r>
        <w:rPr>
          <w:rFonts w:ascii="Times New Roman" w:hAnsi="Times New Roman" w:eastAsia="黑体" w:cs="Times New Roman"/>
          <w:sz w:val="32"/>
          <w:szCs w:val="32"/>
        </w:rPr>
        <w:t>8</w:t>
      </w:r>
      <w:bookmarkEnd w:id="106"/>
      <w:r>
        <w:rPr>
          <w:rFonts w:hint="eastAsia" w:ascii="Times New Roman" w:hAnsi="Times New Roman" w:eastAsia="黑体" w:cs="Times New Roman"/>
          <w:sz w:val="32"/>
          <w:szCs w:val="32"/>
        </w:rPr>
        <w:t>预案管理</w:t>
      </w:r>
      <w:bookmarkEnd w:id="107"/>
    </w:p>
    <w:p>
      <w:pPr>
        <w:pStyle w:val="4"/>
        <w:tabs>
          <w:tab w:val="left" w:pos="709"/>
        </w:tabs>
        <w:spacing w:before="0" w:after="0" w:line="560" w:lineRule="exact"/>
        <w:ind w:firstLine="640" w:firstLineChars="200"/>
        <w:jc w:val="both"/>
        <w:rPr>
          <w:rFonts w:ascii="Times New Roman" w:hAnsi="Times New Roman" w:eastAsia="楷体"/>
          <w:kern w:val="2"/>
        </w:rPr>
      </w:pPr>
      <w:bookmarkStart w:id="108" w:name="_Toc113806666"/>
      <w:bookmarkStart w:id="109" w:name="_Toc135994603"/>
      <w:r>
        <w:rPr>
          <w:rFonts w:ascii="Times New Roman" w:hAnsi="Times New Roman" w:eastAsia="楷体"/>
          <w:kern w:val="2"/>
        </w:rPr>
        <w:t>8.1宣传、培训</w:t>
      </w:r>
      <w:bookmarkEnd w:id="108"/>
      <w:bookmarkEnd w:id="109"/>
    </w:p>
    <w:p>
      <w:pPr>
        <w:spacing w:line="560" w:lineRule="exact"/>
        <w:ind w:firstLine="640" w:firstLineChars="200"/>
        <w:rPr>
          <w:rFonts w:eastAsia="仿宋_GB2312"/>
          <w:sz w:val="32"/>
          <w:szCs w:val="32"/>
        </w:rPr>
      </w:pPr>
      <w:r>
        <w:rPr>
          <w:rFonts w:eastAsia="仿宋_GB2312"/>
          <w:sz w:val="32"/>
          <w:szCs w:val="32"/>
        </w:rPr>
        <w:t>旗</w:t>
      </w:r>
      <w:r>
        <w:rPr>
          <w:rFonts w:hint="eastAsia" w:eastAsia="仿宋_GB2312"/>
          <w:sz w:val="32"/>
          <w:szCs w:val="32"/>
        </w:rPr>
        <w:t>应急</w:t>
      </w:r>
      <w:r>
        <w:rPr>
          <w:rFonts w:eastAsia="仿宋_GB2312"/>
          <w:sz w:val="32"/>
          <w:szCs w:val="32"/>
        </w:rPr>
        <w:t>指挥部</w:t>
      </w:r>
      <w:r>
        <w:rPr>
          <w:rFonts w:hint="eastAsia" w:eastAsia="仿宋_GB2312"/>
          <w:sz w:val="32"/>
          <w:szCs w:val="32"/>
        </w:rPr>
        <w:t>办公室、宣传部门组织协调，充分利用各类媒体，有针对性开展危险化学品应急知识的宣传教育。危险化学品</w:t>
      </w:r>
      <w:r>
        <w:rPr>
          <w:rFonts w:eastAsia="仿宋_GB2312"/>
          <w:sz w:val="32"/>
          <w:szCs w:val="32"/>
        </w:rPr>
        <w:t>从业单位</w:t>
      </w:r>
      <w:r>
        <w:rPr>
          <w:rFonts w:hint="eastAsia" w:eastAsia="仿宋_GB2312"/>
          <w:sz w:val="32"/>
          <w:szCs w:val="32"/>
        </w:rPr>
        <w:t>，面向单位职工以及周边受影响群众开展危险化学品事故应急救援有关法律法规，以及危险化学品</w:t>
      </w:r>
      <w:r>
        <w:rPr>
          <w:rFonts w:eastAsia="仿宋_GB2312"/>
          <w:sz w:val="32"/>
          <w:szCs w:val="32"/>
        </w:rPr>
        <w:t>事故预防</w:t>
      </w:r>
      <w:r>
        <w:rPr>
          <w:rFonts w:hint="eastAsia" w:eastAsia="仿宋_GB2312"/>
          <w:sz w:val="32"/>
          <w:szCs w:val="32"/>
        </w:rPr>
        <w:t>、自救、互救等基本</w:t>
      </w:r>
      <w:r>
        <w:rPr>
          <w:rFonts w:eastAsia="仿宋_GB2312"/>
          <w:sz w:val="32"/>
          <w:szCs w:val="32"/>
        </w:rPr>
        <w:t>常识</w:t>
      </w:r>
      <w:r>
        <w:rPr>
          <w:rFonts w:hint="eastAsia" w:eastAsia="仿宋_GB2312"/>
          <w:sz w:val="32"/>
          <w:szCs w:val="32"/>
        </w:rPr>
        <w:t>的宣传教育。</w:t>
      </w:r>
    </w:p>
    <w:p>
      <w:pPr>
        <w:spacing w:line="560" w:lineRule="exact"/>
        <w:ind w:firstLine="640" w:firstLineChars="200"/>
        <w:rPr>
          <w:rFonts w:eastAsia="仿宋_GB2312"/>
          <w:sz w:val="32"/>
          <w:szCs w:val="32"/>
        </w:rPr>
      </w:pPr>
      <w:r>
        <w:rPr>
          <w:rFonts w:hint="eastAsia" w:eastAsia="仿宋_GB2312"/>
          <w:sz w:val="32"/>
          <w:szCs w:val="32"/>
        </w:rPr>
        <w:t>旗应急指挥部</w:t>
      </w:r>
      <w:r>
        <w:rPr>
          <w:rFonts w:hint="eastAsia" w:ascii="Times New Roman" w:eastAsia="仿宋_GB2312"/>
          <w:sz w:val="32"/>
          <w:szCs w:val="32"/>
        </w:rPr>
        <w:t>办公室、消防救援部门等加强对</w:t>
      </w:r>
      <w:r>
        <w:rPr>
          <w:rFonts w:hint="eastAsia" w:eastAsia="仿宋_GB2312"/>
          <w:sz w:val="32"/>
          <w:szCs w:val="32"/>
        </w:rPr>
        <w:t>危险化学品</w:t>
      </w:r>
      <w:r>
        <w:rPr>
          <w:rFonts w:hint="eastAsia" w:ascii="Times New Roman" w:eastAsia="仿宋_GB2312"/>
          <w:sz w:val="32"/>
          <w:szCs w:val="32"/>
        </w:rPr>
        <w:t>相关应急救援队伍的业务培训，提高应急救援能力和安全防护技能。</w:t>
      </w:r>
      <w:r>
        <w:rPr>
          <w:rFonts w:hint="eastAsia" w:eastAsia="仿宋_GB2312"/>
          <w:sz w:val="32"/>
          <w:szCs w:val="32"/>
        </w:rPr>
        <w:t>危险化学品经营</w:t>
      </w:r>
      <w:r>
        <w:rPr>
          <w:rFonts w:hint="eastAsia" w:ascii="Times New Roman" w:eastAsia="仿宋_GB2312"/>
          <w:sz w:val="32"/>
          <w:szCs w:val="32"/>
        </w:rPr>
        <w:t>单位要加强对从业人员的安全知识、安全技能、应急救援的培训。</w:t>
      </w:r>
    </w:p>
    <w:p>
      <w:pPr>
        <w:pStyle w:val="4"/>
        <w:tabs>
          <w:tab w:val="left" w:pos="709"/>
        </w:tabs>
        <w:spacing w:before="0" w:after="0" w:line="560" w:lineRule="exact"/>
        <w:ind w:firstLine="640" w:firstLineChars="200"/>
        <w:jc w:val="both"/>
        <w:rPr>
          <w:rFonts w:ascii="Times New Roman" w:hAnsi="Times New Roman" w:eastAsia="楷体"/>
          <w:kern w:val="2"/>
        </w:rPr>
      </w:pPr>
      <w:bookmarkStart w:id="110" w:name="_Toc113806667"/>
      <w:bookmarkStart w:id="111" w:name="_Toc135994604"/>
      <w:r>
        <w:rPr>
          <w:rFonts w:ascii="Times New Roman" w:hAnsi="Times New Roman" w:eastAsia="楷体"/>
          <w:kern w:val="2"/>
        </w:rPr>
        <w:t>8.2</w:t>
      </w:r>
      <w:r>
        <w:rPr>
          <w:rFonts w:hint="eastAsia" w:ascii="Times New Roman" w:hAnsi="Times New Roman" w:eastAsia="楷体"/>
          <w:kern w:val="2"/>
        </w:rPr>
        <w:t>应急</w:t>
      </w:r>
      <w:r>
        <w:rPr>
          <w:rFonts w:ascii="Times New Roman" w:hAnsi="Times New Roman" w:eastAsia="楷体"/>
          <w:kern w:val="2"/>
        </w:rPr>
        <w:t>演练</w:t>
      </w:r>
      <w:bookmarkEnd w:id="110"/>
      <w:bookmarkEnd w:id="111"/>
    </w:p>
    <w:p>
      <w:pPr>
        <w:spacing w:line="560" w:lineRule="exact"/>
        <w:ind w:firstLine="640" w:firstLineChars="200"/>
        <w:rPr>
          <w:rFonts w:eastAsia="仿宋_GB2312"/>
          <w:sz w:val="32"/>
          <w:szCs w:val="32"/>
        </w:rPr>
      </w:pPr>
      <w:r>
        <w:rPr>
          <w:rFonts w:eastAsia="仿宋_GB2312"/>
          <w:sz w:val="32"/>
          <w:szCs w:val="32"/>
        </w:rPr>
        <w:t>旗应急</w:t>
      </w:r>
      <w:r>
        <w:rPr>
          <w:rFonts w:hint="eastAsia" w:eastAsia="仿宋_GB2312"/>
          <w:sz w:val="32"/>
          <w:szCs w:val="32"/>
        </w:rPr>
        <w:t>指挥部办公室</w:t>
      </w:r>
      <w:r>
        <w:rPr>
          <w:rFonts w:eastAsia="仿宋_GB2312"/>
          <w:sz w:val="32"/>
          <w:szCs w:val="32"/>
        </w:rPr>
        <w:t>应</w:t>
      </w:r>
      <w:r>
        <w:rPr>
          <w:rFonts w:hint="eastAsia" w:eastAsia="仿宋_GB2312"/>
          <w:sz w:val="32"/>
          <w:szCs w:val="32"/>
        </w:rPr>
        <w:t>每两年至少组织一次应急演练，</w:t>
      </w:r>
      <w:r>
        <w:rPr>
          <w:rFonts w:eastAsia="仿宋_GB2312"/>
          <w:sz w:val="32"/>
          <w:szCs w:val="32"/>
        </w:rPr>
        <w:t>提高</w:t>
      </w:r>
      <w:r>
        <w:rPr>
          <w:rFonts w:hint="eastAsia" w:eastAsia="仿宋_GB2312"/>
          <w:sz w:val="32"/>
          <w:szCs w:val="32"/>
        </w:rPr>
        <w:t>相关</w:t>
      </w:r>
      <w:r>
        <w:rPr>
          <w:rFonts w:eastAsia="仿宋_GB2312"/>
          <w:sz w:val="32"/>
          <w:szCs w:val="32"/>
        </w:rPr>
        <w:t>部门、</w:t>
      </w:r>
      <w:r>
        <w:rPr>
          <w:rFonts w:hint="eastAsia" w:eastAsia="仿宋_GB2312"/>
          <w:sz w:val="32"/>
          <w:szCs w:val="32"/>
        </w:rPr>
        <w:t>相关</w:t>
      </w:r>
      <w:r>
        <w:rPr>
          <w:rFonts w:eastAsia="仿宋_GB2312"/>
          <w:sz w:val="32"/>
          <w:szCs w:val="32"/>
        </w:rPr>
        <w:t>辖区</w:t>
      </w:r>
      <w:r>
        <w:rPr>
          <w:rFonts w:hint="eastAsia" w:eastAsia="仿宋_GB2312"/>
          <w:sz w:val="32"/>
          <w:szCs w:val="32"/>
        </w:rPr>
        <w:t>危险化学品</w:t>
      </w:r>
      <w:r>
        <w:rPr>
          <w:rFonts w:eastAsia="仿宋_GB2312"/>
          <w:sz w:val="32"/>
          <w:szCs w:val="32"/>
        </w:rPr>
        <w:t>生产安全事故应急处置能力。</w:t>
      </w:r>
    </w:p>
    <w:p>
      <w:pPr>
        <w:widowControl/>
        <w:shd w:val="clear" w:color="auto" w:fill="FFFFFF"/>
        <w:spacing w:line="560" w:lineRule="exact"/>
        <w:ind w:firstLine="640" w:firstLineChars="200"/>
        <w:rPr>
          <w:rFonts w:eastAsia="仿宋_GB2312"/>
          <w:sz w:val="32"/>
          <w:szCs w:val="32"/>
        </w:rPr>
      </w:pPr>
      <w:r>
        <w:rPr>
          <w:rFonts w:ascii="Times New Roman" w:hAnsi="Times New Roman" w:eastAsia="仿宋_GB2312" w:cs="Times New Roman"/>
          <w:kern w:val="0"/>
          <w:sz w:val="32"/>
          <w:szCs w:val="32"/>
        </w:rPr>
        <w:t>危险化学品</w:t>
      </w:r>
      <w:r>
        <w:rPr>
          <w:rFonts w:hint="eastAsia" w:ascii="Times New Roman" w:hAnsi="Times New Roman" w:eastAsia="仿宋_GB2312" w:cs="Times New Roman"/>
          <w:kern w:val="0"/>
          <w:sz w:val="32"/>
          <w:szCs w:val="32"/>
        </w:rPr>
        <w:t>从业单位</w:t>
      </w:r>
      <w:r>
        <w:rPr>
          <w:rFonts w:eastAsia="仿宋_GB2312"/>
          <w:sz w:val="32"/>
          <w:szCs w:val="32"/>
        </w:rPr>
        <w:t>应根据本单位的事故风险特点，制定本单位的生产安全事故应急预案，每半年</w:t>
      </w:r>
      <w:r>
        <w:rPr>
          <w:rFonts w:hint="eastAsia" w:eastAsia="仿宋_GB2312"/>
          <w:sz w:val="32"/>
          <w:szCs w:val="32"/>
        </w:rPr>
        <w:t>至少</w:t>
      </w:r>
      <w:r>
        <w:rPr>
          <w:rFonts w:eastAsia="仿宋_GB2312"/>
          <w:sz w:val="32"/>
          <w:szCs w:val="32"/>
        </w:rPr>
        <w:t>组织一次生产安全事故应急预案演练。</w:t>
      </w:r>
    </w:p>
    <w:p>
      <w:pPr>
        <w:pStyle w:val="4"/>
        <w:tabs>
          <w:tab w:val="left" w:pos="709"/>
        </w:tabs>
        <w:spacing w:before="0" w:after="0" w:line="560" w:lineRule="exact"/>
        <w:ind w:firstLine="640" w:firstLineChars="200"/>
        <w:jc w:val="both"/>
        <w:rPr>
          <w:rFonts w:ascii="Times New Roman" w:hAnsi="Times New Roman" w:eastAsia="楷体"/>
          <w:kern w:val="2"/>
        </w:rPr>
      </w:pPr>
      <w:bookmarkStart w:id="112" w:name="_Toc135994605"/>
      <w:bookmarkStart w:id="113" w:name="_Toc135928682"/>
      <w:r>
        <w:rPr>
          <w:rFonts w:ascii="Times New Roman" w:hAnsi="Times New Roman" w:eastAsia="楷体"/>
          <w:kern w:val="2"/>
        </w:rPr>
        <w:t>8.3</w:t>
      </w:r>
      <w:r>
        <w:rPr>
          <w:rFonts w:hint="eastAsia" w:ascii="Times New Roman" w:hAnsi="Times New Roman" w:eastAsia="楷体"/>
          <w:kern w:val="2"/>
        </w:rPr>
        <w:t>预案修订</w:t>
      </w:r>
      <w:bookmarkEnd w:id="112"/>
      <w:bookmarkEnd w:id="113"/>
    </w:p>
    <w:p>
      <w:pPr>
        <w:spacing w:line="560" w:lineRule="exact"/>
        <w:ind w:firstLine="640" w:firstLineChars="200"/>
        <w:rPr>
          <w:rFonts w:eastAsia="仿宋_GB2312"/>
          <w:sz w:val="32"/>
          <w:szCs w:val="32"/>
        </w:rPr>
      </w:pPr>
      <w:r>
        <w:rPr>
          <w:rFonts w:eastAsia="仿宋_GB2312"/>
          <w:sz w:val="32"/>
          <w:szCs w:val="32"/>
        </w:rPr>
        <w:t>旗应急管理局</w:t>
      </w:r>
      <w:r>
        <w:rPr>
          <w:rFonts w:hint="eastAsia" w:eastAsia="仿宋_GB2312"/>
          <w:sz w:val="32"/>
          <w:szCs w:val="32"/>
        </w:rPr>
        <w:t>应定期对应急预案进行评估，分析评价预案的针对性、实用性和可操作性。</w:t>
      </w:r>
      <w:r>
        <w:rPr>
          <w:rFonts w:eastAsia="仿宋_GB2312"/>
          <w:sz w:val="32"/>
          <w:szCs w:val="32"/>
        </w:rPr>
        <w:t>有下列情形之一的，应及时</w:t>
      </w:r>
      <w:r>
        <w:rPr>
          <w:rFonts w:hint="eastAsia" w:eastAsia="仿宋_GB2312"/>
          <w:sz w:val="32"/>
          <w:szCs w:val="32"/>
        </w:rPr>
        <w:t>对</w:t>
      </w:r>
      <w:r>
        <w:rPr>
          <w:rFonts w:eastAsia="仿宋_GB2312"/>
          <w:sz w:val="32"/>
          <w:szCs w:val="32"/>
        </w:rPr>
        <w:t>应急预案</w:t>
      </w:r>
      <w:r>
        <w:rPr>
          <w:rFonts w:hint="eastAsia" w:eastAsia="仿宋_GB2312"/>
          <w:sz w:val="32"/>
          <w:szCs w:val="32"/>
        </w:rPr>
        <w:t>进行</w:t>
      </w:r>
      <w:r>
        <w:rPr>
          <w:rFonts w:eastAsia="仿宋_GB2312"/>
          <w:sz w:val="32"/>
          <w:szCs w:val="32"/>
        </w:rPr>
        <w:t>修订：</w:t>
      </w:r>
    </w:p>
    <w:p>
      <w:pPr>
        <w:spacing w:line="560" w:lineRule="exact"/>
        <w:ind w:firstLine="640" w:firstLineChars="200"/>
        <w:rPr>
          <w:rFonts w:eastAsia="仿宋_GB2312"/>
          <w:sz w:val="32"/>
          <w:szCs w:val="32"/>
        </w:rPr>
      </w:pPr>
      <w:r>
        <w:rPr>
          <w:rFonts w:eastAsia="仿宋_GB2312"/>
          <w:sz w:val="32"/>
          <w:szCs w:val="32"/>
        </w:rPr>
        <w:t>（一）有关法律、法规、规章、标准、上位预案中的有关规定发生变化的；</w:t>
      </w:r>
    </w:p>
    <w:p>
      <w:pPr>
        <w:spacing w:line="560" w:lineRule="exact"/>
        <w:ind w:firstLine="640" w:firstLineChars="200"/>
        <w:rPr>
          <w:rFonts w:eastAsia="仿宋_GB2312"/>
          <w:sz w:val="32"/>
          <w:szCs w:val="32"/>
        </w:rPr>
      </w:pPr>
      <w:r>
        <w:rPr>
          <w:rFonts w:eastAsia="仿宋_GB2312"/>
          <w:sz w:val="32"/>
          <w:szCs w:val="32"/>
        </w:rPr>
        <w:t>（二）应急指挥机构及其职责发生重大调整的；</w:t>
      </w:r>
    </w:p>
    <w:p>
      <w:pPr>
        <w:spacing w:line="560" w:lineRule="exact"/>
        <w:ind w:firstLine="640" w:firstLineChars="200"/>
        <w:rPr>
          <w:rFonts w:eastAsia="仿宋_GB2312"/>
          <w:sz w:val="32"/>
          <w:szCs w:val="32"/>
        </w:rPr>
      </w:pPr>
      <w:r>
        <w:rPr>
          <w:rFonts w:eastAsia="仿宋_GB2312"/>
          <w:sz w:val="32"/>
          <w:szCs w:val="32"/>
        </w:rPr>
        <w:t>（三）面临的风险发生重大变化的；</w:t>
      </w:r>
    </w:p>
    <w:p>
      <w:pPr>
        <w:spacing w:line="560" w:lineRule="exact"/>
        <w:ind w:firstLine="640" w:firstLineChars="200"/>
        <w:rPr>
          <w:rFonts w:eastAsia="仿宋_GB2312"/>
          <w:sz w:val="32"/>
          <w:szCs w:val="32"/>
        </w:rPr>
      </w:pPr>
      <w:r>
        <w:rPr>
          <w:rFonts w:eastAsia="仿宋_GB2312"/>
          <w:sz w:val="32"/>
          <w:szCs w:val="32"/>
        </w:rPr>
        <w:t>（四）重要应急资源发生重大变化的；</w:t>
      </w:r>
    </w:p>
    <w:p>
      <w:pPr>
        <w:spacing w:line="560" w:lineRule="exact"/>
        <w:ind w:firstLine="640" w:firstLineChars="200"/>
        <w:rPr>
          <w:rFonts w:eastAsia="仿宋_GB2312"/>
          <w:sz w:val="32"/>
          <w:szCs w:val="32"/>
        </w:rPr>
      </w:pPr>
      <w:r>
        <w:rPr>
          <w:rFonts w:eastAsia="仿宋_GB2312"/>
          <w:sz w:val="32"/>
          <w:szCs w:val="32"/>
        </w:rPr>
        <w:t>（五）预案中的其他重要信息发生变化的；</w:t>
      </w:r>
    </w:p>
    <w:p>
      <w:pPr>
        <w:spacing w:line="560" w:lineRule="exact"/>
        <w:ind w:firstLine="640" w:firstLineChars="200"/>
        <w:rPr>
          <w:rFonts w:eastAsia="仿宋_GB2312"/>
          <w:sz w:val="32"/>
          <w:szCs w:val="32"/>
        </w:rPr>
      </w:pPr>
      <w:r>
        <w:rPr>
          <w:rFonts w:eastAsia="仿宋_GB2312"/>
          <w:sz w:val="32"/>
          <w:szCs w:val="32"/>
        </w:rPr>
        <w:t>（六）在突发事件实际应对和应急演练中发现问题需要作出重大调整的；</w:t>
      </w:r>
    </w:p>
    <w:p>
      <w:pPr>
        <w:spacing w:line="560" w:lineRule="exact"/>
        <w:ind w:firstLine="640" w:firstLineChars="200"/>
        <w:rPr>
          <w:rFonts w:eastAsia="仿宋_GB2312"/>
          <w:sz w:val="32"/>
          <w:szCs w:val="32"/>
        </w:rPr>
      </w:pPr>
      <w:r>
        <w:rPr>
          <w:rFonts w:eastAsia="仿宋_GB2312"/>
          <w:sz w:val="32"/>
          <w:szCs w:val="32"/>
        </w:rPr>
        <w:t>（七）应急预案制定单位认为应当修订的其他情况。</w:t>
      </w:r>
    </w:p>
    <w:p>
      <w:pPr>
        <w:pStyle w:val="7"/>
        <w:adjustRightInd w:val="0"/>
        <w:snapToGrid w:val="0"/>
        <w:spacing w:line="560" w:lineRule="exact"/>
        <w:ind w:firstLine="640" w:firstLineChars="200"/>
        <w:outlineLvl w:val="0"/>
        <w:rPr>
          <w:rFonts w:ascii="Times New Roman" w:hAnsi="Times New Roman" w:eastAsia="黑体" w:cs="Times New Roman"/>
          <w:sz w:val="32"/>
          <w:szCs w:val="32"/>
        </w:rPr>
      </w:pPr>
      <w:bookmarkStart w:id="114" w:name="_Toc113806668"/>
      <w:bookmarkStart w:id="115" w:name="_Toc135994606"/>
      <w:r>
        <w:rPr>
          <w:rFonts w:ascii="Times New Roman" w:hAnsi="Times New Roman" w:eastAsia="黑体" w:cs="Times New Roman"/>
          <w:sz w:val="32"/>
          <w:szCs w:val="32"/>
        </w:rPr>
        <w:t>9附则</w:t>
      </w:r>
      <w:bookmarkEnd w:id="114"/>
      <w:bookmarkEnd w:id="115"/>
    </w:p>
    <w:p>
      <w:pPr>
        <w:pStyle w:val="4"/>
        <w:tabs>
          <w:tab w:val="left" w:pos="709"/>
        </w:tabs>
        <w:spacing w:before="0" w:after="0" w:line="560" w:lineRule="exact"/>
        <w:ind w:firstLine="640" w:firstLineChars="200"/>
        <w:jc w:val="both"/>
        <w:rPr>
          <w:rFonts w:ascii="Times New Roman" w:hAnsi="Times New Roman" w:eastAsia="楷体"/>
          <w:kern w:val="2"/>
        </w:rPr>
      </w:pPr>
      <w:bookmarkStart w:id="116" w:name="_Toc135994607"/>
      <w:bookmarkStart w:id="117" w:name="_Toc113806670"/>
      <w:r>
        <w:rPr>
          <w:rFonts w:ascii="Times New Roman" w:hAnsi="Times New Roman" w:eastAsia="楷体"/>
          <w:kern w:val="2"/>
        </w:rPr>
        <w:t>9.1预案制定与解释部门</w:t>
      </w:r>
      <w:bookmarkEnd w:id="116"/>
      <w:bookmarkEnd w:id="117"/>
    </w:p>
    <w:p>
      <w:pPr>
        <w:widowControl/>
        <w:shd w:val="clear" w:color="auto" w:fill="FFFFFF"/>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本预案由旗应急管理局</w:t>
      </w:r>
      <w:r>
        <w:rPr>
          <w:rFonts w:hint="eastAsia" w:eastAsia="仿宋_GB2312"/>
          <w:sz w:val="32"/>
          <w:szCs w:val="32"/>
        </w:rPr>
        <w:t>编制</w:t>
      </w:r>
      <w:r>
        <w:rPr>
          <w:rFonts w:hint="eastAsia" w:ascii="Times New Roman" w:hAnsi="Times New Roman" w:eastAsia="仿宋_GB2312" w:cs="Times New Roman"/>
          <w:kern w:val="0"/>
          <w:sz w:val="32"/>
          <w:szCs w:val="32"/>
        </w:rPr>
        <w:t>并</w:t>
      </w:r>
      <w:r>
        <w:rPr>
          <w:rFonts w:ascii="Times New Roman" w:hAnsi="Times New Roman" w:eastAsia="仿宋_GB2312" w:cs="Times New Roman"/>
          <w:kern w:val="0"/>
          <w:sz w:val="32"/>
          <w:szCs w:val="32"/>
        </w:rPr>
        <w:t>负责解释。</w:t>
      </w:r>
    </w:p>
    <w:p>
      <w:pPr>
        <w:pStyle w:val="4"/>
        <w:tabs>
          <w:tab w:val="left" w:pos="709"/>
        </w:tabs>
        <w:spacing w:before="0" w:after="0" w:line="560" w:lineRule="exact"/>
        <w:ind w:firstLine="640" w:firstLineChars="200"/>
        <w:jc w:val="both"/>
        <w:rPr>
          <w:rFonts w:ascii="Times New Roman" w:hAnsi="Times New Roman" w:eastAsia="楷体"/>
          <w:kern w:val="2"/>
        </w:rPr>
      </w:pPr>
      <w:bookmarkStart w:id="118" w:name="_Toc113806671"/>
      <w:bookmarkStart w:id="119" w:name="_Toc135994608"/>
      <w:r>
        <w:rPr>
          <w:rFonts w:ascii="Times New Roman" w:hAnsi="Times New Roman" w:eastAsia="楷体"/>
          <w:kern w:val="2"/>
        </w:rPr>
        <w:t>9.2预案实施时间</w:t>
      </w:r>
      <w:bookmarkEnd w:id="118"/>
      <w:bookmarkEnd w:id="119"/>
    </w:p>
    <w:p>
      <w:pPr>
        <w:widowControl/>
        <w:shd w:val="clear" w:color="auto" w:fill="FFFFFF"/>
        <w:spacing w:line="560" w:lineRule="exact"/>
        <w:ind w:firstLine="640" w:firstLineChars="200"/>
        <w:rPr>
          <w:rFonts w:ascii="Times New Roman" w:hAnsi="Times New Roman" w:eastAsia="仿宋_GB2312" w:cs="Times New Roman"/>
          <w:kern w:val="0"/>
          <w:sz w:val="32"/>
          <w:szCs w:val="32"/>
        </w:rPr>
        <w:sectPr>
          <w:headerReference r:id="rId4" w:type="default"/>
          <w:footerReference r:id="rId5" w:type="default"/>
          <w:pgSz w:w="11906" w:h="16838"/>
          <w:pgMar w:top="1440" w:right="1800" w:bottom="1440" w:left="1800" w:header="851" w:footer="992" w:gutter="0"/>
          <w:pgNumType w:start="1"/>
          <w:cols w:space="425" w:num="1"/>
          <w:docGrid w:type="lines" w:linePitch="312" w:charSpace="0"/>
        </w:sectPr>
      </w:pPr>
      <w:r>
        <w:rPr>
          <w:rFonts w:ascii="Times New Roman" w:hAnsi="Times New Roman" w:eastAsia="仿宋_GB2312" w:cs="Times New Roman"/>
          <w:kern w:val="0"/>
          <w:sz w:val="32"/>
          <w:szCs w:val="32"/>
        </w:rPr>
        <w:t>本预案自发布之日起施行。</w:t>
      </w:r>
    </w:p>
    <w:p>
      <w:pPr>
        <w:pStyle w:val="7"/>
        <w:adjustRightInd w:val="0"/>
        <w:snapToGrid w:val="0"/>
        <w:spacing w:line="560" w:lineRule="exact"/>
        <w:ind w:firstLine="640" w:firstLineChars="200"/>
        <w:outlineLvl w:val="0"/>
        <w:rPr>
          <w:rFonts w:ascii="Times New Roman" w:hAnsi="Times New Roman" w:eastAsia="黑体" w:cs="Times New Roman"/>
          <w:sz w:val="32"/>
          <w:szCs w:val="32"/>
        </w:rPr>
      </w:pPr>
      <w:bookmarkStart w:id="120" w:name="_Toc135994609"/>
      <w:bookmarkStart w:id="121" w:name="_Toc124897931"/>
      <w:bookmarkStart w:id="122" w:name="_Toc113806672"/>
      <w:bookmarkStart w:id="123" w:name="_Hlk125027468"/>
      <w:r>
        <w:rPr>
          <w:rFonts w:ascii="Times New Roman" w:hAnsi="Times New Roman" w:eastAsia="黑体" w:cs="Times New Roman"/>
          <w:sz w:val="32"/>
          <w:szCs w:val="32"/>
        </w:rPr>
        <w:t>附件</w:t>
      </w:r>
      <w:bookmarkEnd w:id="120"/>
    </w:p>
    <w:p>
      <w:pPr>
        <w:pStyle w:val="4"/>
        <w:tabs>
          <w:tab w:val="left" w:pos="709"/>
        </w:tabs>
        <w:spacing w:before="0" w:after="0" w:line="560" w:lineRule="exact"/>
        <w:ind w:firstLine="640" w:firstLineChars="200"/>
        <w:jc w:val="both"/>
        <w:rPr>
          <w:rFonts w:ascii="Times New Roman" w:hAnsi="Times New Roman" w:eastAsia="楷体"/>
          <w:kern w:val="2"/>
        </w:rPr>
      </w:pPr>
      <w:bookmarkStart w:id="124" w:name="_Toc135994610"/>
      <w:r>
        <w:rPr>
          <w:rFonts w:ascii="Times New Roman" w:hAnsi="Times New Roman" w:eastAsia="楷体"/>
          <w:kern w:val="2"/>
        </w:rPr>
        <w:t>附件1旗危化应急指挥体系框架图</w:t>
      </w:r>
      <w:bookmarkEnd w:id="124"/>
    </w:p>
    <w:p>
      <w:pPr>
        <w:widowControl/>
        <w:shd w:val="clear" w:color="auto" w:fill="FFFFFF"/>
        <w:ind w:firstLine="640" w:firstLineChars="200"/>
        <w:jc w:val="center"/>
        <w:rPr>
          <w:rFonts w:ascii="Times New Roman" w:hAnsi="Times New Roman" w:eastAsia="黑体" w:cs="Times New Roman"/>
          <w:sz w:val="32"/>
          <w:szCs w:val="32"/>
        </w:rPr>
      </w:pPr>
      <w:r>
        <w:rPr>
          <w:rFonts w:hint="eastAsia" w:ascii="Times New Roman" w:hAnsi="Times New Roman" w:eastAsia="黑体" w:cs="Times New Roman"/>
          <w:sz w:val="32"/>
          <w:szCs w:val="32"/>
        </w:rPr>
        <w:drawing>
          <wp:anchor distT="0" distB="0" distL="114300" distR="114300" simplePos="0" relativeHeight="251659264" behindDoc="0" locked="0" layoutInCell="1" allowOverlap="1">
            <wp:simplePos x="0" y="0"/>
            <wp:positionH relativeFrom="column">
              <wp:posOffset>147320</wp:posOffset>
            </wp:positionH>
            <wp:positionV relativeFrom="paragraph">
              <wp:posOffset>388620</wp:posOffset>
            </wp:positionV>
            <wp:extent cx="5269865" cy="4312285"/>
            <wp:effectExtent l="0" t="0" r="6985" b="12065"/>
            <wp:wrapSquare wrapText="bothSides"/>
            <wp:docPr id="3" name="图片 3" descr="危险化学品生产安全事故预案体系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危险化学品生产安全事故预案体系图"/>
                    <pic:cNvPicPr>
                      <a:picLocks noChangeAspect="1"/>
                    </pic:cNvPicPr>
                  </pic:nvPicPr>
                  <pic:blipFill>
                    <a:blip r:embed="rId7" cstate="print"/>
                    <a:stretch>
                      <a:fillRect/>
                    </a:stretch>
                  </pic:blipFill>
                  <pic:spPr>
                    <a:xfrm>
                      <a:off x="0" y="0"/>
                      <a:ext cx="5269865" cy="4312285"/>
                    </a:xfrm>
                    <a:prstGeom prst="rect">
                      <a:avLst/>
                    </a:prstGeom>
                  </pic:spPr>
                </pic:pic>
              </a:graphicData>
            </a:graphic>
          </wp:anchor>
        </w:drawing>
      </w:r>
    </w:p>
    <w:p>
      <w:pPr>
        <w:widowControl/>
        <w:shd w:val="clear" w:color="auto" w:fill="FFFFFF"/>
        <w:spacing w:line="560" w:lineRule="exact"/>
        <w:ind w:firstLine="640" w:firstLineChars="200"/>
        <w:rPr>
          <w:rFonts w:ascii="Times New Roman" w:hAnsi="Times New Roman" w:eastAsia="黑体" w:cs="Times New Roman"/>
          <w:sz w:val="32"/>
          <w:szCs w:val="32"/>
        </w:rPr>
      </w:pPr>
    </w:p>
    <w:p>
      <w:pPr>
        <w:widowControl/>
        <w:shd w:val="clear" w:color="auto" w:fill="FFFFFF"/>
        <w:spacing w:line="560" w:lineRule="exact"/>
        <w:ind w:firstLine="640" w:firstLineChars="200"/>
        <w:rPr>
          <w:rFonts w:ascii="Times New Roman" w:hAnsi="Times New Roman" w:eastAsia="黑体" w:cs="Times New Roman"/>
          <w:sz w:val="32"/>
          <w:szCs w:val="32"/>
        </w:rPr>
        <w:sectPr>
          <w:pgSz w:w="11906" w:h="16838"/>
          <w:pgMar w:top="1440" w:right="1800" w:bottom="1440" w:left="1800" w:header="851" w:footer="992" w:gutter="0"/>
          <w:cols w:space="425" w:num="1"/>
          <w:docGrid w:type="lines" w:linePitch="312" w:charSpace="0"/>
        </w:sectPr>
      </w:pPr>
    </w:p>
    <w:p>
      <w:pPr>
        <w:pStyle w:val="4"/>
        <w:tabs>
          <w:tab w:val="left" w:pos="709"/>
        </w:tabs>
        <w:spacing w:before="0" w:after="0" w:line="560" w:lineRule="exact"/>
        <w:ind w:firstLine="640" w:firstLineChars="200"/>
        <w:jc w:val="both"/>
        <w:rPr>
          <w:rFonts w:ascii="Times New Roman" w:hAnsi="Times New Roman" w:eastAsia="楷体"/>
          <w:kern w:val="2"/>
        </w:rPr>
      </w:pPr>
      <w:bookmarkStart w:id="125" w:name="_Toc135994611"/>
      <w:r>
        <w:rPr>
          <w:rFonts w:ascii="Times New Roman" w:hAnsi="Times New Roman" w:eastAsia="楷体"/>
          <w:kern w:val="2"/>
        </w:rPr>
        <w:t>附件2旗危化事故应急预案流程图</w:t>
      </w:r>
      <w:bookmarkEnd w:id="125"/>
    </w:p>
    <w:p>
      <w:pPr>
        <w:widowControl/>
        <w:shd w:val="clear" w:color="auto" w:fill="FFFFFF"/>
        <w:spacing w:line="560" w:lineRule="exact"/>
        <w:ind w:firstLine="640" w:firstLineChars="200"/>
        <w:rPr>
          <w:rFonts w:ascii="Times New Roman" w:hAnsi="Times New Roman" w:eastAsia="黑体" w:cs="Times New Roman"/>
          <w:sz w:val="32"/>
          <w:szCs w:val="32"/>
        </w:rPr>
      </w:pPr>
    </w:p>
    <w:p>
      <w:pPr>
        <w:pStyle w:val="2"/>
        <w:ind w:left="0" w:leftChars="0" w:firstLine="0" w:firstLineChars="0"/>
        <w:jc w:val="left"/>
        <w:rPr>
          <w:rFonts w:ascii="Times New Roman" w:hAnsi="Times New Roman" w:cs="Times New Roman"/>
        </w:rPr>
        <w:sectPr>
          <w:pgSz w:w="11906" w:h="16838"/>
          <w:pgMar w:top="1440" w:right="1800" w:bottom="1440" w:left="1800" w:header="851" w:footer="992" w:gutter="0"/>
          <w:cols w:space="425" w:num="1"/>
          <w:docGrid w:type="lines" w:linePitch="312" w:charSpace="0"/>
        </w:sectPr>
      </w:pPr>
      <w:r>
        <w:rPr>
          <w:rFonts w:ascii="Times New Roman" w:hAnsi="Times New Roman" w:cs="Times New Roman"/>
        </w:rPr>
        <w:drawing>
          <wp:inline distT="0" distB="0" distL="114300" distR="114300">
            <wp:extent cx="5271770" cy="7099935"/>
            <wp:effectExtent l="0" t="0" r="5080" b="5715"/>
            <wp:docPr id="2" name="图片 1" descr="生产安全事故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生产安全事故流程图"/>
                    <pic:cNvPicPr>
                      <a:picLocks noChangeAspect="1"/>
                    </pic:cNvPicPr>
                  </pic:nvPicPr>
                  <pic:blipFill>
                    <a:blip r:embed="rId8" cstate="print"/>
                    <a:stretch>
                      <a:fillRect/>
                    </a:stretch>
                  </pic:blipFill>
                  <pic:spPr>
                    <a:xfrm>
                      <a:off x="0" y="0"/>
                      <a:ext cx="5271770" cy="7099935"/>
                    </a:xfrm>
                    <a:prstGeom prst="rect">
                      <a:avLst/>
                    </a:prstGeom>
                    <a:noFill/>
                    <a:ln>
                      <a:noFill/>
                    </a:ln>
                  </pic:spPr>
                </pic:pic>
              </a:graphicData>
            </a:graphic>
          </wp:inline>
        </w:drawing>
      </w:r>
    </w:p>
    <w:p>
      <w:pPr>
        <w:pStyle w:val="4"/>
        <w:tabs>
          <w:tab w:val="left" w:pos="709"/>
        </w:tabs>
        <w:spacing w:before="0" w:after="0" w:line="560" w:lineRule="exact"/>
        <w:ind w:firstLine="640" w:firstLineChars="200"/>
        <w:jc w:val="both"/>
        <w:rPr>
          <w:rFonts w:ascii="Times New Roman" w:hAnsi="Times New Roman" w:eastAsia="楷体"/>
          <w:kern w:val="2"/>
        </w:rPr>
      </w:pPr>
      <w:bookmarkStart w:id="126" w:name="_Toc135994612"/>
      <w:r>
        <w:rPr>
          <w:rFonts w:ascii="Times New Roman" w:hAnsi="Times New Roman" w:eastAsia="楷体"/>
          <w:kern w:val="2"/>
        </w:rPr>
        <w:t>附件3旗危化应急指挥部通讯录</w:t>
      </w:r>
      <w:bookmarkEnd w:id="121"/>
      <w:bookmarkEnd w:id="126"/>
    </w:p>
    <w:tbl>
      <w:tblPr>
        <w:tblStyle w:val="12"/>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1098"/>
        <w:gridCol w:w="4121"/>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22" w:type="dxa"/>
            <w:vAlign w:val="center"/>
          </w:tcPr>
          <w:p>
            <w:pPr>
              <w:widowControl/>
              <w:jc w:val="center"/>
              <w:rPr>
                <w:rFonts w:ascii="黑体" w:hAnsi="黑体" w:eastAsia="黑体"/>
                <w:b/>
                <w:bCs/>
                <w:kern w:val="0"/>
                <w:szCs w:val="21"/>
              </w:rPr>
            </w:pPr>
            <w:r>
              <w:rPr>
                <w:rFonts w:ascii="黑体" w:hAnsi="黑体" w:eastAsia="黑体"/>
                <w:b/>
                <w:bCs/>
                <w:kern w:val="0"/>
                <w:szCs w:val="21"/>
              </w:rPr>
              <w:t>职务</w:t>
            </w:r>
          </w:p>
        </w:tc>
        <w:tc>
          <w:tcPr>
            <w:tcW w:w="1098" w:type="dxa"/>
            <w:vAlign w:val="center"/>
          </w:tcPr>
          <w:p>
            <w:pPr>
              <w:widowControl/>
              <w:jc w:val="center"/>
              <w:rPr>
                <w:rFonts w:ascii="黑体" w:hAnsi="黑体" w:eastAsia="黑体"/>
                <w:b/>
                <w:bCs/>
                <w:kern w:val="0"/>
                <w:szCs w:val="21"/>
              </w:rPr>
            </w:pPr>
            <w:r>
              <w:rPr>
                <w:rFonts w:ascii="黑体" w:hAnsi="黑体" w:eastAsia="黑体"/>
                <w:b/>
                <w:bCs/>
                <w:kern w:val="0"/>
                <w:szCs w:val="21"/>
              </w:rPr>
              <w:t>姓名</w:t>
            </w:r>
          </w:p>
        </w:tc>
        <w:tc>
          <w:tcPr>
            <w:tcW w:w="4121" w:type="dxa"/>
            <w:vAlign w:val="center"/>
          </w:tcPr>
          <w:p>
            <w:pPr>
              <w:widowControl/>
              <w:jc w:val="center"/>
              <w:rPr>
                <w:rFonts w:ascii="黑体" w:hAnsi="黑体" w:eastAsia="黑体"/>
                <w:b/>
                <w:bCs/>
                <w:kern w:val="0"/>
                <w:szCs w:val="21"/>
              </w:rPr>
            </w:pPr>
            <w:r>
              <w:rPr>
                <w:rFonts w:ascii="黑体" w:hAnsi="黑体" w:eastAsia="黑体"/>
                <w:b/>
                <w:bCs/>
                <w:kern w:val="0"/>
                <w:szCs w:val="21"/>
              </w:rPr>
              <w:t>单位</w:t>
            </w:r>
          </w:p>
        </w:tc>
        <w:tc>
          <w:tcPr>
            <w:tcW w:w="1755" w:type="dxa"/>
            <w:vAlign w:val="center"/>
          </w:tcPr>
          <w:p>
            <w:pPr>
              <w:widowControl/>
              <w:jc w:val="center"/>
              <w:rPr>
                <w:rFonts w:ascii="黑体" w:hAnsi="黑体" w:eastAsia="黑体"/>
                <w:b/>
                <w:bCs/>
                <w:kern w:val="0"/>
                <w:szCs w:val="21"/>
              </w:rPr>
            </w:pPr>
            <w:r>
              <w:rPr>
                <w:rFonts w:ascii="黑体" w:hAnsi="黑体" w:eastAsia="黑体"/>
                <w:b/>
                <w:bCs/>
                <w:kern w:val="0"/>
                <w:szCs w:val="21"/>
              </w:rPr>
              <w:t>联络电话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22" w:type="dxa"/>
            <w:vAlign w:val="center"/>
          </w:tcPr>
          <w:p>
            <w:pPr>
              <w:widowControl/>
              <w:jc w:val="left"/>
              <w:rPr>
                <w:rFonts w:ascii="宋体" w:hAnsi="宋体" w:eastAsia="宋体"/>
                <w:kern w:val="0"/>
                <w:szCs w:val="21"/>
              </w:rPr>
            </w:pPr>
            <w:r>
              <w:rPr>
                <w:rFonts w:ascii="宋体" w:hAnsi="宋体" w:eastAsia="宋体"/>
                <w:kern w:val="0"/>
                <w:szCs w:val="21"/>
              </w:rPr>
              <w:t>总指挥</w:t>
            </w:r>
          </w:p>
        </w:tc>
        <w:tc>
          <w:tcPr>
            <w:tcW w:w="1098" w:type="dxa"/>
            <w:vAlign w:val="center"/>
          </w:tcPr>
          <w:p>
            <w:pPr>
              <w:widowControl/>
              <w:jc w:val="left"/>
              <w:rPr>
                <w:rFonts w:ascii="宋体" w:hAnsi="宋体" w:eastAsia="宋体"/>
                <w:kern w:val="0"/>
                <w:szCs w:val="21"/>
              </w:rPr>
            </w:pPr>
            <w:r>
              <w:rPr>
                <w:rFonts w:hint="eastAsia" w:ascii="宋体" w:hAnsi="宋体" w:eastAsia="宋体"/>
                <w:kern w:val="0"/>
                <w:szCs w:val="21"/>
              </w:rPr>
              <w:t>尚振飞</w:t>
            </w:r>
          </w:p>
        </w:tc>
        <w:tc>
          <w:tcPr>
            <w:tcW w:w="4121" w:type="dxa"/>
            <w:vAlign w:val="center"/>
          </w:tcPr>
          <w:p>
            <w:pPr>
              <w:widowControl/>
              <w:jc w:val="left"/>
              <w:rPr>
                <w:rFonts w:ascii="宋体" w:hAnsi="宋体" w:eastAsia="宋体"/>
                <w:kern w:val="0"/>
                <w:szCs w:val="21"/>
              </w:rPr>
            </w:pPr>
            <w:r>
              <w:rPr>
                <w:rFonts w:ascii="宋体" w:hAnsi="宋体" w:eastAsia="宋体"/>
                <w:kern w:val="0"/>
                <w:szCs w:val="21"/>
              </w:rPr>
              <w:t>旗委常委、政府常务副旗长（常务）</w:t>
            </w:r>
          </w:p>
        </w:tc>
        <w:tc>
          <w:tcPr>
            <w:tcW w:w="1755" w:type="dxa"/>
            <w:vAlign w:val="center"/>
          </w:tcPr>
          <w:p>
            <w:pPr>
              <w:widowControl/>
              <w:jc w:val="center"/>
              <w:rPr>
                <w:rFonts w:ascii="宋体" w:hAnsi="宋体" w:eastAsia="宋体"/>
                <w:kern w:val="0"/>
                <w:szCs w:val="21"/>
              </w:rPr>
            </w:pPr>
            <w:r>
              <w:rPr>
                <w:rFonts w:hint="eastAsia" w:ascii="宋体" w:hAnsi="宋体" w:eastAsia="宋体"/>
                <w:kern w:val="0"/>
                <w:szCs w:val="21"/>
              </w:rPr>
              <w:t>13604774755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22" w:type="dxa"/>
            <w:vMerge w:val="restart"/>
            <w:vAlign w:val="center"/>
          </w:tcPr>
          <w:p>
            <w:pPr>
              <w:widowControl/>
              <w:jc w:val="left"/>
              <w:rPr>
                <w:rFonts w:ascii="宋体" w:hAnsi="宋体" w:eastAsia="宋体"/>
                <w:kern w:val="0"/>
                <w:szCs w:val="21"/>
              </w:rPr>
            </w:pPr>
            <w:r>
              <w:rPr>
                <w:rFonts w:ascii="宋体" w:hAnsi="宋体" w:eastAsia="宋体"/>
                <w:kern w:val="0"/>
                <w:szCs w:val="21"/>
              </w:rPr>
              <w:t>副指挥长</w:t>
            </w:r>
          </w:p>
        </w:tc>
        <w:tc>
          <w:tcPr>
            <w:tcW w:w="1098" w:type="dxa"/>
            <w:vAlign w:val="center"/>
          </w:tcPr>
          <w:p>
            <w:pPr>
              <w:widowControl/>
              <w:jc w:val="left"/>
              <w:rPr>
                <w:rFonts w:ascii="宋体" w:hAnsi="宋体" w:eastAsia="宋体"/>
                <w:kern w:val="0"/>
                <w:szCs w:val="21"/>
              </w:rPr>
            </w:pPr>
            <w:r>
              <w:rPr>
                <w:rFonts w:hint="eastAsia" w:ascii="宋体" w:hAnsi="宋体" w:eastAsia="宋体"/>
                <w:kern w:val="0"/>
                <w:szCs w:val="21"/>
              </w:rPr>
              <w:t>张勇</w:t>
            </w:r>
          </w:p>
        </w:tc>
        <w:tc>
          <w:tcPr>
            <w:tcW w:w="4121" w:type="dxa"/>
            <w:vAlign w:val="center"/>
          </w:tcPr>
          <w:p>
            <w:pPr>
              <w:widowControl/>
              <w:jc w:val="left"/>
              <w:rPr>
                <w:rFonts w:ascii="宋体" w:hAnsi="宋体" w:eastAsia="宋体"/>
                <w:kern w:val="0"/>
                <w:szCs w:val="21"/>
              </w:rPr>
            </w:pPr>
            <w:r>
              <w:rPr>
                <w:rFonts w:ascii="宋体" w:hAnsi="宋体" w:eastAsia="宋体"/>
                <w:kern w:val="0"/>
                <w:szCs w:val="21"/>
              </w:rPr>
              <w:t>旗应急管理局局长</w:t>
            </w:r>
          </w:p>
        </w:tc>
        <w:tc>
          <w:tcPr>
            <w:tcW w:w="1755" w:type="dxa"/>
            <w:vAlign w:val="center"/>
          </w:tcPr>
          <w:p>
            <w:pPr>
              <w:widowControl/>
              <w:jc w:val="center"/>
              <w:rPr>
                <w:rFonts w:ascii="宋体" w:hAnsi="宋体" w:eastAsia="宋体"/>
                <w:kern w:val="0"/>
                <w:szCs w:val="21"/>
              </w:rPr>
            </w:pPr>
            <w:r>
              <w:rPr>
                <w:rFonts w:ascii="宋体" w:hAnsi="宋体" w:eastAsia="宋体"/>
                <w:kern w:val="0"/>
                <w:szCs w:val="21"/>
              </w:rPr>
              <w:t>15335545488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22" w:type="dxa"/>
            <w:vMerge w:val="continue"/>
            <w:vAlign w:val="center"/>
          </w:tcPr>
          <w:p>
            <w:pPr>
              <w:widowControl/>
              <w:jc w:val="left"/>
              <w:rPr>
                <w:rFonts w:ascii="宋体" w:hAnsi="宋体" w:eastAsia="宋体"/>
                <w:kern w:val="0"/>
                <w:szCs w:val="21"/>
              </w:rPr>
            </w:pPr>
          </w:p>
        </w:tc>
        <w:tc>
          <w:tcPr>
            <w:tcW w:w="1098" w:type="dxa"/>
            <w:vAlign w:val="center"/>
          </w:tcPr>
          <w:p>
            <w:pPr>
              <w:widowControl/>
              <w:jc w:val="left"/>
              <w:rPr>
                <w:rFonts w:ascii="宋体" w:hAnsi="宋体" w:eastAsia="宋体"/>
                <w:kern w:val="0"/>
                <w:szCs w:val="21"/>
              </w:rPr>
            </w:pPr>
            <w:r>
              <w:rPr>
                <w:rFonts w:hint="eastAsia" w:ascii="宋体" w:hAnsi="宋体" w:eastAsia="宋体"/>
                <w:kern w:val="0"/>
                <w:szCs w:val="21"/>
              </w:rPr>
              <w:t>王海峰</w:t>
            </w:r>
          </w:p>
        </w:tc>
        <w:tc>
          <w:tcPr>
            <w:tcW w:w="4121" w:type="dxa"/>
            <w:vAlign w:val="center"/>
          </w:tcPr>
          <w:p>
            <w:pPr>
              <w:widowControl/>
              <w:jc w:val="left"/>
              <w:rPr>
                <w:rFonts w:ascii="宋体" w:hAnsi="宋体" w:eastAsia="宋体"/>
                <w:kern w:val="0"/>
                <w:szCs w:val="21"/>
              </w:rPr>
            </w:pPr>
            <w:r>
              <w:rPr>
                <w:rFonts w:hint="eastAsia" w:ascii="宋体" w:hAnsi="宋体" w:eastAsia="宋体"/>
                <w:kern w:val="0"/>
                <w:szCs w:val="21"/>
              </w:rPr>
              <w:t>旗人民政府办公室主任</w:t>
            </w:r>
          </w:p>
        </w:tc>
        <w:tc>
          <w:tcPr>
            <w:tcW w:w="1755" w:type="dxa"/>
            <w:vAlign w:val="center"/>
          </w:tcPr>
          <w:p>
            <w:pPr>
              <w:widowControl/>
              <w:jc w:val="center"/>
              <w:rPr>
                <w:rFonts w:ascii="宋体" w:hAnsi="宋体" w:eastAsia="宋体"/>
                <w:kern w:val="0"/>
                <w:szCs w:val="21"/>
              </w:rPr>
            </w:pPr>
            <w:r>
              <w:rPr>
                <w:rFonts w:ascii="宋体" w:hAnsi="宋体" w:eastAsia="宋体"/>
                <w:kern w:val="0"/>
                <w:szCs w:val="21"/>
              </w:rPr>
              <w:t>1</w:t>
            </w:r>
            <w:r>
              <w:rPr>
                <w:rFonts w:hint="eastAsia" w:ascii="宋体" w:hAnsi="宋体" w:eastAsia="宋体"/>
                <w:kern w:val="0"/>
                <w:szCs w:val="21"/>
              </w:rPr>
              <w:t>3304776696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22" w:type="dxa"/>
            <w:vMerge w:val="continue"/>
            <w:vAlign w:val="center"/>
          </w:tcPr>
          <w:p>
            <w:pPr>
              <w:widowControl/>
              <w:jc w:val="left"/>
              <w:rPr>
                <w:rFonts w:ascii="宋体" w:hAnsi="宋体" w:eastAsia="宋体"/>
                <w:kern w:val="0"/>
                <w:szCs w:val="21"/>
              </w:rPr>
            </w:pPr>
          </w:p>
        </w:tc>
        <w:tc>
          <w:tcPr>
            <w:tcW w:w="1098" w:type="dxa"/>
            <w:vAlign w:val="center"/>
          </w:tcPr>
          <w:p>
            <w:pPr>
              <w:widowControl/>
              <w:jc w:val="left"/>
              <w:rPr>
                <w:rFonts w:ascii="宋体" w:hAnsi="宋体" w:eastAsia="宋体"/>
                <w:kern w:val="0"/>
                <w:szCs w:val="21"/>
              </w:rPr>
            </w:pPr>
            <w:r>
              <w:rPr>
                <w:rFonts w:hint="eastAsia" w:ascii="宋体" w:hAnsi="宋体" w:eastAsia="宋体"/>
                <w:kern w:val="0"/>
                <w:szCs w:val="21"/>
              </w:rPr>
              <w:t>闫学军</w:t>
            </w:r>
          </w:p>
        </w:tc>
        <w:tc>
          <w:tcPr>
            <w:tcW w:w="4121" w:type="dxa"/>
            <w:vAlign w:val="center"/>
          </w:tcPr>
          <w:p>
            <w:pPr>
              <w:widowControl/>
              <w:jc w:val="left"/>
              <w:rPr>
                <w:rFonts w:ascii="宋体" w:hAnsi="宋体" w:eastAsia="宋体"/>
                <w:kern w:val="0"/>
                <w:szCs w:val="21"/>
              </w:rPr>
            </w:pPr>
            <w:r>
              <w:rPr>
                <w:rFonts w:hint="eastAsia" w:ascii="宋体" w:hAnsi="宋体"/>
                <w:kern w:val="0"/>
                <w:szCs w:val="21"/>
              </w:rPr>
              <w:t>旗</w:t>
            </w:r>
            <w:r>
              <w:rPr>
                <w:rFonts w:ascii="宋体" w:hAnsi="宋体" w:eastAsia="宋体"/>
                <w:kern w:val="0"/>
                <w:szCs w:val="21"/>
              </w:rPr>
              <w:t>公安局局长</w:t>
            </w:r>
          </w:p>
        </w:tc>
        <w:tc>
          <w:tcPr>
            <w:tcW w:w="1755" w:type="dxa"/>
            <w:vAlign w:val="center"/>
          </w:tcPr>
          <w:p>
            <w:pPr>
              <w:widowControl/>
              <w:jc w:val="center"/>
              <w:rPr>
                <w:rFonts w:ascii="宋体" w:hAnsi="宋体" w:eastAsia="宋体"/>
                <w:kern w:val="0"/>
                <w:szCs w:val="21"/>
              </w:rPr>
            </w:pPr>
            <w:r>
              <w:rPr>
                <w:rFonts w:hint="eastAsia" w:ascii="宋体" w:hAnsi="宋体" w:eastAsia="宋体"/>
                <w:kern w:val="0"/>
                <w:szCs w:val="21"/>
              </w:rPr>
              <w:t>13947762882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22" w:type="dxa"/>
            <w:vMerge w:val="restart"/>
            <w:vAlign w:val="center"/>
          </w:tcPr>
          <w:p>
            <w:pPr>
              <w:widowControl/>
              <w:jc w:val="left"/>
              <w:rPr>
                <w:rFonts w:ascii="宋体" w:hAnsi="宋体" w:eastAsia="宋体"/>
                <w:szCs w:val="21"/>
              </w:rPr>
            </w:pPr>
            <w:r>
              <w:rPr>
                <w:rFonts w:ascii="宋体" w:hAnsi="宋体" w:eastAsia="宋体"/>
                <w:kern w:val="0"/>
                <w:szCs w:val="21"/>
              </w:rPr>
              <w:t>成员</w:t>
            </w:r>
          </w:p>
          <w:p>
            <w:pPr>
              <w:pStyle w:val="2"/>
              <w:rPr>
                <w:rFonts w:ascii="宋体" w:hAnsi="宋体" w:eastAsia="宋体"/>
                <w:sz w:val="21"/>
                <w:szCs w:val="21"/>
              </w:rPr>
            </w:pPr>
          </w:p>
        </w:tc>
        <w:tc>
          <w:tcPr>
            <w:tcW w:w="1098" w:type="dxa"/>
            <w:vAlign w:val="center"/>
          </w:tcPr>
          <w:p>
            <w:pPr>
              <w:widowControl/>
              <w:jc w:val="left"/>
              <w:rPr>
                <w:rFonts w:ascii="宋体" w:hAnsi="宋体" w:eastAsia="宋体"/>
                <w:kern w:val="0"/>
                <w:szCs w:val="21"/>
              </w:rPr>
            </w:pPr>
            <w:r>
              <w:rPr>
                <w:rFonts w:hint="eastAsia" w:ascii="宋体" w:hAnsi="宋体" w:eastAsia="宋体" w:cs="Times New Roman"/>
                <w:kern w:val="0"/>
                <w:szCs w:val="21"/>
              </w:rPr>
              <w:t>云小平</w:t>
            </w:r>
          </w:p>
        </w:tc>
        <w:tc>
          <w:tcPr>
            <w:tcW w:w="4121" w:type="dxa"/>
            <w:vAlign w:val="center"/>
          </w:tcPr>
          <w:p>
            <w:pPr>
              <w:widowControl/>
              <w:jc w:val="left"/>
              <w:rPr>
                <w:rFonts w:ascii="宋体" w:hAnsi="宋体" w:eastAsia="宋体"/>
                <w:kern w:val="0"/>
                <w:szCs w:val="21"/>
              </w:rPr>
            </w:pPr>
            <w:r>
              <w:rPr>
                <w:rFonts w:hint="eastAsia" w:ascii="宋体" w:hAnsi="宋体" w:eastAsia="宋体" w:cs="Times New Roman"/>
                <w:kern w:val="0"/>
                <w:szCs w:val="21"/>
              </w:rPr>
              <w:t>达拉特旗经济开发区党工委副书记、管委会副主任</w:t>
            </w:r>
          </w:p>
        </w:tc>
        <w:tc>
          <w:tcPr>
            <w:tcW w:w="1755" w:type="dxa"/>
            <w:vAlign w:val="center"/>
          </w:tcPr>
          <w:p>
            <w:pPr>
              <w:widowControl/>
              <w:jc w:val="center"/>
              <w:rPr>
                <w:rFonts w:ascii="宋体" w:hAnsi="宋体" w:eastAsia="宋体"/>
                <w:kern w:val="0"/>
                <w:szCs w:val="21"/>
              </w:rPr>
            </w:pPr>
            <w:r>
              <w:rPr>
                <w:rFonts w:hint="eastAsia" w:ascii="宋体" w:hAnsi="宋体" w:eastAsia="宋体" w:cs="Times New Roman"/>
                <w:kern w:val="0"/>
                <w:szCs w:val="21"/>
              </w:rPr>
              <w:t>15804774321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22" w:type="dxa"/>
            <w:vMerge w:val="continue"/>
            <w:vAlign w:val="center"/>
          </w:tcPr>
          <w:p>
            <w:pPr>
              <w:widowControl/>
              <w:jc w:val="left"/>
              <w:rPr>
                <w:rFonts w:ascii="宋体" w:hAnsi="宋体" w:eastAsia="宋体"/>
                <w:kern w:val="0"/>
                <w:szCs w:val="21"/>
              </w:rPr>
            </w:pPr>
          </w:p>
        </w:tc>
        <w:tc>
          <w:tcPr>
            <w:tcW w:w="1098" w:type="dxa"/>
            <w:vAlign w:val="center"/>
          </w:tcPr>
          <w:p>
            <w:pPr>
              <w:widowControl/>
              <w:jc w:val="left"/>
              <w:rPr>
                <w:rFonts w:ascii="宋体" w:hAnsi="宋体" w:eastAsia="宋体"/>
                <w:kern w:val="0"/>
                <w:szCs w:val="21"/>
              </w:rPr>
            </w:pPr>
            <w:r>
              <w:rPr>
                <w:rFonts w:hint="eastAsia" w:ascii="宋体" w:hAnsi="宋体" w:eastAsia="宋体" w:cs="Times New Roman"/>
                <w:kern w:val="0"/>
                <w:szCs w:val="21"/>
              </w:rPr>
              <w:t>杨志忠</w:t>
            </w:r>
          </w:p>
        </w:tc>
        <w:tc>
          <w:tcPr>
            <w:tcW w:w="4121" w:type="dxa"/>
            <w:vAlign w:val="center"/>
          </w:tcPr>
          <w:p>
            <w:pPr>
              <w:widowControl/>
              <w:jc w:val="left"/>
              <w:rPr>
                <w:rFonts w:ascii="宋体" w:hAnsi="宋体" w:eastAsia="宋体"/>
                <w:kern w:val="0"/>
                <w:szCs w:val="21"/>
              </w:rPr>
            </w:pPr>
            <w:r>
              <w:rPr>
                <w:rFonts w:hint="eastAsia" w:ascii="宋体" w:hAnsi="宋体" w:eastAsia="宋体" w:cs="Times New Roman"/>
                <w:kern w:val="0"/>
                <w:szCs w:val="21"/>
              </w:rPr>
              <w:t>恩格贝生态示范区管理委员会书记</w:t>
            </w:r>
          </w:p>
        </w:tc>
        <w:tc>
          <w:tcPr>
            <w:tcW w:w="1755" w:type="dxa"/>
            <w:vAlign w:val="center"/>
          </w:tcPr>
          <w:p>
            <w:pPr>
              <w:widowControl/>
              <w:jc w:val="center"/>
              <w:rPr>
                <w:rFonts w:ascii="宋体" w:hAnsi="宋体" w:eastAsia="宋体"/>
                <w:kern w:val="0"/>
                <w:szCs w:val="21"/>
              </w:rPr>
            </w:pPr>
            <w:r>
              <w:rPr>
                <w:rFonts w:hint="eastAsia" w:ascii="宋体" w:hAnsi="宋体" w:eastAsia="宋体" w:cs="Times New Roman"/>
                <w:kern w:val="0"/>
                <w:szCs w:val="21"/>
              </w:rPr>
              <w:t>13354776660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22" w:type="dxa"/>
            <w:vMerge w:val="continue"/>
            <w:vAlign w:val="center"/>
          </w:tcPr>
          <w:p>
            <w:pPr>
              <w:pStyle w:val="2"/>
              <w:rPr>
                <w:rFonts w:ascii="宋体" w:hAnsi="宋体" w:eastAsia="宋体"/>
                <w:sz w:val="21"/>
                <w:szCs w:val="21"/>
              </w:rPr>
            </w:pPr>
          </w:p>
        </w:tc>
        <w:tc>
          <w:tcPr>
            <w:tcW w:w="1098" w:type="dxa"/>
            <w:vAlign w:val="center"/>
          </w:tcPr>
          <w:p>
            <w:pPr>
              <w:widowControl/>
              <w:jc w:val="left"/>
              <w:rPr>
                <w:rFonts w:ascii="宋体" w:hAnsi="宋体" w:eastAsia="宋体"/>
                <w:kern w:val="0"/>
                <w:szCs w:val="21"/>
              </w:rPr>
            </w:pPr>
            <w:r>
              <w:rPr>
                <w:rFonts w:hint="eastAsia" w:ascii="宋体" w:hAnsi="宋体" w:eastAsia="宋体"/>
                <w:kern w:val="0"/>
                <w:szCs w:val="21"/>
              </w:rPr>
              <w:t>张晓云</w:t>
            </w:r>
          </w:p>
        </w:tc>
        <w:tc>
          <w:tcPr>
            <w:tcW w:w="4121" w:type="dxa"/>
            <w:vAlign w:val="center"/>
          </w:tcPr>
          <w:p>
            <w:pPr>
              <w:widowControl/>
              <w:jc w:val="left"/>
              <w:rPr>
                <w:rFonts w:ascii="宋体" w:hAnsi="宋体" w:eastAsia="宋体"/>
                <w:kern w:val="0"/>
                <w:szCs w:val="21"/>
              </w:rPr>
            </w:pPr>
            <w:r>
              <w:rPr>
                <w:rFonts w:hint="eastAsia" w:ascii="宋体" w:hAnsi="宋体" w:eastAsia="宋体"/>
                <w:kern w:val="0"/>
                <w:szCs w:val="21"/>
              </w:rPr>
              <w:t>旗人民政府办公室副主任</w:t>
            </w:r>
          </w:p>
        </w:tc>
        <w:tc>
          <w:tcPr>
            <w:tcW w:w="1755" w:type="dxa"/>
            <w:vAlign w:val="center"/>
          </w:tcPr>
          <w:p>
            <w:pPr>
              <w:widowControl/>
              <w:jc w:val="center"/>
              <w:rPr>
                <w:rFonts w:ascii="宋体" w:hAnsi="宋体" w:eastAsia="宋体"/>
                <w:kern w:val="0"/>
                <w:szCs w:val="21"/>
              </w:rPr>
            </w:pPr>
            <w:r>
              <w:rPr>
                <w:rFonts w:hint="eastAsia" w:ascii="宋体" w:hAnsi="宋体" w:eastAsia="宋体"/>
                <w:kern w:val="0"/>
                <w:szCs w:val="21"/>
              </w:rPr>
              <w:t>13847767711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22" w:type="dxa"/>
            <w:vMerge w:val="continue"/>
            <w:vAlign w:val="center"/>
          </w:tcPr>
          <w:p>
            <w:pPr>
              <w:widowControl/>
              <w:jc w:val="left"/>
              <w:rPr>
                <w:rFonts w:ascii="宋体" w:hAnsi="宋体" w:eastAsia="宋体"/>
                <w:kern w:val="0"/>
                <w:szCs w:val="21"/>
              </w:rPr>
            </w:pPr>
          </w:p>
        </w:tc>
        <w:tc>
          <w:tcPr>
            <w:tcW w:w="1098" w:type="dxa"/>
            <w:vAlign w:val="center"/>
          </w:tcPr>
          <w:p>
            <w:pPr>
              <w:widowControl/>
              <w:jc w:val="left"/>
              <w:rPr>
                <w:rFonts w:ascii="宋体" w:hAnsi="宋体" w:eastAsia="宋体"/>
                <w:kern w:val="0"/>
                <w:szCs w:val="21"/>
              </w:rPr>
            </w:pPr>
            <w:r>
              <w:rPr>
                <w:rFonts w:ascii="宋体" w:hAnsi="宋体" w:eastAsia="宋体"/>
                <w:kern w:val="0"/>
                <w:szCs w:val="21"/>
              </w:rPr>
              <w:t>白万兴</w:t>
            </w:r>
          </w:p>
        </w:tc>
        <w:tc>
          <w:tcPr>
            <w:tcW w:w="4121" w:type="dxa"/>
            <w:vAlign w:val="center"/>
          </w:tcPr>
          <w:p>
            <w:pPr>
              <w:widowControl/>
              <w:jc w:val="left"/>
              <w:rPr>
                <w:rFonts w:ascii="宋体" w:hAnsi="宋体" w:eastAsia="宋体"/>
                <w:kern w:val="0"/>
                <w:szCs w:val="21"/>
              </w:rPr>
            </w:pPr>
            <w:r>
              <w:rPr>
                <w:rFonts w:ascii="宋体" w:hAnsi="宋体" w:eastAsia="宋体"/>
                <w:kern w:val="0"/>
                <w:szCs w:val="21"/>
              </w:rPr>
              <w:t>旗委宣传部常务副部长</w:t>
            </w:r>
          </w:p>
        </w:tc>
        <w:tc>
          <w:tcPr>
            <w:tcW w:w="1755" w:type="dxa"/>
            <w:vAlign w:val="center"/>
          </w:tcPr>
          <w:p>
            <w:pPr>
              <w:widowControl/>
              <w:jc w:val="center"/>
              <w:rPr>
                <w:rFonts w:ascii="宋体" w:hAnsi="宋体" w:eastAsia="宋体"/>
                <w:kern w:val="0"/>
                <w:szCs w:val="21"/>
              </w:rPr>
            </w:pPr>
            <w:r>
              <w:rPr>
                <w:rFonts w:hint="eastAsia" w:ascii="宋体" w:hAnsi="宋体" w:eastAsia="宋体"/>
                <w:kern w:val="0"/>
                <w:szCs w:val="21"/>
              </w:rPr>
              <w:t>18847702888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22" w:type="dxa"/>
            <w:vMerge w:val="continue"/>
            <w:vAlign w:val="center"/>
          </w:tcPr>
          <w:p>
            <w:pPr>
              <w:widowControl/>
              <w:jc w:val="left"/>
              <w:rPr>
                <w:rFonts w:ascii="宋体" w:hAnsi="宋体" w:eastAsia="宋体"/>
                <w:kern w:val="0"/>
                <w:szCs w:val="21"/>
              </w:rPr>
            </w:pPr>
          </w:p>
        </w:tc>
        <w:tc>
          <w:tcPr>
            <w:tcW w:w="1098" w:type="dxa"/>
            <w:vAlign w:val="center"/>
          </w:tcPr>
          <w:p>
            <w:pPr>
              <w:widowControl/>
              <w:jc w:val="left"/>
              <w:rPr>
                <w:rFonts w:ascii="宋体" w:hAnsi="宋体" w:eastAsia="宋体"/>
                <w:kern w:val="0"/>
                <w:szCs w:val="21"/>
              </w:rPr>
            </w:pPr>
            <w:r>
              <w:rPr>
                <w:rFonts w:hint="eastAsia" w:ascii="宋体" w:hAnsi="宋体" w:eastAsia="宋体"/>
                <w:kern w:val="0"/>
                <w:szCs w:val="21"/>
              </w:rPr>
              <w:t>赵东明</w:t>
            </w:r>
          </w:p>
        </w:tc>
        <w:tc>
          <w:tcPr>
            <w:tcW w:w="4121" w:type="dxa"/>
            <w:vAlign w:val="center"/>
          </w:tcPr>
          <w:p>
            <w:pPr>
              <w:widowControl/>
              <w:jc w:val="left"/>
              <w:rPr>
                <w:rFonts w:ascii="宋体" w:hAnsi="宋体" w:eastAsia="宋体"/>
                <w:kern w:val="0"/>
                <w:szCs w:val="21"/>
              </w:rPr>
            </w:pPr>
            <w:r>
              <w:rPr>
                <w:rFonts w:hint="eastAsia" w:ascii="宋体" w:hAnsi="宋体" w:eastAsia="宋体"/>
                <w:kern w:val="0"/>
                <w:szCs w:val="21"/>
              </w:rPr>
              <w:t>旗</w:t>
            </w:r>
            <w:r>
              <w:rPr>
                <w:rFonts w:ascii="宋体" w:hAnsi="宋体" w:eastAsia="宋体"/>
                <w:kern w:val="0"/>
                <w:szCs w:val="21"/>
              </w:rPr>
              <w:t>教育体育局局长</w:t>
            </w:r>
          </w:p>
        </w:tc>
        <w:tc>
          <w:tcPr>
            <w:tcW w:w="1755" w:type="dxa"/>
            <w:vAlign w:val="center"/>
          </w:tcPr>
          <w:p>
            <w:pPr>
              <w:widowControl/>
              <w:jc w:val="center"/>
              <w:rPr>
                <w:rFonts w:ascii="宋体" w:hAnsi="宋体" w:eastAsia="宋体"/>
                <w:kern w:val="0"/>
                <w:szCs w:val="21"/>
              </w:rPr>
            </w:pPr>
            <w:r>
              <w:rPr>
                <w:rFonts w:ascii="宋体" w:hAnsi="宋体"/>
                <w:kern w:val="0"/>
                <w:szCs w:val="21"/>
              </w:rPr>
              <w:t>13337078877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22" w:type="dxa"/>
            <w:vMerge w:val="continue"/>
            <w:vAlign w:val="center"/>
          </w:tcPr>
          <w:p>
            <w:pPr>
              <w:widowControl/>
              <w:jc w:val="left"/>
              <w:rPr>
                <w:rFonts w:ascii="宋体" w:hAnsi="宋体" w:eastAsia="宋体"/>
                <w:kern w:val="0"/>
                <w:szCs w:val="21"/>
              </w:rPr>
            </w:pPr>
          </w:p>
        </w:tc>
        <w:tc>
          <w:tcPr>
            <w:tcW w:w="1098" w:type="dxa"/>
            <w:vAlign w:val="center"/>
          </w:tcPr>
          <w:p>
            <w:pPr>
              <w:widowControl/>
              <w:jc w:val="left"/>
              <w:rPr>
                <w:rFonts w:ascii="宋体" w:hAnsi="宋体" w:eastAsia="宋体"/>
                <w:kern w:val="0"/>
                <w:szCs w:val="21"/>
              </w:rPr>
            </w:pPr>
            <w:r>
              <w:rPr>
                <w:rFonts w:hint="eastAsia" w:ascii="宋体" w:hAnsi="宋体" w:eastAsia="宋体"/>
                <w:kern w:val="0"/>
                <w:szCs w:val="21"/>
              </w:rPr>
              <w:t>石洛铭</w:t>
            </w:r>
          </w:p>
        </w:tc>
        <w:tc>
          <w:tcPr>
            <w:tcW w:w="4121" w:type="dxa"/>
            <w:vAlign w:val="center"/>
          </w:tcPr>
          <w:p>
            <w:pPr>
              <w:widowControl/>
              <w:jc w:val="left"/>
              <w:rPr>
                <w:rFonts w:ascii="宋体" w:hAnsi="宋体" w:eastAsia="宋体"/>
                <w:kern w:val="0"/>
                <w:szCs w:val="21"/>
              </w:rPr>
            </w:pPr>
            <w:r>
              <w:rPr>
                <w:rFonts w:hint="eastAsia" w:ascii="宋体" w:hAnsi="宋体" w:eastAsia="宋体" w:cs="Times New Roman"/>
                <w:kern w:val="0"/>
                <w:szCs w:val="21"/>
              </w:rPr>
              <w:t>旗工信和科技局局长</w:t>
            </w:r>
          </w:p>
        </w:tc>
        <w:tc>
          <w:tcPr>
            <w:tcW w:w="1755" w:type="dxa"/>
            <w:vAlign w:val="center"/>
          </w:tcPr>
          <w:p>
            <w:pPr>
              <w:widowControl/>
              <w:jc w:val="center"/>
              <w:rPr>
                <w:rFonts w:ascii="宋体" w:hAnsi="宋体" w:eastAsia="宋体"/>
                <w:kern w:val="0"/>
                <w:szCs w:val="21"/>
              </w:rPr>
            </w:pPr>
            <w:r>
              <w:rPr>
                <w:rFonts w:hint="eastAsia" w:ascii="宋体" w:hAnsi="宋体"/>
                <w:color w:val="000000"/>
                <w:kern w:val="0"/>
                <w:szCs w:val="21"/>
              </w:rPr>
              <w:t>15047324994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22" w:type="dxa"/>
            <w:vMerge w:val="continue"/>
            <w:vAlign w:val="center"/>
          </w:tcPr>
          <w:p>
            <w:pPr>
              <w:widowControl/>
              <w:jc w:val="left"/>
              <w:rPr>
                <w:rFonts w:ascii="宋体" w:hAnsi="宋体" w:eastAsia="宋体"/>
                <w:kern w:val="0"/>
                <w:szCs w:val="21"/>
              </w:rPr>
            </w:pPr>
          </w:p>
        </w:tc>
        <w:tc>
          <w:tcPr>
            <w:tcW w:w="1098" w:type="dxa"/>
            <w:vAlign w:val="center"/>
          </w:tcPr>
          <w:p>
            <w:pPr>
              <w:widowControl/>
              <w:jc w:val="left"/>
              <w:rPr>
                <w:rFonts w:ascii="宋体" w:hAnsi="宋体" w:eastAsia="宋体"/>
                <w:kern w:val="0"/>
                <w:szCs w:val="21"/>
              </w:rPr>
            </w:pPr>
            <w:r>
              <w:rPr>
                <w:rFonts w:hint="eastAsia" w:ascii="宋体" w:hAnsi="宋体" w:eastAsia="宋体"/>
                <w:kern w:val="0"/>
                <w:szCs w:val="21"/>
              </w:rPr>
              <w:t>白云飞</w:t>
            </w:r>
          </w:p>
        </w:tc>
        <w:tc>
          <w:tcPr>
            <w:tcW w:w="4121" w:type="dxa"/>
            <w:vAlign w:val="center"/>
          </w:tcPr>
          <w:p>
            <w:pPr>
              <w:widowControl/>
              <w:jc w:val="left"/>
              <w:rPr>
                <w:rFonts w:ascii="宋体" w:hAnsi="宋体" w:eastAsia="宋体"/>
                <w:kern w:val="0"/>
                <w:szCs w:val="21"/>
              </w:rPr>
            </w:pPr>
            <w:r>
              <w:rPr>
                <w:rFonts w:hint="eastAsia" w:ascii="宋体" w:hAnsi="宋体" w:eastAsia="宋体"/>
                <w:kern w:val="0"/>
                <w:szCs w:val="21"/>
              </w:rPr>
              <w:t>旗</w:t>
            </w:r>
            <w:r>
              <w:rPr>
                <w:rFonts w:ascii="宋体" w:hAnsi="宋体" w:eastAsia="宋体"/>
                <w:kern w:val="0"/>
                <w:szCs w:val="21"/>
              </w:rPr>
              <w:t>财政局局长</w:t>
            </w:r>
          </w:p>
        </w:tc>
        <w:tc>
          <w:tcPr>
            <w:tcW w:w="1755" w:type="dxa"/>
            <w:vAlign w:val="center"/>
          </w:tcPr>
          <w:p>
            <w:pPr>
              <w:widowControl/>
              <w:jc w:val="center"/>
              <w:rPr>
                <w:rFonts w:ascii="宋体" w:hAnsi="宋体" w:eastAsia="宋体"/>
                <w:kern w:val="0"/>
                <w:szCs w:val="21"/>
              </w:rPr>
            </w:pPr>
            <w:r>
              <w:rPr>
                <w:rFonts w:hint="eastAsia" w:ascii="宋体" w:hAnsi="宋体" w:eastAsia="宋体"/>
                <w:kern w:val="0"/>
                <w:szCs w:val="21"/>
              </w:rPr>
              <w:t>13734876118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22" w:type="dxa"/>
            <w:vMerge w:val="continue"/>
            <w:vAlign w:val="center"/>
          </w:tcPr>
          <w:p>
            <w:pPr>
              <w:widowControl/>
              <w:jc w:val="left"/>
              <w:rPr>
                <w:rFonts w:ascii="宋体" w:hAnsi="宋体" w:eastAsia="宋体"/>
                <w:kern w:val="0"/>
                <w:szCs w:val="21"/>
              </w:rPr>
            </w:pPr>
          </w:p>
        </w:tc>
        <w:tc>
          <w:tcPr>
            <w:tcW w:w="1098" w:type="dxa"/>
            <w:vAlign w:val="center"/>
          </w:tcPr>
          <w:p>
            <w:pPr>
              <w:widowControl/>
              <w:jc w:val="left"/>
              <w:rPr>
                <w:rFonts w:ascii="宋体" w:hAnsi="宋体" w:eastAsia="宋体"/>
                <w:kern w:val="0"/>
                <w:szCs w:val="21"/>
              </w:rPr>
            </w:pPr>
            <w:r>
              <w:rPr>
                <w:rFonts w:ascii="宋体" w:hAnsi="宋体" w:eastAsia="宋体"/>
                <w:kern w:val="0"/>
                <w:szCs w:val="21"/>
              </w:rPr>
              <w:t>常培荣</w:t>
            </w:r>
          </w:p>
        </w:tc>
        <w:tc>
          <w:tcPr>
            <w:tcW w:w="4121" w:type="dxa"/>
            <w:vAlign w:val="center"/>
          </w:tcPr>
          <w:p>
            <w:pPr>
              <w:widowControl/>
              <w:jc w:val="left"/>
              <w:rPr>
                <w:rFonts w:ascii="宋体" w:hAnsi="宋体" w:eastAsia="宋体"/>
                <w:kern w:val="0"/>
                <w:szCs w:val="21"/>
              </w:rPr>
            </w:pPr>
            <w:r>
              <w:rPr>
                <w:rFonts w:hint="eastAsia" w:ascii="宋体" w:hAnsi="宋体" w:eastAsia="宋体"/>
                <w:kern w:val="0"/>
                <w:szCs w:val="21"/>
              </w:rPr>
              <w:t>旗交通运输局局长</w:t>
            </w:r>
          </w:p>
        </w:tc>
        <w:tc>
          <w:tcPr>
            <w:tcW w:w="1755" w:type="dxa"/>
            <w:vAlign w:val="center"/>
          </w:tcPr>
          <w:p>
            <w:pPr>
              <w:widowControl/>
              <w:jc w:val="center"/>
              <w:rPr>
                <w:rFonts w:ascii="宋体" w:hAnsi="宋体" w:eastAsia="宋体"/>
                <w:kern w:val="0"/>
                <w:szCs w:val="21"/>
              </w:rPr>
            </w:pPr>
            <w:r>
              <w:rPr>
                <w:rFonts w:hint="eastAsia" w:ascii="宋体" w:hAnsi="宋体" w:eastAsia="宋体"/>
                <w:kern w:val="0"/>
                <w:szCs w:val="21"/>
              </w:rPr>
              <w:t>13327061116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22" w:type="dxa"/>
            <w:vMerge w:val="continue"/>
            <w:vAlign w:val="center"/>
          </w:tcPr>
          <w:p>
            <w:pPr>
              <w:widowControl/>
              <w:jc w:val="left"/>
              <w:rPr>
                <w:rFonts w:ascii="宋体" w:hAnsi="宋体" w:eastAsia="宋体"/>
                <w:kern w:val="0"/>
                <w:szCs w:val="21"/>
              </w:rPr>
            </w:pPr>
          </w:p>
        </w:tc>
        <w:tc>
          <w:tcPr>
            <w:tcW w:w="1098" w:type="dxa"/>
            <w:vAlign w:val="center"/>
          </w:tcPr>
          <w:p>
            <w:pPr>
              <w:widowControl/>
              <w:jc w:val="left"/>
              <w:rPr>
                <w:rFonts w:ascii="宋体" w:hAnsi="宋体" w:eastAsia="宋体"/>
                <w:kern w:val="0"/>
                <w:szCs w:val="21"/>
              </w:rPr>
            </w:pPr>
            <w:r>
              <w:rPr>
                <w:rFonts w:hint="eastAsia" w:ascii="宋体" w:hAnsi="宋体" w:eastAsia="宋体"/>
                <w:kern w:val="0"/>
                <w:szCs w:val="21"/>
              </w:rPr>
              <w:t>闫学军</w:t>
            </w:r>
          </w:p>
        </w:tc>
        <w:tc>
          <w:tcPr>
            <w:tcW w:w="4121" w:type="dxa"/>
            <w:vAlign w:val="center"/>
          </w:tcPr>
          <w:p>
            <w:pPr>
              <w:widowControl/>
              <w:jc w:val="left"/>
              <w:rPr>
                <w:rFonts w:ascii="宋体" w:hAnsi="宋体" w:eastAsia="宋体"/>
                <w:kern w:val="0"/>
                <w:szCs w:val="21"/>
              </w:rPr>
            </w:pPr>
            <w:r>
              <w:rPr>
                <w:rFonts w:hint="eastAsia" w:ascii="宋体" w:hAnsi="宋体" w:eastAsia="宋体"/>
                <w:kern w:val="0"/>
                <w:szCs w:val="21"/>
              </w:rPr>
              <w:t>旗</w:t>
            </w:r>
            <w:r>
              <w:rPr>
                <w:rFonts w:ascii="宋体" w:hAnsi="宋体" w:eastAsia="宋体"/>
                <w:kern w:val="0"/>
                <w:szCs w:val="21"/>
              </w:rPr>
              <w:t>公安局局长</w:t>
            </w:r>
          </w:p>
        </w:tc>
        <w:tc>
          <w:tcPr>
            <w:tcW w:w="1755" w:type="dxa"/>
            <w:vAlign w:val="center"/>
          </w:tcPr>
          <w:p>
            <w:pPr>
              <w:widowControl/>
              <w:jc w:val="center"/>
              <w:rPr>
                <w:rFonts w:ascii="宋体" w:hAnsi="宋体" w:eastAsia="宋体"/>
                <w:kern w:val="0"/>
                <w:szCs w:val="21"/>
              </w:rPr>
            </w:pPr>
            <w:r>
              <w:rPr>
                <w:rFonts w:hint="eastAsia" w:ascii="宋体" w:hAnsi="宋体" w:eastAsia="宋体"/>
                <w:kern w:val="0"/>
                <w:szCs w:val="21"/>
              </w:rPr>
              <w:t>13947762882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22" w:type="dxa"/>
            <w:vMerge w:val="continue"/>
            <w:vAlign w:val="center"/>
          </w:tcPr>
          <w:p>
            <w:pPr>
              <w:widowControl/>
              <w:jc w:val="left"/>
              <w:rPr>
                <w:rFonts w:ascii="宋体" w:hAnsi="宋体" w:eastAsia="宋体"/>
                <w:kern w:val="0"/>
                <w:szCs w:val="21"/>
              </w:rPr>
            </w:pPr>
          </w:p>
        </w:tc>
        <w:tc>
          <w:tcPr>
            <w:tcW w:w="1098" w:type="dxa"/>
            <w:vAlign w:val="center"/>
          </w:tcPr>
          <w:p>
            <w:pPr>
              <w:widowControl/>
              <w:jc w:val="left"/>
              <w:rPr>
                <w:rFonts w:ascii="宋体" w:hAnsi="宋体" w:eastAsia="宋体"/>
                <w:kern w:val="0"/>
                <w:szCs w:val="21"/>
              </w:rPr>
            </w:pPr>
            <w:r>
              <w:rPr>
                <w:rFonts w:hint="eastAsia" w:ascii="宋体" w:hAnsi="宋体" w:eastAsia="宋体"/>
                <w:kern w:val="0"/>
                <w:szCs w:val="21"/>
              </w:rPr>
              <w:t>李二梅</w:t>
            </w:r>
          </w:p>
        </w:tc>
        <w:tc>
          <w:tcPr>
            <w:tcW w:w="4121" w:type="dxa"/>
            <w:vAlign w:val="center"/>
          </w:tcPr>
          <w:p>
            <w:pPr>
              <w:widowControl/>
              <w:jc w:val="left"/>
              <w:rPr>
                <w:rFonts w:ascii="宋体" w:hAnsi="宋体" w:eastAsia="宋体"/>
                <w:kern w:val="0"/>
                <w:szCs w:val="21"/>
              </w:rPr>
            </w:pPr>
            <w:r>
              <w:rPr>
                <w:rFonts w:hint="eastAsia" w:ascii="宋体" w:hAnsi="宋体" w:eastAsia="宋体"/>
                <w:kern w:val="0"/>
                <w:szCs w:val="21"/>
              </w:rPr>
              <w:t>旗</w:t>
            </w:r>
            <w:r>
              <w:rPr>
                <w:rFonts w:ascii="宋体" w:hAnsi="宋体" w:eastAsia="宋体"/>
                <w:kern w:val="0"/>
                <w:szCs w:val="21"/>
              </w:rPr>
              <w:t>人力资源和社会保障局局长</w:t>
            </w:r>
          </w:p>
        </w:tc>
        <w:tc>
          <w:tcPr>
            <w:tcW w:w="1755" w:type="dxa"/>
            <w:vAlign w:val="center"/>
          </w:tcPr>
          <w:p>
            <w:pPr>
              <w:widowControl/>
              <w:jc w:val="center"/>
              <w:rPr>
                <w:rFonts w:ascii="宋体" w:hAnsi="宋体" w:eastAsia="宋体"/>
                <w:kern w:val="0"/>
                <w:szCs w:val="21"/>
              </w:rPr>
            </w:pPr>
            <w:r>
              <w:rPr>
                <w:rFonts w:ascii="宋体" w:hAnsi="宋体" w:eastAsia="宋体"/>
                <w:kern w:val="0"/>
                <w:szCs w:val="21"/>
              </w:rPr>
              <w:t>15924402012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22" w:type="dxa"/>
            <w:vMerge w:val="continue"/>
            <w:vAlign w:val="center"/>
          </w:tcPr>
          <w:p>
            <w:pPr>
              <w:widowControl/>
              <w:jc w:val="left"/>
              <w:rPr>
                <w:rFonts w:ascii="宋体" w:hAnsi="宋体" w:eastAsia="宋体"/>
                <w:kern w:val="0"/>
                <w:szCs w:val="21"/>
              </w:rPr>
            </w:pPr>
          </w:p>
        </w:tc>
        <w:tc>
          <w:tcPr>
            <w:tcW w:w="1098" w:type="dxa"/>
            <w:vAlign w:val="center"/>
          </w:tcPr>
          <w:p>
            <w:pPr>
              <w:widowControl/>
              <w:jc w:val="left"/>
              <w:rPr>
                <w:rFonts w:ascii="宋体" w:hAnsi="宋体" w:eastAsia="宋体"/>
                <w:kern w:val="0"/>
                <w:szCs w:val="21"/>
              </w:rPr>
            </w:pPr>
            <w:r>
              <w:rPr>
                <w:rFonts w:ascii="宋体" w:hAnsi="宋体" w:eastAsia="宋体"/>
                <w:kern w:val="0"/>
                <w:szCs w:val="21"/>
              </w:rPr>
              <w:t>李建宇</w:t>
            </w:r>
          </w:p>
        </w:tc>
        <w:tc>
          <w:tcPr>
            <w:tcW w:w="4121" w:type="dxa"/>
            <w:vAlign w:val="center"/>
          </w:tcPr>
          <w:p>
            <w:pPr>
              <w:widowControl/>
              <w:jc w:val="left"/>
              <w:rPr>
                <w:rFonts w:ascii="宋体" w:hAnsi="宋体" w:eastAsia="宋体"/>
                <w:kern w:val="0"/>
                <w:szCs w:val="21"/>
              </w:rPr>
            </w:pPr>
            <w:r>
              <w:rPr>
                <w:rFonts w:hint="eastAsia" w:ascii="宋体" w:hAnsi="宋体" w:eastAsia="宋体"/>
                <w:kern w:val="0"/>
                <w:szCs w:val="21"/>
              </w:rPr>
              <w:t>旗民政局局长</w:t>
            </w:r>
          </w:p>
        </w:tc>
        <w:tc>
          <w:tcPr>
            <w:tcW w:w="1755" w:type="dxa"/>
            <w:vAlign w:val="center"/>
          </w:tcPr>
          <w:p>
            <w:pPr>
              <w:widowControl/>
              <w:jc w:val="center"/>
              <w:rPr>
                <w:rFonts w:ascii="宋体" w:hAnsi="宋体" w:eastAsia="宋体"/>
                <w:kern w:val="0"/>
                <w:szCs w:val="21"/>
              </w:rPr>
            </w:pPr>
            <w:r>
              <w:rPr>
                <w:rFonts w:hint="eastAsia" w:ascii="宋体" w:hAnsi="宋体" w:eastAsia="宋体"/>
                <w:kern w:val="0"/>
                <w:szCs w:val="21"/>
              </w:rPr>
              <w:t>18747726611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22" w:type="dxa"/>
            <w:vMerge w:val="continue"/>
            <w:vAlign w:val="center"/>
          </w:tcPr>
          <w:p>
            <w:pPr>
              <w:widowControl/>
              <w:jc w:val="left"/>
              <w:rPr>
                <w:rFonts w:ascii="宋体" w:hAnsi="宋体" w:eastAsia="宋体"/>
                <w:kern w:val="0"/>
                <w:szCs w:val="21"/>
              </w:rPr>
            </w:pPr>
          </w:p>
        </w:tc>
        <w:tc>
          <w:tcPr>
            <w:tcW w:w="1098" w:type="dxa"/>
            <w:vAlign w:val="center"/>
          </w:tcPr>
          <w:p>
            <w:pPr>
              <w:widowControl/>
              <w:jc w:val="left"/>
              <w:rPr>
                <w:rFonts w:ascii="宋体" w:hAnsi="宋体" w:eastAsia="宋体"/>
                <w:kern w:val="0"/>
                <w:szCs w:val="21"/>
              </w:rPr>
            </w:pPr>
            <w:r>
              <w:rPr>
                <w:rFonts w:ascii="宋体" w:hAnsi="宋体" w:eastAsia="宋体"/>
                <w:kern w:val="0"/>
                <w:szCs w:val="21"/>
              </w:rPr>
              <w:t>张根顺</w:t>
            </w:r>
          </w:p>
        </w:tc>
        <w:tc>
          <w:tcPr>
            <w:tcW w:w="4121" w:type="dxa"/>
            <w:vAlign w:val="center"/>
          </w:tcPr>
          <w:p>
            <w:pPr>
              <w:widowControl/>
              <w:jc w:val="left"/>
              <w:rPr>
                <w:rFonts w:ascii="宋体" w:hAnsi="宋体" w:eastAsia="宋体"/>
                <w:kern w:val="0"/>
                <w:szCs w:val="21"/>
              </w:rPr>
            </w:pPr>
            <w:r>
              <w:rPr>
                <w:rFonts w:hint="eastAsia" w:ascii="宋体" w:hAnsi="宋体" w:eastAsia="宋体"/>
                <w:kern w:val="0"/>
                <w:szCs w:val="21"/>
              </w:rPr>
              <w:t>旗卫生健康委员会主任</w:t>
            </w:r>
          </w:p>
        </w:tc>
        <w:tc>
          <w:tcPr>
            <w:tcW w:w="1755" w:type="dxa"/>
            <w:vAlign w:val="center"/>
          </w:tcPr>
          <w:p>
            <w:pPr>
              <w:widowControl/>
              <w:jc w:val="center"/>
              <w:rPr>
                <w:rFonts w:ascii="宋体" w:hAnsi="宋体" w:eastAsia="宋体"/>
                <w:kern w:val="0"/>
                <w:szCs w:val="21"/>
              </w:rPr>
            </w:pPr>
            <w:r>
              <w:rPr>
                <w:rFonts w:ascii="宋体" w:hAnsi="宋体" w:eastAsia="宋体"/>
                <w:kern w:val="0"/>
                <w:szCs w:val="21"/>
              </w:rPr>
              <w:t>13947374735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22" w:type="dxa"/>
            <w:vMerge w:val="continue"/>
            <w:vAlign w:val="center"/>
          </w:tcPr>
          <w:p>
            <w:pPr>
              <w:widowControl/>
              <w:jc w:val="left"/>
              <w:rPr>
                <w:rFonts w:ascii="宋体" w:hAnsi="宋体" w:eastAsia="宋体"/>
                <w:kern w:val="0"/>
                <w:szCs w:val="21"/>
              </w:rPr>
            </w:pPr>
          </w:p>
        </w:tc>
        <w:tc>
          <w:tcPr>
            <w:tcW w:w="1098" w:type="dxa"/>
            <w:vAlign w:val="center"/>
          </w:tcPr>
          <w:p>
            <w:pPr>
              <w:widowControl/>
              <w:jc w:val="left"/>
              <w:rPr>
                <w:rFonts w:ascii="宋体" w:hAnsi="宋体" w:eastAsia="宋体"/>
                <w:kern w:val="0"/>
                <w:szCs w:val="21"/>
              </w:rPr>
            </w:pPr>
            <w:r>
              <w:rPr>
                <w:rFonts w:ascii="宋体" w:hAnsi="宋体" w:eastAsia="宋体"/>
                <w:kern w:val="0"/>
                <w:szCs w:val="21"/>
              </w:rPr>
              <w:t>石夜明</w:t>
            </w:r>
          </w:p>
        </w:tc>
        <w:tc>
          <w:tcPr>
            <w:tcW w:w="4121" w:type="dxa"/>
            <w:vAlign w:val="center"/>
          </w:tcPr>
          <w:p>
            <w:pPr>
              <w:widowControl/>
              <w:jc w:val="left"/>
              <w:rPr>
                <w:rFonts w:ascii="宋体" w:hAnsi="宋体" w:eastAsia="宋体"/>
                <w:kern w:val="0"/>
                <w:szCs w:val="21"/>
              </w:rPr>
            </w:pPr>
            <w:r>
              <w:rPr>
                <w:rFonts w:hint="eastAsia" w:ascii="宋体" w:hAnsi="宋体" w:eastAsia="宋体"/>
                <w:kern w:val="0"/>
                <w:szCs w:val="21"/>
              </w:rPr>
              <w:t>市生态环境局达拉特分局局长</w:t>
            </w:r>
          </w:p>
        </w:tc>
        <w:tc>
          <w:tcPr>
            <w:tcW w:w="1755" w:type="dxa"/>
            <w:vAlign w:val="center"/>
          </w:tcPr>
          <w:p>
            <w:pPr>
              <w:widowControl/>
              <w:jc w:val="center"/>
              <w:rPr>
                <w:rFonts w:ascii="宋体" w:hAnsi="宋体" w:eastAsia="宋体"/>
                <w:kern w:val="0"/>
                <w:szCs w:val="21"/>
              </w:rPr>
            </w:pPr>
            <w:r>
              <w:rPr>
                <w:rFonts w:ascii="宋体" w:hAnsi="宋体" w:eastAsia="宋体"/>
                <w:kern w:val="0"/>
                <w:szCs w:val="21"/>
              </w:rPr>
              <w:t>18904779878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22" w:type="dxa"/>
            <w:vMerge w:val="continue"/>
            <w:vAlign w:val="center"/>
          </w:tcPr>
          <w:p>
            <w:pPr>
              <w:widowControl/>
              <w:jc w:val="left"/>
              <w:rPr>
                <w:rFonts w:ascii="宋体" w:hAnsi="宋体" w:eastAsia="宋体"/>
                <w:kern w:val="0"/>
                <w:szCs w:val="21"/>
              </w:rPr>
            </w:pPr>
          </w:p>
        </w:tc>
        <w:tc>
          <w:tcPr>
            <w:tcW w:w="1098" w:type="dxa"/>
            <w:vAlign w:val="center"/>
          </w:tcPr>
          <w:p>
            <w:pPr>
              <w:widowControl/>
              <w:jc w:val="left"/>
              <w:rPr>
                <w:rFonts w:ascii="宋体" w:hAnsi="宋体" w:eastAsia="宋体"/>
                <w:kern w:val="0"/>
                <w:szCs w:val="21"/>
              </w:rPr>
            </w:pPr>
            <w:r>
              <w:rPr>
                <w:rFonts w:hint="eastAsia" w:ascii="宋体" w:hAnsi="宋体" w:eastAsia="宋体"/>
                <w:kern w:val="0"/>
                <w:szCs w:val="21"/>
              </w:rPr>
              <w:t>张勇</w:t>
            </w:r>
          </w:p>
        </w:tc>
        <w:tc>
          <w:tcPr>
            <w:tcW w:w="4121" w:type="dxa"/>
            <w:vAlign w:val="center"/>
          </w:tcPr>
          <w:p>
            <w:pPr>
              <w:widowControl/>
              <w:jc w:val="left"/>
              <w:rPr>
                <w:rFonts w:ascii="宋体" w:hAnsi="宋体" w:eastAsia="宋体"/>
                <w:kern w:val="0"/>
                <w:szCs w:val="21"/>
              </w:rPr>
            </w:pPr>
            <w:r>
              <w:rPr>
                <w:rFonts w:ascii="宋体" w:hAnsi="宋体" w:eastAsia="宋体"/>
                <w:kern w:val="0"/>
                <w:szCs w:val="21"/>
              </w:rPr>
              <w:t>旗应急管理局局长</w:t>
            </w:r>
          </w:p>
        </w:tc>
        <w:tc>
          <w:tcPr>
            <w:tcW w:w="1755" w:type="dxa"/>
            <w:vAlign w:val="center"/>
          </w:tcPr>
          <w:p>
            <w:pPr>
              <w:widowControl/>
              <w:jc w:val="center"/>
              <w:rPr>
                <w:rFonts w:ascii="宋体" w:hAnsi="宋体" w:eastAsia="宋体"/>
                <w:kern w:val="0"/>
                <w:szCs w:val="21"/>
              </w:rPr>
            </w:pPr>
            <w:r>
              <w:rPr>
                <w:rFonts w:ascii="宋体" w:hAnsi="宋体" w:eastAsia="宋体"/>
                <w:kern w:val="0"/>
                <w:szCs w:val="21"/>
              </w:rPr>
              <w:t>15335545488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22" w:type="dxa"/>
            <w:vMerge w:val="continue"/>
            <w:vAlign w:val="center"/>
          </w:tcPr>
          <w:p>
            <w:pPr>
              <w:widowControl/>
              <w:jc w:val="left"/>
              <w:rPr>
                <w:rFonts w:ascii="宋体" w:hAnsi="宋体" w:eastAsia="宋体"/>
                <w:kern w:val="0"/>
                <w:szCs w:val="21"/>
              </w:rPr>
            </w:pPr>
          </w:p>
        </w:tc>
        <w:tc>
          <w:tcPr>
            <w:tcW w:w="1098" w:type="dxa"/>
            <w:vAlign w:val="center"/>
          </w:tcPr>
          <w:p>
            <w:pPr>
              <w:widowControl/>
              <w:jc w:val="left"/>
              <w:rPr>
                <w:rFonts w:ascii="宋体" w:hAnsi="宋体" w:eastAsia="宋体"/>
                <w:kern w:val="0"/>
                <w:szCs w:val="21"/>
              </w:rPr>
            </w:pPr>
            <w:r>
              <w:rPr>
                <w:rFonts w:ascii="宋体" w:hAnsi="宋体" w:eastAsia="宋体"/>
                <w:kern w:val="0"/>
                <w:szCs w:val="21"/>
              </w:rPr>
              <w:t>陈京勇</w:t>
            </w:r>
          </w:p>
        </w:tc>
        <w:tc>
          <w:tcPr>
            <w:tcW w:w="4121" w:type="dxa"/>
            <w:vAlign w:val="center"/>
          </w:tcPr>
          <w:p>
            <w:pPr>
              <w:widowControl/>
              <w:jc w:val="left"/>
              <w:rPr>
                <w:rFonts w:ascii="宋体" w:hAnsi="宋体" w:eastAsia="宋体"/>
                <w:kern w:val="0"/>
                <w:szCs w:val="21"/>
              </w:rPr>
            </w:pPr>
            <w:r>
              <w:rPr>
                <w:rFonts w:hint="eastAsia" w:ascii="宋体" w:hAnsi="宋体" w:eastAsia="宋体"/>
                <w:kern w:val="0"/>
                <w:szCs w:val="21"/>
              </w:rPr>
              <w:t>旗</w:t>
            </w:r>
            <w:r>
              <w:rPr>
                <w:rFonts w:ascii="宋体" w:hAnsi="宋体" w:eastAsia="宋体"/>
                <w:kern w:val="0"/>
                <w:szCs w:val="21"/>
              </w:rPr>
              <w:t>气象局局长</w:t>
            </w:r>
          </w:p>
        </w:tc>
        <w:tc>
          <w:tcPr>
            <w:tcW w:w="1755" w:type="dxa"/>
            <w:vAlign w:val="center"/>
          </w:tcPr>
          <w:p>
            <w:pPr>
              <w:widowControl/>
              <w:jc w:val="center"/>
              <w:rPr>
                <w:rFonts w:ascii="宋体" w:hAnsi="宋体" w:eastAsia="宋体"/>
                <w:kern w:val="0"/>
                <w:szCs w:val="21"/>
              </w:rPr>
            </w:pPr>
            <w:r>
              <w:rPr>
                <w:rFonts w:ascii="宋体" w:hAnsi="宋体" w:eastAsia="宋体"/>
                <w:kern w:val="0"/>
                <w:szCs w:val="21"/>
              </w:rPr>
              <w:t>13604774968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22" w:type="dxa"/>
            <w:vMerge w:val="continue"/>
            <w:vAlign w:val="center"/>
          </w:tcPr>
          <w:p>
            <w:pPr>
              <w:widowControl/>
              <w:jc w:val="left"/>
              <w:rPr>
                <w:rFonts w:ascii="宋体" w:hAnsi="宋体" w:eastAsia="宋体"/>
                <w:kern w:val="0"/>
                <w:szCs w:val="21"/>
              </w:rPr>
            </w:pPr>
          </w:p>
        </w:tc>
        <w:tc>
          <w:tcPr>
            <w:tcW w:w="1098" w:type="dxa"/>
            <w:vAlign w:val="center"/>
          </w:tcPr>
          <w:p>
            <w:pPr>
              <w:widowControl/>
              <w:jc w:val="left"/>
              <w:rPr>
                <w:rFonts w:ascii="宋体" w:hAnsi="宋体" w:eastAsia="宋体"/>
                <w:kern w:val="0"/>
                <w:szCs w:val="21"/>
              </w:rPr>
            </w:pPr>
            <w:r>
              <w:rPr>
                <w:rFonts w:hint="eastAsia" w:ascii="宋体" w:hAnsi="宋体" w:eastAsia="宋体"/>
                <w:kern w:val="0"/>
                <w:szCs w:val="21"/>
              </w:rPr>
              <w:t>罗志强</w:t>
            </w:r>
          </w:p>
        </w:tc>
        <w:tc>
          <w:tcPr>
            <w:tcW w:w="4121" w:type="dxa"/>
            <w:vAlign w:val="center"/>
          </w:tcPr>
          <w:p>
            <w:pPr>
              <w:widowControl/>
              <w:jc w:val="left"/>
              <w:rPr>
                <w:rFonts w:ascii="宋体" w:hAnsi="宋体" w:eastAsia="宋体"/>
                <w:kern w:val="0"/>
                <w:szCs w:val="21"/>
              </w:rPr>
            </w:pPr>
            <w:r>
              <w:rPr>
                <w:rFonts w:hint="eastAsia" w:ascii="宋体" w:hAnsi="宋体" w:eastAsia="宋体"/>
                <w:kern w:val="0"/>
                <w:szCs w:val="21"/>
              </w:rPr>
              <w:t>旗</w:t>
            </w:r>
            <w:r>
              <w:rPr>
                <w:rFonts w:ascii="宋体" w:hAnsi="宋体" w:eastAsia="宋体"/>
                <w:kern w:val="0"/>
                <w:szCs w:val="21"/>
              </w:rPr>
              <w:t>消防救援大队大队长</w:t>
            </w:r>
          </w:p>
        </w:tc>
        <w:tc>
          <w:tcPr>
            <w:tcW w:w="1755" w:type="dxa"/>
            <w:vAlign w:val="center"/>
          </w:tcPr>
          <w:p>
            <w:pPr>
              <w:widowControl/>
              <w:jc w:val="center"/>
              <w:rPr>
                <w:rFonts w:ascii="宋体" w:hAnsi="宋体" w:eastAsia="宋体"/>
                <w:kern w:val="0"/>
                <w:szCs w:val="21"/>
              </w:rPr>
            </w:pPr>
            <w:r>
              <w:rPr>
                <w:rFonts w:hint="eastAsia" w:ascii="宋体" w:hAnsi="宋体" w:eastAsia="宋体"/>
                <w:kern w:val="0"/>
                <w:szCs w:val="21"/>
              </w:rPr>
              <w:t>15949455855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22" w:type="dxa"/>
            <w:vMerge w:val="continue"/>
            <w:vAlign w:val="center"/>
          </w:tcPr>
          <w:p>
            <w:pPr>
              <w:widowControl/>
              <w:jc w:val="left"/>
              <w:rPr>
                <w:rFonts w:ascii="宋体" w:hAnsi="宋体" w:eastAsia="宋体"/>
                <w:kern w:val="0"/>
                <w:szCs w:val="21"/>
              </w:rPr>
            </w:pPr>
          </w:p>
        </w:tc>
        <w:tc>
          <w:tcPr>
            <w:tcW w:w="1098" w:type="dxa"/>
            <w:vAlign w:val="center"/>
          </w:tcPr>
          <w:p>
            <w:pPr>
              <w:widowControl/>
              <w:jc w:val="left"/>
              <w:rPr>
                <w:rFonts w:ascii="宋体" w:hAnsi="宋体" w:eastAsia="宋体"/>
                <w:kern w:val="0"/>
                <w:szCs w:val="21"/>
              </w:rPr>
            </w:pPr>
            <w:r>
              <w:rPr>
                <w:rFonts w:hint="eastAsia" w:ascii="宋体" w:hAnsi="宋体" w:eastAsia="宋体"/>
                <w:kern w:val="0"/>
                <w:szCs w:val="21"/>
              </w:rPr>
              <w:t>张钢</w:t>
            </w:r>
          </w:p>
        </w:tc>
        <w:tc>
          <w:tcPr>
            <w:tcW w:w="4121" w:type="dxa"/>
            <w:vAlign w:val="center"/>
          </w:tcPr>
          <w:p>
            <w:pPr>
              <w:widowControl/>
              <w:jc w:val="left"/>
              <w:rPr>
                <w:rFonts w:ascii="宋体" w:hAnsi="宋体" w:eastAsia="宋体"/>
                <w:kern w:val="0"/>
                <w:szCs w:val="21"/>
              </w:rPr>
            </w:pPr>
            <w:r>
              <w:rPr>
                <w:rFonts w:hint="eastAsia" w:ascii="宋体" w:hAnsi="宋体" w:eastAsia="宋体"/>
                <w:kern w:val="0"/>
                <w:szCs w:val="21"/>
              </w:rPr>
              <w:t>旗交管大队大队长</w:t>
            </w:r>
          </w:p>
        </w:tc>
        <w:tc>
          <w:tcPr>
            <w:tcW w:w="1755" w:type="dxa"/>
            <w:vAlign w:val="center"/>
          </w:tcPr>
          <w:p>
            <w:pPr>
              <w:widowControl/>
              <w:jc w:val="center"/>
              <w:rPr>
                <w:rFonts w:ascii="宋体" w:hAnsi="宋体" w:eastAsia="宋体"/>
                <w:kern w:val="0"/>
                <w:szCs w:val="21"/>
              </w:rPr>
            </w:pPr>
            <w:r>
              <w:rPr>
                <w:rFonts w:hint="eastAsia" w:ascii="宋体" w:hAnsi="宋体" w:eastAsia="宋体"/>
                <w:kern w:val="0"/>
                <w:szCs w:val="21"/>
              </w:rPr>
              <w:t>15947721097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22" w:type="dxa"/>
            <w:vMerge w:val="continue"/>
            <w:vAlign w:val="center"/>
          </w:tcPr>
          <w:p>
            <w:pPr>
              <w:widowControl/>
              <w:jc w:val="left"/>
              <w:rPr>
                <w:rFonts w:ascii="宋体" w:hAnsi="宋体" w:eastAsia="宋体"/>
                <w:kern w:val="0"/>
                <w:szCs w:val="21"/>
              </w:rPr>
            </w:pPr>
          </w:p>
        </w:tc>
        <w:tc>
          <w:tcPr>
            <w:tcW w:w="1098" w:type="dxa"/>
            <w:vAlign w:val="center"/>
          </w:tcPr>
          <w:p>
            <w:pPr>
              <w:widowControl/>
              <w:jc w:val="left"/>
              <w:rPr>
                <w:rFonts w:ascii="宋体" w:hAnsi="宋体" w:eastAsia="宋体"/>
                <w:kern w:val="0"/>
                <w:szCs w:val="21"/>
              </w:rPr>
            </w:pPr>
            <w:r>
              <w:rPr>
                <w:rFonts w:hint="eastAsia" w:ascii="宋体" w:hAnsi="宋体" w:eastAsia="宋体"/>
                <w:kern w:val="0"/>
                <w:szCs w:val="21"/>
              </w:rPr>
              <w:t>王晨刚</w:t>
            </w:r>
          </w:p>
        </w:tc>
        <w:tc>
          <w:tcPr>
            <w:tcW w:w="4121" w:type="dxa"/>
            <w:vAlign w:val="center"/>
          </w:tcPr>
          <w:p>
            <w:pPr>
              <w:widowControl/>
              <w:jc w:val="left"/>
              <w:rPr>
                <w:rFonts w:ascii="宋体" w:hAnsi="宋体" w:eastAsia="宋体"/>
                <w:kern w:val="0"/>
                <w:szCs w:val="21"/>
              </w:rPr>
            </w:pPr>
            <w:r>
              <w:rPr>
                <w:rFonts w:hint="eastAsia" w:ascii="宋体" w:hAnsi="宋体" w:eastAsia="宋体"/>
                <w:kern w:val="0"/>
                <w:szCs w:val="21"/>
              </w:rPr>
              <w:t>树林召镇镇长</w:t>
            </w:r>
          </w:p>
        </w:tc>
        <w:tc>
          <w:tcPr>
            <w:tcW w:w="1755" w:type="dxa"/>
            <w:vAlign w:val="center"/>
          </w:tcPr>
          <w:p>
            <w:pPr>
              <w:widowControl/>
              <w:jc w:val="center"/>
              <w:rPr>
                <w:rFonts w:ascii="宋体" w:hAnsi="宋体" w:eastAsia="宋体"/>
                <w:kern w:val="0"/>
                <w:szCs w:val="21"/>
              </w:rPr>
            </w:pPr>
            <w:r>
              <w:rPr>
                <w:rFonts w:hint="eastAsia" w:ascii="宋体" w:hAnsi="宋体" w:eastAsia="宋体"/>
                <w:kern w:val="0"/>
                <w:szCs w:val="21"/>
              </w:rPr>
              <w:t>18847747878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22" w:type="dxa"/>
            <w:vMerge w:val="continue"/>
            <w:vAlign w:val="center"/>
          </w:tcPr>
          <w:p>
            <w:pPr>
              <w:widowControl/>
              <w:jc w:val="left"/>
              <w:rPr>
                <w:rFonts w:ascii="宋体" w:hAnsi="宋体" w:eastAsia="宋体"/>
                <w:kern w:val="0"/>
                <w:szCs w:val="21"/>
              </w:rPr>
            </w:pPr>
          </w:p>
        </w:tc>
        <w:tc>
          <w:tcPr>
            <w:tcW w:w="1098" w:type="dxa"/>
            <w:vAlign w:val="center"/>
          </w:tcPr>
          <w:p>
            <w:pPr>
              <w:widowControl/>
              <w:jc w:val="left"/>
              <w:rPr>
                <w:rFonts w:ascii="宋体" w:hAnsi="宋体" w:eastAsia="宋体"/>
                <w:kern w:val="0"/>
                <w:szCs w:val="21"/>
              </w:rPr>
            </w:pPr>
            <w:r>
              <w:rPr>
                <w:rFonts w:hint="eastAsia" w:ascii="宋体" w:hAnsi="宋体" w:eastAsia="宋体"/>
                <w:kern w:val="0"/>
                <w:szCs w:val="21"/>
              </w:rPr>
              <w:t>刘广</w:t>
            </w:r>
          </w:p>
        </w:tc>
        <w:tc>
          <w:tcPr>
            <w:tcW w:w="4121" w:type="dxa"/>
            <w:vAlign w:val="center"/>
          </w:tcPr>
          <w:p>
            <w:pPr>
              <w:widowControl/>
              <w:jc w:val="left"/>
              <w:rPr>
                <w:rFonts w:ascii="宋体" w:hAnsi="宋体" w:eastAsia="宋体"/>
                <w:kern w:val="0"/>
                <w:szCs w:val="21"/>
              </w:rPr>
            </w:pPr>
            <w:r>
              <w:rPr>
                <w:rFonts w:hint="eastAsia" w:ascii="宋体" w:hAnsi="宋体" w:eastAsia="宋体"/>
                <w:kern w:val="0"/>
                <w:szCs w:val="21"/>
              </w:rPr>
              <w:t>展旦召苏木苏木长</w:t>
            </w:r>
          </w:p>
        </w:tc>
        <w:tc>
          <w:tcPr>
            <w:tcW w:w="1755" w:type="dxa"/>
            <w:vAlign w:val="center"/>
          </w:tcPr>
          <w:p>
            <w:pPr>
              <w:widowControl/>
              <w:jc w:val="center"/>
              <w:rPr>
                <w:rFonts w:ascii="宋体" w:hAnsi="宋体" w:eastAsia="宋体"/>
                <w:kern w:val="0"/>
                <w:szCs w:val="21"/>
              </w:rPr>
            </w:pPr>
            <w:r>
              <w:rPr>
                <w:rFonts w:hint="eastAsia" w:ascii="宋体" w:hAnsi="宋体" w:eastAsia="宋体"/>
                <w:kern w:val="0"/>
                <w:szCs w:val="21"/>
              </w:rPr>
              <w:t>15904775908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22" w:type="dxa"/>
            <w:vMerge w:val="continue"/>
            <w:vAlign w:val="center"/>
          </w:tcPr>
          <w:p>
            <w:pPr>
              <w:widowControl/>
              <w:jc w:val="left"/>
              <w:rPr>
                <w:rFonts w:ascii="宋体" w:hAnsi="宋体" w:eastAsia="宋体"/>
                <w:kern w:val="0"/>
                <w:szCs w:val="21"/>
              </w:rPr>
            </w:pPr>
          </w:p>
        </w:tc>
        <w:tc>
          <w:tcPr>
            <w:tcW w:w="1098" w:type="dxa"/>
            <w:vAlign w:val="center"/>
          </w:tcPr>
          <w:p>
            <w:pPr>
              <w:widowControl/>
              <w:jc w:val="left"/>
              <w:rPr>
                <w:rFonts w:ascii="宋体" w:hAnsi="宋体" w:eastAsia="宋体"/>
                <w:kern w:val="0"/>
                <w:szCs w:val="21"/>
              </w:rPr>
            </w:pPr>
            <w:r>
              <w:rPr>
                <w:rFonts w:hint="eastAsia" w:ascii="宋体" w:hAnsi="宋体" w:eastAsia="宋体"/>
                <w:kern w:val="0"/>
                <w:szCs w:val="21"/>
              </w:rPr>
              <w:t>田岩峰</w:t>
            </w:r>
          </w:p>
        </w:tc>
        <w:tc>
          <w:tcPr>
            <w:tcW w:w="4121" w:type="dxa"/>
            <w:vAlign w:val="center"/>
          </w:tcPr>
          <w:p>
            <w:pPr>
              <w:widowControl/>
              <w:jc w:val="left"/>
              <w:rPr>
                <w:rFonts w:ascii="宋体" w:hAnsi="宋体" w:eastAsia="宋体"/>
                <w:kern w:val="0"/>
                <w:szCs w:val="21"/>
              </w:rPr>
            </w:pPr>
            <w:r>
              <w:rPr>
                <w:rFonts w:hint="eastAsia" w:ascii="宋体" w:hAnsi="宋体" w:eastAsia="宋体"/>
                <w:kern w:val="0"/>
                <w:szCs w:val="21"/>
              </w:rPr>
              <w:t>王爱召镇镇长</w:t>
            </w:r>
          </w:p>
        </w:tc>
        <w:tc>
          <w:tcPr>
            <w:tcW w:w="1755" w:type="dxa"/>
            <w:vAlign w:val="center"/>
          </w:tcPr>
          <w:p>
            <w:pPr>
              <w:widowControl/>
              <w:jc w:val="center"/>
              <w:rPr>
                <w:rFonts w:ascii="宋体" w:hAnsi="宋体" w:eastAsia="宋体"/>
                <w:kern w:val="0"/>
                <w:szCs w:val="21"/>
              </w:rPr>
            </w:pPr>
            <w:r>
              <w:rPr>
                <w:rFonts w:hint="eastAsia" w:ascii="宋体" w:hAnsi="宋体" w:eastAsia="宋体"/>
                <w:kern w:val="0"/>
                <w:szCs w:val="21"/>
              </w:rPr>
              <w:t>15044738702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22" w:type="dxa"/>
            <w:vMerge w:val="continue"/>
            <w:vAlign w:val="center"/>
          </w:tcPr>
          <w:p>
            <w:pPr>
              <w:widowControl/>
              <w:jc w:val="left"/>
              <w:rPr>
                <w:rFonts w:ascii="宋体" w:hAnsi="宋体" w:eastAsia="宋体"/>
                <w:kern w:val="0"/>
                <w:szCs w:val="21"/>
              </w:rPr>
            </w:pPr>
          </w:p>
        </w:tc>
        <w:tc>
          <w:tcPr>
            <w:tcW w:w="1098" w:type="dxa"/>
            <w:vAlign w:val="center"/>
          </w:tcPr>
          <w:p>
            <w:pPr>
              <w:widowControl/>
              <w:jc w:val="left"/>
              <w:rPr>
                <w:rFonts w:ascii="宋体" w:hAnsi="宋体" w:eastAsia="宋体"/>
                <w:kern w:val="0"/>
                <w:szCs w:val="21"/>
              </w:rPr>
            </w:pPr>
            <w:r>
              <w:rPr>
                <w:rFonts w:hint="eastAsia" w:ascii="宋体" w:hAnsi="宋体" w:eastAsia="宋体"/>
                <w:kern w:val="0"/>
                <w:szCs w:val="21"/>
              </w:rPr>
              <w:t>吕忠贵</w:t>
            </w:r>
          </w:p>
        </w:tc>
        <w:tc>
          <w:tcPr>
            <w:tcW w:w="4121" w:type="dxa"/>
            <w:vAlign w:val="center"/>
          </w:tcPr>
          <w:p>
            <w:pPr>
              <w:widowControl/>
              <w:jc w:val="left"/>
              <w:rPr>
                <w:rFonts w:ascii="宋体" w:hAnsi="宋体" w:eastAsia="宋体"/>
                <w:kern w:val="0"/>
                <w:szCs w:val="21"/>
              </w:rPr>
            </w:pPr>
            <w:r>
              <w:rPr>
                <w:rFonts w:hint="eastAsia" w:ascii="宋体" w:hAnsi="宋体" w:eastAsia="宋体"/>
                <w:kern w:val="0"/>
                <w:szCs w:val="21"/>
              </w:rPr>
              <w:t>昭君镇镇长</w:t>
            </w:r>
          </w:p>
        </w:tc>
        <w:tc>
          <w:tcPr>
            <w:tcW w:w="1755" w:type="dxa"/>
            <w:vAlign w:val="center"/>
          </w:tcPr>
          <w:p>
            <w:pPr>
              <w:widowControl/>
              <w:jc w:val="center"/>
              <w:rPr>
                <w:rFonts w:ascii="宋体" w:hAnsi="宋体" w:eastAsia="宋体"/>
                <w:kern w:val="0"/>
                <w:szCs w:val="21"/>
              </w:rPr>
            </w:pPr>
            <w:r>
              <w:rPr>
                <w:rFonts w:hint="eastAsia" w:ascii="宋体" w:hAnsi="宋体" w:eastAsia="宋体"/>
                <w:kern w:val="0"/>
                <w:szCs w:val="21"/>
              </w:rPr>
              <w:t>15044747222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22" w:type="dxa"/>
            <w:vMerge w:val="continue"/>
            <w:vAlign w:val="center"/>
          </w:tcPr>
          <w:p>
            <w:pPr>
              <w:widowControl/>
              <w:jc w:val="left"/>
              <w:rPr>
                <w:rFonts w:ascii="宋体" w:hAnsi="宋体" w:eastAsia="宋体"/>
                <w:kern w:val="0"/>
                <w:szCs w:val="21"/>
              </w:rPr>
            </w:pPr>
          </w:p>
        </w:tc>
        <w:tc>
          <w:tcPr>
            <w:tcW w:w="1098" w:type="dxa"/>
            <w:vAlign w:val="center"/>
          </w:tcPr>
          <w:p>
            <w:pPr>
              <w:widowControl/>
              <w:jc w:val="left"/>
              <w:rPr>
                <w:rFonts w:ascii="宋体" w:hAnsi="宋体" w:eastAsia="宋体"/>
                <w:kern w:val="0"/>
                <w:szCs w:val="21"/>
              </w:rPr>
            </w:pPr>
            <w:r>
              <w:rPr>
                <w:rFonts w:hint="eastAsia" w:ascii="宋体" w:hAnsi="宋体" w:eastAsia="宋体"/>
                <w:kern w:val="0"/>
                <w:szCs w:val="21"/>
              </w:rPr>
              <w:t>马良</w:t>
            </w:r>
          </w:p>
        </w:tc>
        <w:tc>
          <w:tcPr>
            <w:tcW w:w="4121" w:type="dxa"/>
            <w:vAlign w:val="center"/>
          </w:tcPr>
          <w:p>
            <w:pPr>
              <w:widowControl/>
              <w:jc w:val="left"/>
              <w:rPr>
                <w:rFonts w:ascii="宋体" w:hAnsi="宋体" w:eastAsia="宋体"/>
                <w:kern w:val="0"/>
                <w:szCs w:val="21"/>
              </w:rPr>
            </w:pPr>
            <w:r>
              <w:rPr>
                <w:rFonts w:hint="eastAsia" w:ascii="宋体" w:hAnsi="宋体" w:eastAsia="宋体"/>
                <w:kern w:val="0"/>
                <w:szCs w:val="21"/>
              </w:rPr>
              <w:t>白泥井镇镇长</w:t>
            </w:r>
          </w:p>
        </w:tc>
        <w:tc>
          <w:tcPr>
            <w:tcW w:w="1755" w:type="dxa"/>
            <w:vAlign w:val="center"/>
          </w:tcPr>
          <w:p>
            <w:pPr>
              <w:widowControl/>
              <w:jc w:val="center"/>
              <w:rPr>
                <w:rFonts w:ascii="宋体" w:hAnsi="宋体" w:eastAsia="宋体"/>
                <w:kern w:val="0"/>
                <w:szCs w:val="21"/>
              </w:rPr>
            </w:pPr>
            <w:r>
              <w:rPr>
                <w:rFonts w:hint="eastAsia" w:ascii="宋体" w:hAnsi="宋体" w:eastAsia="宋体"/>
                <w:kern w:val="0"/>
                <w:szCs w:val="21"/>
              </w:rPr>
              <w:t>18686239664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22" w:type="dxa"/>
            <w:vMerge w:val="continue"/>
            <w:vAlign w:val="center"/>
          </w:tcPr>
          <w:p>
            <w:pPr>
              <w:widowControl/>
              <w:jc w:val="left"/>
              <w:rPr>
                <w:rFonts w:ascii="宋体" w:hAnsi="宋体" w:eastAsia="宋体"/>
                <w:kern w:val="0"/>
                <w:szCs w:val="21"/>
              </w:rPr>
            </w:pPr>
          </w:p>
        </w:tc>
        <w:tc>
          <w:tcPr>
            <w:tcW w:w="1098" w:type="dxa"/>
            <w:vAlign w:val="center"/>
          </w:tcPr>
          <w:p>
            <w:pPr>
              <w:widowControl/>
              <w:jc w:val="left"/>
              <w:rPr>
                <w:rFonts w:ascii="宋体" w:hAnsi="宋体" w:eastAsia="宋体"/>
                <w:kern w:val="0"/>
                <w:szCs w:val="21"/>
              </w:rPr>
            </w:pPr>
            <w:r>
              <w:rPr>
                <w:rFonts w:hint="eastAsia" w:ascii="宋体" w:hAnsi="宋体" w:eastAsia="宋体"/>
                <w:kern w:val="0"/>
                <w:szCs w:val="21"/>
              </w:rPr>
              <w:t>王海军</w:t>
            </w:r>
          </w:p>
        </w:tc>
        <w:tc>
          <w:tcPr>
            <w:tcW w:w="4121" w:type="dxa"/>
            <w:vAlign w:val="center"/>
          </w:tcPr>
          <w:p>
            <w:pPr>
              <w:widowControl/>
              <w:jc w:val="left"/>
              <w:rPr>
                <w:rFonts w:ascii="宋体" w:hAnsi="宋体" w:eastAsia="宋体"/>
                <w:kern w:val="0"/>
                <w:szCs w:val="21"/>
              </w:rPr>
            </w:pPr>
            <w:r>
              <w:rPr>
                <w:rFonts w:hint="eastAsia" w:ascii="宋体" w:hAnsi="宋体" w:eastAsia="宋体"/>
                <w:kern w:val="0"/>
                <w:szCs w:val="21"/>
              </w:rPr>
              <w:t>恩格贝镇镇长</w:t>
            </w:r>
          </w:p>
        </w:tc>
        <w:tc>
          <w:tcPr>
            <w:tcW w:w="1755" w:type="dxa"/>
            <w:vAlign w:val="center"/>
          </w:tcPr>
          <w:p>
            <w:pPr>
              <w:widowControl/>
              <w:jc w:val="center"/>
              <w:rPr>
                <w:rFonts w:ascii="宋体" w:hAnsi="宋体" w:eastAsia="宋体"/>
                <w:kern w:val="0"/>
                <w:szCs w:val="21"/>
              </w:rPr>
            </w:pPr>
            <w:r>
              <w:rPr>
                <w:rFonts w:hint="eastAsia" w:ascii="宋体" w:hAnsi="宋体" w:eastAsia="宋体"/>
                <w:kern w:val="0"/>
                <w:szCs w:val="21"/>
              </w:rPr>
              <w:t>13134883277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22" w:type="dxa"/>
            <w:vMerge w:val="continue"/>
            <w:vAlign w:val="center"/>
          </w:tcPr>
          <w:p>
            <w:pPr>
              <w:pStyle w:val="2"/>
              <w:rPr>
                <w:rFonts w:ascii="宋体" w:hAnsi="宋体" w:eastAsia="宋体"/>
                <w:sz w:val="21"/>
                <w:szCs w:val="21"/>
              </w:rPr>
            </w:pPr>
          </w:p>
        </w:tc>
        <w:tc>
          <w:tcPr>
            <w:tcW w:w="1098" w:type="dxa"/>
            <w:vAlign w:val="center"/>
          </w:tcPr>
          <w:p>
            <w:pPr>
              <w:widowControl/>
              <w:jc w:val="left"/>
              <w:rPr>
                <w:rFonts w:ascii="宋体" w:hAnsi="宋体" w:eastAsia="宋体"/>
                <w:kern w:val="0"/>
                <w:szCs w:val="21"/>
              </w:rPr>
            </w:pPr>
            <w:r>
              <w:rPr>
                <w:rFonts w:hint="eastAsia" w:ascii="宋体" w:hAnsi="宋体" w:eastAsia="宋体"/>
                <w:kern w:val="0"/>
                <w:szCs w:val="21"/>
              </w:rPr>
              <w:t>贾培强</w:t>
            </w:r>
          </w:p>
        </w:tc>
        <w:tc>
          <w:tcPr>
            <w:tcW w:w="4121" w:type="dxa"/>
            <w:vAlign w:val="center"/>
          </w:tcPr>
          <w:p>
            <w:pPr>
              <w:widowControl/>
              <w:jc w:val="left"/>
              <w:rPr>
                <w:rFonts w:ascii="宋体" w:hAnsi="宋体" w:eastAsia="宋体"/>
                <w:kern w:val="0"/>
                <w:szCs w:val="21"/>
              </w:rPr>
            </w:pPr>
            <w:r>
              <w:rPr>
                <w:rFonts w:hint="eastAsia" w:ascii="宋体" w:hAnsi="宋体" w:eastAsia="宋体"/>
                <w:kern w:val="0"/>
                <w:szCs w:val="21"/>
              </w:rPr>
              <w:t>吉格斯太镇镇长</w:t>
            </w:r>
          </w:p>
        </w:tc>
        <w:tc>
          <w:tcPr>
            <w:tcW w:w="1755" w:type="dxa"/>
            <w:vAlign w:val="center"/>
          </w:tcPr>
          <w:p>
            <w:pPr>
              <w:widowControl/>
              <w:jc w:val="center"/>
              <w:rPr>
                <w:rFonts w:ascii="宋体" w:hAnsi="宋体" w:eastAsia="宋体"/>
                <w:kern w:val="0"/>
                <w:szCs w:val="21"/>
              </w:rPr>
            </w:pPr>
            <w:r>
              <w:rPr>
                <w:rFonts w:hint="eastAsia" w:ascii="宋体" w:hAnsi="宋体" w:eastAsia="宋体"/>
                <w:kern w:val="0"/>
                <w:szCs w:val="21"/>
              </w:rPr>
              <w:t>13947744670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22" w:type="dxa"/>
            <w:vMerge w:val="continue"/>
            <w:vAlign w:val="center"/>
          </w:tcPr>
          <w:p>
            <w:pPr>
              <w:pStyle w:val="2"/>
              <w:rPr>
                <w:rFonts w:ascii="宋体" w:hAnsi="宋体" w:eastAsia="宋体"/>
                <w:sz w:val="21"/>
                <w:szCs w:val="21"/>
              </w:rPr>
            </w:pPr>
          </w:p>
        </w:tc>
        <w:tc>
          <w:tcPr>
            <w:tcW w:w="1098" w:type="dxa"/>
            <w:vAlign w:val="center"/>
          </w:tcPr>
          <w:p>
            <w:pPr>
              <w:widowControl/>
              <w:jc w:val="left"/>
              <w:rPr>
                <w:rFonts w:ascii="宋体" w:hAnsi="宋体" w:eastAsia="宋体"/>
                <w:kern w:val="0"/>
                <w:szCs w:val="21"/>
              </w:rPr>
            </w:pPr>
            <w:r>
              <w:rPr>
                <w:rFonts w:hint="eastAsia" w:ascii="宋体" w:hAnsi="宋体" w:eastAsia="宋体"/>
                <w:kern w:val="0"/>
                <w:szCs w:val="21"/>
              </w:rPr>
              <w:t>李宝山</w:t>
            </w:r>
          </w:p>
        </w:tc>
        <w:tc>
          <w:tcPr>
            <w:tcW w:w="4121" w:type="dxa"/>
            <w:vAlign w:val="center"/>
          </w:tcPr>
          <w:p>
            <w:pPr>
              <w:widowControl/>
              <w:jc w:val="left"/>
              <w:rPr>
                <w:rFonts w:ascii="宋体" w:hAnsi="宋体" w:eastAsia="宋体"/>
                <w:kern w:val="0"/>
                <w:szCs w:val="21"/>
              </w:rPr>
            </w:pPr>
            <w:r>
              <w:rPr>
                <w:rFonts w:hint="eastAsia" w:ascii="宋体" w:hAnsi="宋体" w:eastAsia="宋体"/>
                <w:kern w:val="0"/>
                <w:szCs w:val="21"/>
              </w:rPr>
              <w:t>中和西镇镇长</w:t>
            </w:r>
          </w:p>
        </w:tc>
        <w:tc>
          <w:tcPr>
            <w:tcW w:w="1755" w:type="dxa"/>
            <w:vAlign w:val="center"/>
          </w:tcPr>
          <w:p>
            <w:pPr>
              <w:widowControl/>
              <w:jc w:val="center"/>
              <w:rPr>
                <w:rFonts w:ascii="宋体" w:hAnsi="宋体" w:eastAsia="宋体"/>
                <w:kern w:val="0"/>
                <w:szCs w:val="21"/>
              </w:rPr>
            </w:pPr>
            <w:r>
              <w:rPr>
                <w:rFonts w:hint="eastAsia" w:ascii="宋体" w:hAnsi="宋体" w:eastAsia="宋体"/>
                <w:kern w:val="0"/>
                <w:szCs w:val="21"/>
              </w:rPr>
              <w:t>15847722908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22" w:type="dxa"/>
            <w:vMerge w:val="continue"/>
            <w:vAlign w:val="center"/>
          </w:tcPr>
          <w:p>
            <w:pPr>
              <w:pStyle w:val="2"/>
              <w:rPr>
                <w:rFonts w:ascii="宋体" w:hAnsi="宋体" w:eastAsia="宋体"/>
                <w:sz w:val="21"/>
                <w:szCs w:val="21"/>
              </w:rPr>
            </w:pPr>
          </w:p>
        </w:tc>
        <w:tc>
          <w:tcPr>
            <w:tcW w:w="1098" w:type="dxa"/>
            <w:vAlign w:val="center"/>
          </w:tcPr>
          <w:p>
            <w:pPr>
              <w:widowControl/>
              <w:jc w:val="left"/>
              <w:rPr>
                <w:rFonts w:ascii="宋体" w:hAnsi="宋体" w:eastAsia="宋体"/>
                <w:kern w:val="0"/>
                <w:szCs w:val="21"/>
              </w:rPr>
            </w:pPr>
            <w:r>
              <w:rPr>
                <w:rFonts w:hint="eastAsia" w:ascii="宋体" w:hAnsi="宋体" w:eastAsia="宋体"/>
                <w:kern w:val="0"/>
                <w:szCs w:val="21"/>
              </w:rPr>
              <w:t>杨尚荣</w:t>
            </w:r>
          </w:p>
        </w:tc>
        <w:tc>
          <w:tcPr>
            <w:tcW w:w="4121" w:type="dxa"/>
            <w:vAlign w:val="center"/>
          </w:tcPr>
          <w:p>
            <w:pPr>
              <w:widowControl/>
              <w:jc w:val="left"/>
              <w:rPr>
                <w:rFonts w:ascii="宋体" w:hAnsi="宋体" w:eastAsia="宋体"/>
                <w:kern w:val="0"/>
                <w:szCs w:val="21"/>
              </w:rPr>
            </w:pPr>
            <w:r>
              <w:rPr>
                <w:rFonts w:hint="eastAsia" w:ascii="宋体" w:hAnsi="宋体" w:eastAsia="宋体"/>
                <w:kern w:val="0"/>
                <w:szCs w:val="21"/>
              </w:rPr>
              <w:t>风水梁镇镇长</w:t>
            </w:r>
          </w:p>
        </w:tc>
        <w:tc>
          <w:tcPr>
            <w:tcW w:w="1755" w:type="dxa"/>
            <w:vAlign w:val="center"/>
          </w:tcPr>
          <w:p>
            <w:pPr>
              <w:widowControl/>
              <w:jc w:val="center"/>
              <w:rPr>
                <w:rFonts w:ascii="宋体" w:hAnsi="宋体" w:eastAsia="宋体"/>
                <w:kern w:val="0"/>
                <w:szCs w:val="21"/>
              </w:rPr>
            </w:pPr>
            <w:r>
              <w:rPr>
                <w:rFonts w:hint="eastAsia" w:ascii="宋体" w:hAnsi="宋体" w:eastAsia="宋体"/>
                <w:kern w:val="0"/>
                <w:szCs w:val="21"/>
              </w:rPr>
              <w:t>15049493322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22" w:type="dxa"/>
            <w:vMerge w:val="continue"/>
            <w:vAlign w:val="center"/>
          </w:tcPr>
          <w:p>
            <w:pPr>
              <w:pStyle w:val="2"/>
              <w:rPr>
                <w:rFonts w:ascii="宋体" w:hAnsi="宋体" w:eastAsia="宋体"/>
                <w:sz w:val="21"/>
                <w:szCs w:val="21"/>
              </w:rPr>
            </w:pPr>
          </w:p>
        </w:tc>
        <w:tc>
          <w:tcPr>
            <w:tcW w:w="1098" w:type="dxa"/>
            <w:vAlign w:val="center"/>
          </w:tcPr>
          <w:p>
            <w:pPr>
              <w:widowControl/>
              <w:jc w:val="left"/>
              <w:rPr>
                <w:rFonts w:ascii="宋体" w:hAnsi="宋体" w:eastAsia="宋体"/>
                <w:kern w:val="0"/>
                <w:szCs w:val="21"/>
              </w:rPr>
            </w:pPr>
            <w:r>
              <w:rPr>
                <w:rFonts w:hint="eastAsia" w:ascii="宋体" w:hAnsi="宋体" w:eastAsia="宋体"/>
                <w:kern w:val="0"/>
                <w:szCs w:val="21"/>
              </w:rPr>
              <w:t>王玉泉</w:t>
            </w:r>
          </w:p>
        </w:tc>
        <w:tc>
          <w:tcPr>
            <w:tcW w:w="4121" w:type="dxa"/>
            <w:vAlign w:val="center"/>
          </w:tcPr>
          <w:p>
            <w:pPr>
              <w:widowControl/>
              <w:jc w:val="left"/>
              <w:rPr>
                <w:rFonts w:ascii="宋体" w:hAnsi="宋体" w:eastAsia="宋体"/>
                <w:kern w:val="0"/>
                <w:szCs w:val="21"/>
              </w:rPr>
            </w:pPr>
            <w:r>
              <w:rPr>
                <w:rFonts w:hint="eastAsia" w:ascii="宋体" w:hAnsi="宋体" w:eastAsia="宋体"/>
                <w:kern w:val="0"/>
                <w:szCs w:val="21"/>
              </w:rPr>
              <w:t>昭君街道主任</w:t>
            </w:r>
          </w:p>
        </w:tc>
        <w:tc>
          <w:tcPr>
            <w:tcW w:w="1755" w:type="dxa"/>
            <w:vAlign w:val="center"/>
          </w:tcPr>
          <w:p>
            <w:pPr>
              <w:widowControl/>
              <w:jc w:val="center"/>
              <w:rPr>
                <w:rFonts w:ascii="宋体" w:hAnsi="宋体" w:eastAsia="宋体"/>
                <w:kern w:val="0"/>
                <w:szCs w:val="21"/>
              </w:rPr>
            </w:pPr>
            <w:r>
              <w:rPr>
                <w:rFonts w:hint="eastAsia" w:ascii="宋体" w:hAnsi="宋体" w:eastAsia="宋体"/>
                <w:kern w:val="0"/>
                <w:szCs w:val="21"/>
              </w:rPr>
              <w:t>15704778080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22" w:type="dxa"/>
            <w:vMerge w:val="continue"/>
            <w:vAlign w:val="center"/>
          </w:tcPr>
          <w:p>
            <w:pPr>
              <w:pStyle w:val="2"/>
              <w:rPr>
                <w:rFonts w:ascii="宋体" w:hAnsi="宋体" w:eastAsia="宋体"/>
                <w:sz w:val="21"/>
                <w:szCs w:val="21"/>
              </w:rPr>
            </w:pPr>
          </w:p>
        </w:tc>
        <w:tc>
          <w:tcPr>
            <w:tcW w:w="1098" w:type="dxa"/>
            <w:vAlign w:val="center"/>
          </w:tcPr>
          <w:p>
            <w:pPr>
              <w:widowControl/>
              <w:jc w:val="left"/>
              <w:rPr>
                <w:rFonts w:ascii="宋体" w:hAnsi="宋体" w:eastAsia="宋体"/>
                <w:kern w:val="0"/>
                <w:szCs w:val="21"/>
              </w:rPr>
            </w:pPr>
            <w:r>
              <w:rPr>
                <w:rFonts w:hint="eastAsia" w:ascii="宋体" w:hAnsi="宋体" w:eastAsia="宋体"/>
                <w:kern w:val="0"/>
                <w:szCs w:val="21"/>
              </w:rPr>
              <w:t>焦健</w:t>
            </w:r>
          </w:p>
        </w:tc>
        <w:tc>
          <w:tcPr>
            <w:tcW w:w="4121" w:type="dxa"/>
            <w:vAlign w:val="center"/>
          </w:tcPr>
          <w:p>
            <w:pPr>
              <w:widowControl/>
              <w:jc w:val="left"/>
              <w:rPr>
                <w:rFonts w:ascii="宋体" w:hAnsi="宋体" w:eastAsia="宋体"/>
                <w:kern w:val="0"/>
                <w:szCs w:val="21"/>
              </w:rPr>
            </w:pPr>
            <w:r>
              <w:rPr>
                <w:rFonts w:hint="eastAsia" w:ascii="宋体" w:hAnsi="宋体" w:eastAsia="宋体"/>
                <w:kern w:val="0"/>
                <w:szCs w:val="21"/>
              </w:rPr>
              <w:t>工业街道主任</w:t>
            </w:r>
          </w:p>
        </w:tc>
        <w:tc>
          <w:tcPr>
            <w:tcW w:w="1755" w:type="dxa"/>
            <w:vAlign w:val="center"/>
          </w:tcPr>
          <w:p>
            <w:pPr>
              <w:widowControl/>
              <w:jc w:val="center"/>
              <w:rPr>
                <w:rFonts w:ascii="宋体" w:hAnsi="宋体" w:eastAsia="宋体"/>
                <w:kern w:val="0"/>
                <w:szCs w:val="21"/>
              </w:rPr>
            </w:pPr>
            <w:r>
              <w:rPr>
                <w:rFonts w:hint="eastAsia" w:ascii="宋体" w:hAnsi="宋体" w:eastAsia="宋体"/>
                <w:kern w:val="0"/>
                <w:szCs w:val="21"/>
              </w:rPr>
              <w:t>15947653363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22" w:type="dxa"/>
            <w:vMerge w:val="continue"/>
            <w:vAlign w:val="center"/>
          </w:tcPr>
          <w:p>
            <w:pPr>
              <w:pStyle w:val="2"/>
              <w:rPr>
                <w:rFonts w:ascii="宋体" w:hAnsi="宋体" w:eastAsia="宋体"/>
                <w:sz w:val="21"/>
                <w:szCs w:val="21"/>
              </w:rPr>
            </w:pPr>
          </w:p>
        </w:tc>
        <w:tc>
          <w:tcPr>
            <w:tcW w:w="1098" w:type="dxa"/>
            <w:vAlign w:val="center"/>
          </w:tcPr>
          <w:p>
            <w:pPr>
              <w:widowControl/>
              <w:jc w:val="left"/>
              <w:rPr>
                <w:rFonts w:ascii="宋体" w:hAnsi="宋体" w:eastAsia="宋体"/>
                <w:kern w:val="0"/>
                <w:szCs w:val="21"/>
              </w:rPr>
            </w:pPr>
            <w:r>
              <w:rPr>
                <w:rFonts w:hint="eastAsia" w:ascii="宋体" w:hAnsi="宋体" w:eastAsia="宋体"/>
                <w:kern w:val="0"/>
                <w:szCs w:val="21"/>
              </w:rPr>
              <w:t>石蓉</w:t>
            </w:r>
          </w:p>
        </w:tc>
        <w:tc>
          <w:tcPr>
            <w:tcW w:w="4121" w:type="dxa"/>
            <w:vAlign w:val="center"/>
          </w:tcPr>
          <w:p>
            <w:pPr>
              <w:widowControl/>
              <w:jc w:val="left"/>
              <w:rPr>
                <w:rFonts w:ascii="宋体" w:hAnsi="宋体" w:eastAsia="宋体"/>
                <w:kern w:val="0"/>
                <w:szCs w:val="21"/>
              </w:rPr>
            </w:pPr>
            <w:r>
              <w:rPr>
                <w:rFonts w:hint="eastAsia" w:ascii="宋体" w:hAnsi="宋体" w:eastAsia="宋体"/>
                <w:kern w:val="0"/>
                <w:szCs w:val="21"/>
              </w:rPr>
              <w:t>西园街道主任</w:t>
            </w:r>
          </w:p>
        </w:tc>
        <w:tc>
          <w:tcPr>
            <w:tcW w:w="1755" w:type="dxa"/>
            <w:vAlign w:val="center"/>
          </w:tcPr>
          <w:p>
            <w:pPr>
              <w:widowControl/>
              <w:jc w:val="center"/>
              <w:rPr>
                <w:rFonts w:ascii="宋体" w:hAnsi="宋体" w:eastAsia="宋体"/>
                <w:kern w:val="0"/>
                <w:szCs w:val="21"/>
              </w:rPr>
            </w:pPr>
            <w:r>
              <w:rPr>
                <w:rFonts w:hint="eastAsia" w:ascii="宋体" w:hAnsi="宋体" w:eastAsia="宋体"/>
                <w:kern w:val="0"/>
                <w:szCs w:val="21"/>
              </w:rPr>
              <w:t>15947391995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22" w:type="dxa"/>
            <w:vMerge w:val="continue"/>
            <w:vAlign w:val="center"/>
          </w:tcPr>
          <w:p>
            <w:pPr>
              <w:widowControl/>
              <w:jc w:val="left"/>
              <w:rPr>
                <w:rFonts w:ascii="宋体" w:hAnsi="宋体" w:eastAsia="宋体"/>
                <w:kern w:val="0"/>
                <w:szCs w:val="21"/>
              </w:rPr>
            </w:pPr>
          </w:p>
        </w:tc>
        <w:tc>
          <w:tcPr>
            <w:tcW w:w="1098" w:type="dxa"/>
            <w:vAlign w:val="center"/>
          </w:tcPr>
          <w:p>
            <w:pPr>
              <w:widowControl/>
              <w:jc w:val="left"/>
              <w:rPr>
                <w:rFonts w:ascii="宋体" w:hAnsi="宋体" w:eastAsia="宋体"/>
                <w:kern w:val="0"/>
                <w:szCs w:val="21"/>
              </w:rPr>
            </w:pPr>
            <w:r>
              <w:rPr>
                <w:rFonts w:hint="eastAsia" w:ascii="宋体" w:hAnsi="宋体" w:eastAsia="宋体"/>
                <w:kern w:val="0"/>
                <w:szCs w:val="21"/>
              </w:rPr>
              <w:t>李志刚</w:t>
            </w:r>
          </w:p>
        </w:tc>
        <w:tc>
          <w:tcPr>
            <w:tcW w:w="4121" w:type="dxa"/>
            <w:vAlign w:val="center"/>
          </w:tcPr>
          <w:p>
            <w:pPr>
              <w:widowControl/>
              <w:jc w:val="left"/>
              <w:rPr>
                <w:rFonts w:ascii="宋体" w:hAnsi="宋体" w:eastAsia="宋体"/>
                <w:kern w:val="0"/>
                <w:szCs w:val="21"/>
              </w:rPr>
            </w:pPr>
            <w:r>
              <w:rPr>
                <w:rFonts w:hint="eastAsia" w:ascii="宋体" w:hAnsi="宋体" w:eastAsia="宋体"/>
                <w:kern w:val="0"/>
                <w:szCs w:val="21"/>
              </w:rPr>
              <w:t>锡尼街道主任</w:t>
            </w:r>
          </w:p>
        </w:tc>
        <w:tc>
          <w:tcPr>
            <w:tcW w:w="1755" w:type="dxa"/>
            <w:vAlign w:val="center"/>
          </w:tcPr>
          <w:p>
            <w:pPr>
              <w:widowControl/>
              <w:jc w:val="center"/>
              <w:rPr>
                <w:rFonts w:ascii="宋体" w:hAnsi="宋体" w:eastAsia="宋体"/>
                <w:kern w:val="0"/>
                <w:szCs w:val="21"/>
              </w:rPr>
            </w:pPr>
            <w:r>
              <w:rPr>
                <w:rFonts w:hint="eastAsia" w:ascii="宋体" w:hAnsi="宋体" w:eastAsia="宋体"/>
                <w:kern w:val="0"/>
                <w:szCs w:val="21"/>
              </w:rPr>
              <w:t>13847798589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22" w:type="dxa"/>
            <w:vMerge w:val="continue"/>
            <w:vAlign w:val="center"/>
          </w:tcPr>
          <w:p>
            <w:pPr>
              <w:widowControl/>
              <w:jc w:val="left"/>
              <w:rPr>
                <w:rFonts w:ascii="宋体" w:hAnsi="宋体" w:eastAsia="宋体"/>
                <w:kern w:val="0"/>
                <w:szCs w:val="21"/>
              </w:rPr>
            </w:pPr>
          </w:p>
        </w:tc>
        <w:tc>
          <w:tcPr>
            <w:tcW w:w="1098" w:type="dxa"/>
            <w:vAlign w:val="center"/>
          </w:tcPr>
          <w:p>
            <w:pPr>
              <w:widowControl/>
              <w:jc w:val="left"/>
              <w:rPr>
                <w:rFonts w:ascii="宋体" w:hAnsi="宋体" w:eastAsia="宋体"/>
                <w:kern w:val="0"/>
                <w:szCs w:val="21"/>
              </w:rPr>
            </w:pPr>
            <w:r>
              <w:rPr>
                <w:rFonts w:hint="eastAsia" w:ascii="宋体" w:hAnsi="宋体" w:eastAsia="宋体"/>
                <w:kern w:val="0"/>
                <w:szCs w:val="21"/>
              </w:rPr>
              <w:t>杜伟</w:t>
            </w:r>
          </w:p>
        </w:tc>
        <w:tc>
          <w:tcPr>
            <w:tcW w:w="4121" w:type="dxa"/>
            <w:vAlign w:val="center"/>
          </w:tcPr>
          <w:p>
            <w:pPr>
              <w:widowControl/>
              <w:jc w:val="left"/>
              <w:rPr>
                <w:rFonts w:ascii="宋体" w:hAnsi="宋体" w:eastAsia="宋体"/>
                <w:kern w:val="0"/>
                <w:szCs w:val="21"/>
              </w:rPr>
            </w:pPr>
            <w:r>
              <w:rPr>
                <w:rFonts w:hint="eastAsia" w:ascii="宋体" w:hAnsi="宋体" w:eastAsia="宋体"/>
                <w:kern w:val="0"/>
                <w:szCs w:val="21"/>
              </w:rPr>
              <w:t>白塔街道主任</w:t>
            </w:r>
          </w:p>
        </w:tc>
        <w:tc>
          <w:tcPr>
            <w:tcW w:w="1755" w:type="dxa"/>
            <w:vAlign w:val="center"/>
          </w:tcPr>
          <w:p>
            <w:pPr>
              <w:widowControl/>
              <w:jc w:val="center"/>
              <w:rPr>
                <w:rFonts w:ascii="宋体" w:hAnsi="宋体" w:eastAsia="宋体"/>
                <w:kern w:val="0"/>
                <w:szCs w:val="21"/>
              </w:rPr>
            </w:pPr>
            <w:r>
              <w:rPr>
                <w:rFonts w:hint="eastAsia" w:ascii="宋体" w:hAnsi="宋体" w:eastAsia="宋体"/>
                <w:kern w:val="0"/>
                <w:szCs w:val="21"/>
              </w:rPr>
              <w:t>13947733423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322" w:type="dxa"/>
            <w:vMerge w:val="continue"/>
            <w:vAlign w:val="center"/>
          </w:tcPr>
          <w:p>
            <w:pPr>
              <w:widowControl/>
              <w:jc w:val="left"/>
              <w:rPr>
                <w:rFonts w:ascii="宋体" w:hAnsi="宋体" w:eastAsia="宋体"/>
                <w:kern w:val="0"/>
                <w:szCs w:val="21"/>
              </w:rPr>
            </w:pPr>
          </w:p>
        </w:tc>
        <w:tc>
          <w:tcPr>
            <w:tcW w:w="1098" w:type="dxa"/>
            <w:vAlign w:val="center"/>
          </w:tcPr>
          <w:p>
            <w:pPr>
              <w:widowControl/>
              <w:jc w:val="left"/>
              <w:rPr>
                <w:rFonts w:ascii="宋体" w:hAnsi="宋体" w:eastAsia="宋体"/>
                <w:kern w:val="0"/>
                <w:szCs w:val="21"/>
              </w:rPr>
            </w:pPr>
            <w:r>
              <w:rPr>
                <w:rFonts w:hint="eastAsia" w:ascii="宋体" w:hAnsi="宋体" w:eastAsia="宋体"/>
                <w:kern w:val="0"/>
                <w:szCs w:val="21"/>
              </w:rPr>
              <w:t>李志恒</w:t>
            </w:r>
          </w:p>
        </w:tc>
        <w:tc>
          <w:tcPr>
            <w:tcW w:w="4121" w:type="dxa"/>
            <w:vAlign w:val="center"/>
          </w:tcPr>
          <w:p>
            <w:pPr>
              <w:widowControl/>
              <w:jc w:val="left"/>
              <w:rPr>
                <w:rFonts w:ascii="宋体" w:hAnsi="宋体" w:eastAsia="宋体"/>
                <w:kern w:val="0"/>
                <w:szCs w:val="21"/>
              </w:rPr>
            </w:pPr>
            <w:r>
              <w:rPr>
                <w:rFonts w:hint="eastAsia" w:ascii="宋体" w:hAnsi="宋体" w:eastAsia="宋体"/>
                <w:kern w:val="0"/>
                <w:szCs w:val="21"/>
              </w:rPr>
              <w:t>平原街道党工委书记</w:t>
            </w:r>
          </w:p>
        </w:tc>
        <w:tc>
          <w:tcPr>
            <w:tcW w:w="1755" w:type="dxa"/>
            <w:vAlign w:val="center"/>
          </w:tcPr>
          <w:p>
            <w:pPr>
              <w:widowControl/>
              <w:jc w:val="center"/>
              <w:rPr>
                <w:rFonts w:ascii="宋体" w:hAnsi="宋体" w:eastAsia="宋体"/>
                <w:kern w:val="0"/>
                <w:szCs w:val="21"/>
              </w:rPr>
            </w:pPr>
            <w:r>
              <w:rPr>
                <w:rFonts w:hint="eastAsia" w:ascii="宋体" w:hAnsi="宋体" w:eastAsia="宋体"/>
                <w:kern w:val="0"/>
                <w:szCs w:val="21"/>
              </w:rPr>
              <w:t>13847745419</w:t>
            </w:r>
          </w:p>
        </w:tc>
      </w:tr>
    </w:tbl>
    <w:p>
      <w:pPr>
        <w:widowControl/>
        <w:shd w:val="clear" w:color="auto" w:fill="FFFFFF"/>
        <w:spacing w:line="560" w:lineRule="exact"/>
        <w:ind w:firstLine="640" w:firstLineChars="200"/>
        <w:rPr>
          <w:rFonts w:ascii="Times New Roman" w:hAnsi="Times New Roman" w:eastAsia="仿宋_GB2312" w:cs="Times New Roman"/>
          <w:kern w:val="0"/>
          <w:sz w:val="32"/>
          <w:szCs w:val="32"/>
        </w:rPr>
        <w:sectPr>
          <w:pgSz w:w="11906" w:h="16838"/>
          <w:pgMar w:top="1440" w:right="1800" w:bottom="1440" w:left="1800" w:header="851" w:footer="992" w:gutter="0"/>
          <w:cols w:space="425" w:num="1"/>
          <w:docGrid w:type="lines" w:linePitch="312" w:charSpace="0"/>
        </w:sectPr>
      </w:pPr>
    </w:p>
    <w:bookmarkEnd w:id="122"/>
    <w:bookmarkEnd w:id="123"/>
    <w:p>
      <w:pPr>
        <w:pStyle w:val="4"/>
        <w:tabs>
          <w:tab w:val="left" w:pos="709"/>
        </w:tabs>
        <w:spacing w:before="0" w:after="0" w:line="560" w:lineRule="exact"/>
        <w:ind w:firstLine="640" w:firstLineChars="200"/>
        <w:jc w:val="both"/>
        <w:rPr>
          <w:rFonts w:ascii="Times New Roman" w:hAnsi="Times New Roman" w:eastAsia="楷体"/>
          <w:kern w:val="2"/>
        </w:rPr>
      </w:pPr>
      <w:bookmarkStart w:id="127" w:name="_Toc113806673"/>
      <w:bookmarkStart w:id="128" w:name="_Toc135994613"/>
      <w:r>
        <w:rPr>
          <w:rFonts w:ascii="Times New Roman" w:hAnsi="Times New Roman" w:eastAsia="楷体"/>
          <w:kern w:val="2"/>
        </w:rPr>
        <w:t>附件4旗相关救援队伍名单</w:t>
      </w:r>
      <w:bookmarkEnd w:id="127"/>
      <w:bookmarkEnd w:id="128"/>
    </w:p>
    <w:tbl>
      <w:tblPr>
        <w:tblStyle w:val="12"/>
        <w:tblW w:w="12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2210"/>
        <w:gridCol w:w="2977"/>
        <w:gridCol w:w="2268"/>
        <w:gridCol w:w="4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blHeader/>
          <w:jc w:val="center"/>
        </w:trPr>
        <w:tc>
          <w:tcPr>
            <w:tcW w:w="1187" w:type="dxa"/>
            <w:shd w:val="clear" w:color="auto" w:fill="auto"/>
            <w:vAlign w:val="center"/>
          </w:tcPr>
          <w:p>
            <w:pPr>
              <w:spacing w:line="360" w:lineRule="auto"/>
              <w:jc w:val="center"/>
              <w:rPr>
                <w:rFonts w:ascii="黑体" w:hAnsi="黑体" w:eastAsia="黑体" w:cs="Times New Roman"/>
                <w:b/>
                <w:bCs/>
                <w:szCs w:val="21"/>
              </w:rPr>
            </w:pPr>
            <w:r>
              <w:rPr>
                <w:rFonts w:ascii="黑体" w:hAnsi="黑体" w:eastAsia="黑体" w:cs="Times New Roman"/>
                <w:b/>
                <w:bCs/>
                <w:szCs w:val="21"/>
              </w:rPr>
              <w:t>序号</w:t>
            </w:r>
          </w:p>
        </w:tc>
        <w:tc>
          <w:tcPr>
            <w:tcW w:w="2210" w:type="dxa"/>
            <w:shd w:val="clear" w:color="auto" w:fill="auto"/>
            <w:vAlign w:val="center"/>
          </w:tcPr>
          <w:p>
            <w:pPr>
              <w:spacing w:line="360" w:lineRule="auto"/>
              <w:jc w:val="center"/>
              <w:rPr>
                <w:rFonts w:ascii="黑体" w:hAnsi="黑体" w:eastAsia="黑体" w:cs="Times New Roman"/>
                <w:b/>
                <w:bCs/>
                <w:szCs w:val="21"/>
              </w:rPr>
            </w:pPr>
            <w:r>
              <w:rPr>
                <w:rFonts w:ascii="黑体" w:hAnsi="黑体" w:eastAsia="黑体" w:cs="Times New Roman"/>
                <w:b/>
                <w:bCs/>
                <w:szCs w:val="21"/>
              </w:rPr>
              <w:t>应急救援队伍名称</w:t>
            </w:r>
          </w:p>
        </w:tc>
        <w:tc>
          <w:tcPr>
            <w:tcW w:w="2977" w:type="dxa"/>
            <w:shd w:val="clear" w:color="auto" w:fill="auto"/>
            <w:vAlign w:val="center"/>
          </w:tcPr>
          <w:p>
            <w:pPr>
              <w:spacing w:line="360" w:lineRule="auto"/>
              <w:jc w:val="center"/>
              <w:rPr>
                <w:rFonts w:ascii="黑体" w:hAnsi="黑体" w:eastAsia="黑体" w:cs="Times New Roman"/>
                <w:b/>
                <w:bCs/>
                <w:szCs w:val="21"/>
              </w:rPr>
            </w:pPr>
            <w:r>
              <w:rPr>
                <w:rFonts w:ascii="黑体" w:hAnsi="黑体" w:eastAsia="黑体" w:cs="Times New Roman"/>
                <w:b/>
                <w:bCs/>
                <w:szCs w:val="21"/>
              </w:rPr>
              <w:t>应急救援队伍主管单位</w:t>
            </w:r>
          </w:p>
        </w:tc>
        <w:tc>
          <w:tcPr>
            <w:tcW w:w="2268" w:type="dxa"/>
            <w:shd w:val="clear" w:color="auto" w:fill="auto"/>
            <w:vAlign w:val="center"/>
          </w:tcPr>
          <w:p>
            <w:pPr>
              <w:spacing w:line="360" w:lineRule="auto"/>
              <w:jc w:val="center"/>
              <w:rPr>
                <w:rFonts w:ascii="黑体" w:hAnsi="黑体" w:eastAsia="黑体" w:cs="Times New Roman"/>
                <w:b/>
                <w:bCs/>
                <w:szCs w:val="21"/>
              </w:rPr>
            </w:pPr>
            <w:r>
              <w:rPr>
                <w:rFonts w:ascii="黑体" w:hAnsi="黑体" w:eastAsia="黑体" w:cs="Times New Roman"/>
                <w:b/>
                <w:bCs/>
                <w:szCs w:val="21"/>
              </w:rPr>
              <w:t>值班电话</w:t>
            </w:r>
          </w:p>
        </w:tc>
        <w:tc>
          <w:tcPr>
            <w:tcW w:w="4118" w:type="dxa"/>
            <w:vAlign w:val="center"/>
          </w:tcPr>
          <w:p>
            <w:pPr>
              <w:spacing w:line="360" w:lineRule="auto"/>
              <w:jc w:val="center"/>
              <w:rPr>
                <w:rFonts w:ascii="黑体" w:hAnsi="黑体" w:eastAsia="黑体" w:cs="Times New Roman"/>
                <w:b/>
                <w:bCs/>
                <w:szCs w:val="21"/>
              </w:rPr>
            </w:pPr>
            <w:r>
              <w:rPr>
                <w:rFonts w:ascii="黑体" w:hAnsi="黑体" w:eastAsia="黑体" w:cs="Times New Roman"/>
                <w:b/>
                <w:bCs/>
                <w:szCs w:val="21"/>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187" w:type="dxa"/>
            <w:shd w:val="clear" w:color="auto" w:fill="auto"/>
            <w:vAlign w:val="center"/>
          </w:tcPr>
          <w:p>
            <w:pPr>
              <w:spacing w:line="360" w:lineRule="auto"/>
              <w:jc w:val="center"/>
              <w:rPr>
                <w:rFonts w:ascii="宋体" w:hAnsi="宋体" w:eastAsia="宋体" w:cs="Times New Roman"/>
                <w:szCs w:val="21"/>
              </w:rPr>
            </w:pPr>
            <w:r>
              <w:rPr>
                <w:rFonts w:ascii="宋体" w:hAnsi="宋体" w:eastAsia="宋体" w:cs="Times New Roman"/>
                <w:szCs w:val="21"/>
              </w:rPr>
              <w:t>1</w:t>
            </w:r>
          </w:p>
        </w:tc>
        <w:tc>
          <w:tcPr>
            <w:tcW w:w="2210" w:type="dxa"/>
            <w:shd w:val="clear" w:color="auto" w:fill="auto"/>
            <w:vAlign w:val="center"/>
          </w:tcPr>
          <w:p>
            <w:pPr>
              <w:spacing w:line="360" w:lineRule="auto"/>
              <w:jc w:val="center"/>
              <w:rPr>
                <w:rFonts w:ascii="宋体" w:hAnsi="宋体" w:eastAsia="宋体" w:cs="Times New Roman"/>
                <w:szCs w:val="21"/>
              </w:rPr>
            </w:pPr>
            <w:r>
              <w:rPr>
                <w:rFonts w:ascii="宋体" w:hAnsi="宋体" w:eastAsia="宋体" w:cs="Times New Roman"/>
                <w:szCs w:val="21"/>
              </w:rPr>
              <w:t>达拉特旗消防救援大队</w:t>
            </w:r>
          </w:p>
        </w:tc>
        <w:tc>
          <w:tcPr>
            <w:tcW w:w="2977" w:type="dxa"/>
            <w:shd w:val="clear" w:color="auto" w:fill="auto"/>
            <w:vAlign w:val="center"/>
          </w:tcPr>
          <w:p>
            <w:pPr>
              <w:spacing w:line="360" w:lineRule="auto"/>
              <w:jc w:val="center"/>
              <w:rPr>
                <w:rFonts w:ascii="宋体" w:hAnsi="宋体" w:eastAsia="宋体" w:cs="Times New Roman"/>
                <w:szCs w:val="21"/>
              </w:rPr>
            </w:pPr>
            <w:r>
              <w:rPr>
                <w:rFonts w:ascii="宋体" w:hAnsi="宋体" w:eastAsia="宋体" w:cs="Times New Roman"/>
                <w:szCs w:val="21"/>
              </w:rPr>
              <w:t>鄂尔多斯消防救援支队</w:t>
            </w:r>
          </w:p>
        </w:tc>
        <w:tc>
          <w:tcPr>
            <w:tcW w:w="2268" w:type="dxa"/>
            <w:shd w:val="clear" w:color="auto" w:fill="auto"/>
            <w:vAlign w:val="center"/>
          </w:tcPr>
          <w:p>
            <w:pPr>
              <w:spacing w:line="360" w:lineRule="auto"/>
              <w:jc w:val="center"/>
              <w:rPr>
                <w:rFonts w:ascii="宋体" w:hAnsi="宋体" w:eastAsia="宋体" w:cs="Times New Roman"/>
                <w:szCs w:val="21"/>
              </w:rPr>
            </w:pPr>
            <w:r>
              <w:rPr>
                <w:rFonts w:ascii="宋体" w:hAnsi="宋体" w:eastAsia="宋体" w:cs="Times New Roman"/>
                <w:szCs w:val="21"/>
              </w:rPr>
              <w:t>0477-5187674</w:t>
            </w:r>
          </w:p>
        </w:tc>
        <w:tc>
          <w:tcPr>
            <w:tcW w:w="4118" w:type="dxa"/>
            <w:vAlign w:val="center"/>
          </w:tcPr>
          <w:p>
            <w:pPr>
              <w:spacing w:line="360" w:lineRule="auto"/>
              <w:jc w:val="left"/>
              <w:rPr>
                <w:rFonts w:ascii="宋体" w:hAnsi="宋体" w:eastAsia="宋体" w:cs="Times New Roman"/>
                <w:szCs w:val="21"/>
              </w:rPr>
            </w:pPr>
            <w:r>
              <w:rPr>
                <w:rFonts w:ascii="宋体" w:hAnsi="宋体" w:eastAsia="宋体" w:cs="Times New Roman"/>
                <w:szCs w:val="21"/>
              </w:rPr>
              <w:t>达拉特旗树林召镇万通家园北门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1187" w:type="dxa"/>
            <w:shd w:val="clear" w:color="auto" w:fill="auto"/>
            <w:vAlign w:val="center"/>
          </w:tcPr>
          <w:p>
            <w:pPr>
              <w:spacing w:line="360" w:lineRule="auto"/>
              <w:jc w:val="center"/>
              <w:rPr>
                <w:rFonts w:ascii="宋体" w:hAnsi="宋体" w:eastAsia="宋体" w:cs="Times New Roman"/>
                <w:szCs w:val="21"/>
              </w:rPr>
            </w:pPr>
            <w:r>
              <w:rPr>
                <w:rFonts w:ascii="宋体" w:hAnsi="宋体" w:eastAsia="宋体" w:cs="Times New Roman"/>
                <w:szCs w:val="21"/>
              </w:rPr>
              <w:t>2</w:t>
            </w:r>
          </w:p>
        </w:tc>
        <w:tc>
          <w:tcPr>
            <w:tcW w:w="2210" w:type="dxa"/>
            <w:shd w:val="clear" w:color="auto" w:fill="auto"/>
            <w:vAlign w:val="center"/>
          </w:tcPr>
          <w:p>
            <w:pPr>
              <w:spacing w:line="360" w:lineRule="auto"/>
              <w:jc w:val="center"/>
              <w:rPr>
                <w:rFonts w:ascii="宋体" w:hAnsi="宋体" w:eastAsia="宋体" w:cs="Times New Roman"/>
                <w:szCs w:val="21"/>
              </w:rPr>
            </w:pPr>
            <w:r>
              <w:rPr>
                <w:rFonts w:ascii="宋体" w:hAnsi="宋体" w:eastAsia="宋体" w:cs="Times New Roman"/>
                <w:szCs w:val="21"/>
              </w:rPr>
              <w:t>达电消防队</w:t>
            </w:r>
          </w:p>
        </w:tc>
        <w:tc>
          <w:tcPr>
            <w:tcW w:w="2977" w:type="dxa"/>
            <w:shd w:val="clear" w:color="auto" w:fill="auto"/>
            <w:vAlign w:val="center"/>
          </w:tcPr>
          <w:p>
            <w:pPr>
              <w:spacing w:line="360" w:lineRule="auto"/>
              <w:jc w:val="center"/>
              <w:rPr>
                <w:rFonts w:ascii="宋体" w:hAnsi="宋体" w:eastAsia="宋体" w:cs="Times New Roman"/>
                <w:szCs w:val="21"/>
              </w:rPr>
            </w:pPr>
            <w:r>
              <w:rPr>
                <w:rFonts w:ascii="宋体" w:hAnsi="宋体" w:eastAsia="宋体" w:cs="Times New Roman"/>
                <w:szCs w:val="21"/>
              </w:rPr>
              <w:t>达拉特发电厂</w:t>
            </w:r>
          </w:p>
        </w:tc>
        <w:tc>
          <w:tcPr>
            <w:tcW w:w="2268" w:type="dxa"/>
            <w:shd w:val="clear" w:color="auto" w:fill="auto"/>
            <w:vAlign w:val="center"/>
          </w:tcPr>
          <w:p>
            <w:pPr>
              <w:spacing w:line="360" w:lineRule="auto"/>
              <w:jc w:val="center"/>
              <w:rPr>
                <w:rFonts w:ascii="宋体" w:hAnsi="宋体" w:eastAsia="宋体" w:cs="Times New Roman"/>
                <w:szCs w:val="21"/>
              </w:rPr>
            </w:pPr>
            <w:r>
              <w:rPr>
                <w:rFonts w:ascii="宋体" w:hAnsi="宋体" w:eastAsia="宋体" w:cs="Times New Roman"/>
                <w:szCs w:val="21"/>
              </w:rPr>
              <w:t>0477-5182119</w:t>
            </w:r>
          </w:p>
        </w:tc>
        <w:tc>
          <w:tcPr>
            <w:tcW w:w="4118" w:type="dxa"/>
            <w:vAlign w:val="center"/>
          </w:tcPr>
          <w:p>
            <w:pPr>
              <w:spacing w:line="360" w:lineRule="auto"/>
              <w:jc w:val="left"/>
              <w:rPr>
                <w:rFonts w:ascii="宋体" w:hAnsi="宋体" w:eastAsia="宋体" w:cs="Times New Roman"/>
                <w:szCs w:val="21"/>
              </w:rPr>
            </w:pPr>
            <w:r>
              <w:rPr>
                <w:rFonts w:ascii="宋体" w:hAnsi="宋体" w:eastAsia="宋体" w:cs="Times New Roman"/>
                <w:szCs w:val="21"/>
              </w:rPr>
              <w:t>达拉特旗树林召镇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1187" w:type="dxa"/>
            <w:shd w:val="clear" w:color="auto" w:fill="auto"/>
            <w:vAlign w:val="center"/>
          </w:tcPr>
          <w:p>
            <w:pPr>
              <w:spacing w:line="360" w:lineRule="auto"/>
              <w:jc w:val="center"/>
              <w:rPr>
                <w:rFonts w:ascii="宋体" w:hAnsi="宋体" w:eastAsia="宋体" w:cs="Times New Roman"/>
                <w:szCs w:val="21"/>
              </w:rPr>
            </w:pPr>
            <w:r>
              <w:rPr>
                <w:rFonts w:ascii="宋体" w:hAnsi="宋体" w:eastAsia="宋体" w:cs="Times New Roman"/>
                <w:szCs w:val="21"/>
              </w:rPr>
              <w:t>3</w:t>
            </w:r>
          </w:p>
        </w:tc>
        <w:tc>
          <w:tcPr>
            <w:tcW w:w="2210" w:type="dxa"/>
            <w:shd w:val="clear" w:color="auto" w:fill="auto"/>
            <w:vAlign w:val="center"/>
          </w:tcPr>
          <w:p>
            <w:pPr>
              <w:spacing w:line="360" w:lineRule="auto"/>
              <w:jc w:val="center"/>
              <w:rPr>
                <w:rFonts w:ascii="宋体" w:hAnsi="宋体" w:eastAsia="宋体" w:cs="Times New Roman"/>
                <w:szCs w:val="21"/>
              </w:rPr>
            </w:pPr>
            <w:r>
              <w:rPr>
                <w:rFonts w:ascii="宋体" w:hAnsi="宋体" w:eastAsia="宋体" w:cs="Times New Roman"/>
                <w:szCs w:val="21"/>
              </w:rPr>
              <w:t>响沙湾专职消防队</w:t>
            </w:r>
          </w:p>
        </w:tc>
        <w:tc>
          <w:tcPr>
            <w:tcW w:w="2977" w:type="dxa"/>
            <w:shd w:val="clear" w:color="auto" w:fill="auto"/>
            <w:vAlign w:val="center"/>
          </w:tcPr>
          <w:p>
            <w:pPr>
              <w:spacing w:line="360" w:lineRule="auto"/>
              <w:jc w:val="center"/>
              <w:rPr>
                <w:rFonts w:ascii="宋体" w:hAnsi="宋体" w:eastAsia="宋体" w:cs="Times New Roman"/>
                <w:szCs w:val="21"/>
              </w:rPr>
            </w:pPr>
            <w:r>
              <w:rPr>
                <w:rFonts w:ascii="宋体" w:hAnsi="宋体" w:eastAsia="宋体" w:cs="Times New Roman"/>
                <w:szCs w:val="21"/>
              </w:rPr>
              <w:t>内蒙古响沙湾旅游有限公司</w:t>
            </w:r>
          </w:p>
        </w:tc>
        <w:tc>
          <w:tcPr>
            <w:tcW w:w="2268" w:type="dxa"/>
            <w:shd w:val="clear" w:color="auto" w:fill="auto"/>
            <w:vAlign w:val="center"/>
          </w:tcPr>
          <w:p>
            <w:pPr>
              <w:spacing w:line="360" w:lineRule="auto"/>
              <w:jc w:val="center"/>
              <w:rPr>
                <w:rFonts w:ascii="宋体" w:hAnsi="宋体" w:eastAsia="宋体" w:cs="Times New Roman"/>
                <w:szCs w:val="21"/>
              </w:rPr>
            </w:pPr>
            <w:r>
              <w:rPr>
                <w:rFonts w:ascii="宋体" w:hAnsi="宋体" w:eastAsia="宋体" w:cs="Times New Roman"/>
                <w:szCs w:val="21"/>
              </w:rPr>
              <w:t>0477-5228888</w:t>
            </w:r>
          </w:p>
        </w:tc>
        <w:tc>
          <w:tcPr>
            <w:tcW w:w="4118" w:type="dxa"/>
            <w:vAlign w:val="center"/>
          </w:tcPr>
          <w:p>
            <w:pPr>
              <w:spacing w:line="360" w:lineRule="auto"/>
              <w:jc w:val="left"/>
              <w:rPr>
                <w:rFonts w:ascii="宋体" w:hAnsi="宋体" w:eastAsia="宋体" w:cs="Times New Roman"/>
                <w:szCs w:val="21"/>
              </w:rPr>
            </w:pPr>
            <w:r>
              <w:rPr>
                <w:rFonts w:ascii="宋体" w:hAnsi="宋体" w:eastAsia="宋体" w:cs="Times New Roman"/>
                <w:szCs w:val="21"/>
              </w:rPr>
              <w:t>达拉特旗境内库布其沙漠边缘响沙湾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3" w:hRule="atLeast"/>
          <w:jc w:val="center"/>
        </w:trPr>
        <w:tc>
          <w:tcPr>
            <w:tcW w:w="1187" w:type="dxa"/>
            <w:shd w:val="clear" w:color="auto" w:fill="auto"/>
            <w:vAlign w:val="center"/>
          </w:tcPr>
          <w:p>
            <w:pPr>
              <w:spacing w:line="360" w:lineRule="auto"/>
              <w:jc w:val="center"/>
              <w:rPr>
                <w:rFonts w:ascii="宋体" w:hAnsi="宋体" w:eastAsia="宋体" w:cs="Times New Roman"/>
                <w:szCs w:val="21"/>
              </w:rPr>
            </w:pPr>
            <w:r>
              <w:rPr>
                <w:rFonts w:ascii="宋体" w:hAnsi="宋体" w:eastAsia="宋体" w:cs="Times New Roman"/>
                <w:szCs w:val="21"/>
              </w:rPr>
              <w:t>4</w:t>
            </w:r>
          </w:p>
        </w:tc>
        <w:tc>
          <w:tcPr>
            <w:tcW w:w="2210" w:type="dxa"/>
            <w:shd w:val="clear" w:color="auto" w:fill="auto"/>
            <w:vAlign w:val="center"/>
          </w:tcPr>
          <w:p>
            <w:pPr>
              <w:spacing w:line="360" w:lineRule="auto"/>
              <w:jc w:val="center"/>
              <w:rPr>
                <w:rFonts w:ascii="宋体" w:hAnsi="宋体" w:eastAsia="宋体" w:cs="Times New Roman"/>
                <w:szCs w:val="21"/>
              </w:rPr>
            </w:pPr>
            <w:r>
              <w:rPr>
                <w:rFonts w:ascii="宋体" w:hAnsi="宋体" w:eastAsia="宋体" w:cs="Times New Roman"/>
                <w:szCs w:val="21"/>
              </w:rPr>
              <w:t>内蒙古亿利化学工业有限公司消防队</w:t>
            </w:r>
          </w:p>
        </w:tc>
        <w:tc>
          <w:tcPr>
            <w:tcW w:w="2977" w:type="dxa"/>
            <w:shd w:val="clear" w:color="auto" w:fill="auto"/>
            <w:vAlign w:val="center"/>
          </w:tcPr>
          <w:p>
            <w:pPr>
              <w:spacing w:line="360" w:lineRule="auto"/>
              <w:jc w:val="center"/>
              <w:rPr>
                <w:rFonts w:ascii="宋体" w:hAnsi="宋体" w:eastAsia="宋体" w:cs="Times New Roman"/>
                <w:szCs w:val="21"/>
              </w:rPr>
            </w:pPr>
            <w:r>
              <w:rPr>
                <w:rFonts w:ascii="宋体" w:hAnsi="宋体" w:eastAsia="宋体" w:cs="Times New Roman"/>
                <w:szCs w:val="21"/>
              </w:rPr>
              <w:t>达旗亿利应急救援大队</w:t>
            </w:r>
          </w:p>
        </w:tc>
        <w:tc>
          <w:tcPr>
            <w:tcW w:w="2268" w:type="dxa"/>
            <w:shd w:val="clear" w:color="auto" w:fill="auto"/>
            <w:vAlign w:val="center"/>
          </w:tcPr>
          <w:p>
            <w:pPr>
              <w:spacing w:line="360" w:lineRule="auto"/>
              <w:jc w:val="center"/>
              <w:rPr>
                <w:rFonts w:ascii="宋体" w:hAnsi="宋体" w:eastAsia="宋体" w:cs="Times New Roman"/>
                <w:szCs w:val="21"/>
              </w:rPr>
            </w:pPr>
            <w:r>
              <w:rPr>
                <w:rFonts w:ascii="宋体" w:hAnsi="宋体" w:eastAsia="宋体" w:cs="Times New Roman"/>
                <w:szCs w:val="21"/>
              </w:rPr>
              <w:t>0477-5292720</w:t>
            </w:r>
          </w:p>
        </w:tc>
        <w:tc>
          <w:tcPr>
            <w:tcW w:w="4118" w:type="dxa"/>
            <w:vAlign w:val="center"/>
          </w:tcPr>
          <w:p>
            <w:pPr>
              <w:spacing w:line="360" w:lineRule="auto"/>
              <w:jc w:val="left"/>
              <w:rPr>
                <w:rFonts w:ascii="宋体" w:hAnsi="宋体" w:eastAsia="宋体" w:cs="Times New Roman"/>
                <w:szCs w:val="21"/>
              </w:rPr>
            </w:pPr>
            <w:r>
              <w:rPr>
                <w:rFonts w:ascii="宋体" w:hAnsi="宋体" w:eastAsia="宋体" w:cs="Times New Roman"/>
                <w:szCs w:val="21"/>
              </w:rPr>
              <w:t>达拉特旗树林召镇迎宾街亿利大道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1187" w:type="dxa"/>
            <w:shd w:val="clear" w:color="auto" w:fill="auto"/>
            <w:vAlign w:val="center"/>
          </w:tcPr>
          <w:p>
            <w:pPr>
              <w:spacing w:line="360" w:lineRule="auto"/>
              <w:jc w:val="center"/>
              <w:rPr>
                <w:rFonts w:ascii="宋体" w:hAnsi="宋体" w:eastAsia="宋体" w:cs="Times New Roman"/>
                <w:szCs w:val="21"/>
              </w:rPr>
            </w:pPr>
            <w:r>
              <w:rPr>
                <w:rFonts w:ascii="宋体" w:hAnsi="宋体" w:eastAsia="宋体" w:cs="Times New Roman"/>
                <w:szCs w:val="21"/>
              </w:rPr>
              <w:t>5</w:t>
            </w:r>
          </w:p>
        </w:tc>
        <w:tc>
          <w:tcPr>
            <w:tcW w:w="2210" w:type="dxa"/>
            <w:shd w:val="clear" w:color="auto" w:fill="auto"/>
            <w:vAlign w:val="center"/>
          </w:tcPr>
          <w:p>
            <w:pPr>
              <w:spacing w:line="360" w:lineRule="auto"/>
              <w:jc w:val="center"/>
              <w:rPr>
                <w:rFonts w:ascii="宋体" w:hAnsi="宋体" w:eastAsia="宋体" w:cs="Times New Roman"/>
                <w:szCs w:val="21"/>
              </w:rPr>
            </w:pPr>
            <w:r>
              <w:rPr>
                <w:rFonts w:ascii="宋体" w:hAnsi="宋体" w:eastAsia="宋体" w:cs="Times New Roman"/>
                <w:szCs w:val="21"/>
              </w:rPr>
              <w:t>新能能源有限公司消防队</w:t>
            </w:r>
          </w:p>
        </w:tc>
        <w:tc>
          <w:tcPr>
            <w:tcW w:w="2977" w:type="dxa"/>
            <w:shd w:val="clear" w:color="auto" w:fill="auto"/>
            <w:vAlign w:val="center"/>
          </w:tcPr>
          <w:p>
            <w:pPr>
              <w:spacing w:line="360" w:lineRule="auto"/>
              <w:jc w:val="center"/>
              <w:rPr>
                <w:rFonts w:ascii="宋体" w:hAnsi="宋体" w:eastAsia="宋体" w:cs="Times New Roman"/>
                <w:szCs w:val="21"/>
              </w:rPr>
            </w:pPr>
            <w:r>
              <w:rPr>
                <w:rFonts w:ascii="宋体" w:hAnsi="宋体" w:eastAsia="宋体" w:cs="Times New Roman"/>
                <w:szCs w:val="21"/>
              </w:rPr>
              <w:t>新能能源有限公司</w:t>
            </w:r>
          </w:p>
        </w:tc>
        <w:tc>
          <w:tcPr>
            <w:tcW w:w="2268" w:type="dxa"/>
            <w:shd w:val="clear" w:color="auto" w:fill="auto"/>
            <w:vAlign w:val="center"/>
          </w:tcPr>
          <w:p>
            <w:pPr>
              <w:spacing w:line="360" w:lineRule="auto"/>
              <w:jc w:val="center"/>
              <w:rPr>
                <w:rFonts w:ascii="宋体" w:hAnsi="宋体" w:eastAsia="宋体" w:cs="Times New Roman"/>
                <w:szCs w:val="21"/>
              </w:rPr>
            </w:pPr>
            <w:r>
              <w:rPr>
                <w:rFonts w:ascii="宋体" w:hAnsi="宋体" w:eastAsia="宋体" w:cs="Times New Roman"/>
                <w:szCs w:val="21"/>
              </w:rPr>
              <w:t>0477-2258119</w:t>
            </w:r>
          </w:p>
        </w:tc>
        <w:tc>
          <w:tcPr>
            <w:tcW w:w="4118" w:type="dxa"/>
            <w:vAlign w:val="center"/>
          </w:tcPr>
          <w:p>
            <w:pPr>
              <w:spacing w:line="360" w:lineRule="auto"/>
              <w:jc w:val="left"/>
              <w:rPr>
                <w:rFonts w:ascii="宋体" w:hAnsi="宋体" w:eastAsia="宋体" w:cs="Times New Roman"/>
                <w:szCs w:val="21"/>
              </w:rPr>
            </w:pPr>
            <w:r>
              <w:rPr>
                <w:rFonts w:ascii="宋体" w:hAnsi="宋体" w:eastAsia="宋体" w:cs="Times New Roman"/>
                <w:szCs w:val="21"/>
              </w:rPr>
              <w:t>达拉特旗新奥大道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1187" w:type="dxa"/>
            <w:shd w:val="clear" w:color="auto" w:fill="auto"/>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6</w:t>
            </w:r>
          </w:p>
        </w:tc>
        <w:tc>
          <w:tcPr>
            <w:tcW w:w="2210" w:type="dxa"/>
            <w:shd w:val="clear" w:color="auto" w:fill="auto"/>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内蒙古荣信化工有限公司专职消防队</w:t>
            </w:r>
          </w:p>
        </w:tc>
        <w:tc>
          <w:tcPr>
            <w:tcW w:w="2977" w:type="dxa"/>
            <w:shd w:val="clear" w:color="auto" w:fill="auto"/>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内蒙古荣信化工有限公司</w:t>
            </w:r>
          </w:p>
        </w:tc>
        <w:tc>
          <w:tcPr>
            <w:tcW w:w="2268" w:type="dxa"/>
            <w:shd w:val="clear" w:color="auto" w:fill="auto"/>
            <w:vAlign w:val="center"/>
          </w:tcPr>
          <w:p>
            <w:pPr>
              <w:spacing w:line="360" w:lineRule="auto"/>
              <w:jc w:val="center"/>
              <w:rPr>
                <w:rFonts w:ascii="宋体" w:hAnsi="宋体" w:eastAsia="宋体" w:cs="Times New Roman"/>
                <w:szCs w:val="21"/>
              </w:rPr>
            </w:pPr>
            <w:r>
              <w:rPr>
                <w:rFonts w:hint="eastAsia" w:ascii="宋体" w:hAnsi="宋体" w:eastAsia="宋体" w:cs="Times New Roman"/>
                <w:szCs w:val="21"/>
              </w:rPr>
              <w:t>0</w:t>
            </w:r>
            <w:r>
              <w:rPr>
                <w:rFonts w:ascii="宋体" w:hAnsi="宋体" w:eastAsia="宋体" w:cs="Times New Roman"/>
                <w:szCs w:val="21"/>
              </w:rPr>
              <w:t>477-3952789</w:t>
            </w:r>
          </w:p>
        </w:tc>
        <w:tc>
          <w:tcPr>
            <w:tcW w:w="4118" w:type="dxa"/>
            <w:vAlign w:val="center"/>
          </w:tcPr>
          <w:p>
            <w:pPr>
              <w:spacing w:line="360" w:lineRule="auto"/>
              <w:jc w:val="left"/>
              <w:rPr>
                <w:rFonts w:ascii="宋体" w:hAnsi="宋体" w:eastAsia="宋体" w:cs="Times New Roman"/>
                <w:szCs w:val="21"/>
              </w:rPr>
            </w:pPr>
            <w:r>
              <w:rPr>
                <w:rFonts w:hint="eastAsia" w:ascii="宋体" w:hAnsi="宋体" w:eastAsia="宋体" w:cs="Times New Roman"/>
                <w:szCs w:val="21"/>
              </w:rPr>
              <w:t>内蒙古自治区鄂尔多斯市达拉特旗三晌梁工业园区</w:t>
            </w:r>
          </w:p>
        </w:tc>
      </w:tr>
    </w:tbl>
    <w:p>
      <w:pPr>
        <w:spacing w:line="560" w:lineRule="exact"/>
        <w:rPr>
          <w:rFonts w:ascii="Times New Roman" w:hAnsi="Times New Roman" w:eastAsia="仿宋_GB2312" w:cs="Times New Roman"/>
          <w:sz w:val="32"/>
          <w:szCs w:val="32"/>
        </w:rPr>
        <w:sectPr>
          <w:pgSz w:w="16838" w:h="11906" w:orient="landscape"/>
          <w:pgMar w:top="1800" w:right="1440" w:bottom="1800" w:left="1440" w:header="851" w:footer="992" w:gutter="0"/>
          <w:cols w:space="425" w:num="1"/>
          <w:docGrid w:type="lines" w:linePitch="312" w:charSpace="0"/>
        </w:sectPr>
      </w:pPr>
    </w:p>
    <w:p>
      <w:pPr>
        <w:pStyle w:val="4"/>
        <w:tabs>
          <w:tab w:val="left" w:pos="709"/>
        </w:tabs>
        <w:spacing w:before="0" w:after="0" w:line="560" w:lineRule="exact"/>
        <w:ind w:firstLine="640" w:firstLineChars="200"/>
        <w:jc w:val="both"/>
        <w:rPr>
          <w:rFonts w:ascii="Times New Roman" w:hAnsi="Times New Roman" w:eastAsia="楷体"/>
          <w:kern w:val="2"/>
        </w:rPr>
      </w:pPr>
      <w:bookmarkStart w:id="129" w:name="_Toc135994614"/>
      <w:r>
        <w:rPr>
          <w:rFonts w:ascii="Times New Roman" w:hAnsi="Times New Roman" w:eastAsia="楷体"/>
          <w:kern w:val="2"/>
        </w:rPr>
        <w:t>附件5危化领域专家库</w:t>
      </w:r>
      <w:bookmarkEnd w:id="129"/>
    </w:p>
    <w:tbl>
      <w:tblPr>
        <w:tblStyle w:val="12"/>
        <w:tblpPr w:leftFromText="180" w:rightFromText="180" w:horzAnchor="margin" w:tblpXSpec="center" w:tblpY="855"/>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276"/>
        <w:gridCol w:w="3118"/>
        <w:gridCol w:w="1278"/>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45" w:type="dxa"/>
            <w:shd w:val="clear" w:color="auto" w:fill="auto"/>
            <w:noWrap/>
            <w:vAlign w:val="center"/>
          </w:tcPr>
          <w:p>
            <w:pPr>
              <w:widowControl/>
              <w:jc w:val="center"/>
              <w:rPr>
                <w:rFonts w:ascii="黑体" w:hAnsi="黑体" w:eastAsia="黑体" w:cs="Times New Roman"/>
                <w:b/>
                <w:bCs/>
                <w:kern w:val="0"/>
                <w:szCs w:val="21"/>
              </w:rPr>
            </w:pPr>
            <w:r>
              <w:rPr>
                <w:rFonts w:ascii="黑体" w:hAnsi="黑体" w:eastAsia="黑体" w:cs="Times New Roman"/>
                <w:b/>
                <w:bCs/>
                <w:kern w:val="0"/>
                <w:szCs w:val="21"/>
              </w:rPr>
              <w:t>序号</w:t>
            </w:r>
          </w:p>
        </w:tc>
        <w:tc>
          <w:tcPr>
            <w:tcW w:w="1276" w:type="dxa"/>
            <w:shd w:val="clear" w:color="auto" w:fill="auto"/>
            <w:vAlign w:val="center"/>
          </w:tcPr>
          <w:p>
            <w:pPr>
              <w:widowControl/>
              <w:jc w:val="center"/>
              <w:rPr>
                <w:rFonts w:ascii="黑体" w:hAnsi="黑体" w:eastAsia="黑体" w:cs="Times New Roman"/>
                <w:b/>
                <w:bCs/>
                <w:kern w:val="0"/>
                <w:szCs w:val="21"/>
              </w:rPr>
            </w:pPr>
            <w:r>
              <w:rPr>
                <w:rFonts w:ascii="黑体" w:hAnsi="黑体" w:eastAsia="黑体" w:cs="Times New Roman"/>
                <w:b/>
                <w:bCs/>
                <w:kern w:val="0"/>
                <w:szCs w:val="21"/>
              </w:rPr>
              <w:t>姓名</w:t>
            </w:r>
          </w:p>
        </w:tc>
        <w:tc>
          <w:tcPr>
            <w:tcW w:w="3118" w:type="dxa"/>
            <w:shd w:val="clear" w:color="auto" w:fill="auto"/>
            <w:vAlign w:val="center"/>
          </w:tcPr>
          <w:p>
            <w:pPr>
              <w:widowControl/>
              <w:jc w:val="center"/>
              <w:rPr>
                <w:rFonts w:ascii="黑体" w:hAnsi="黑体" w:eastAsia="黑体" w:cs="Times New Roman"/>
                <w:b/>
                <w:bCs/>
                <w:kern w:val="0"/>
                <w:szCs w:val="21"/>
              </w:rPr>
            </w:pPr>
            <w:r>
              <w:rPr>
                <w:rFonts w:ascii="黑体" w:hAnsi="黑体" w:eastAsia="黑体" w:cs="Times New Roman"/>
                <w:b/>
                <w:bCs/>
                <w:kern w:val="0"/>
                <w:szCs w:val="21"/>
              </w:rPr>
              <w:t>所属单位</w:t>
            </w:r>
          </w:p>
        </w:tc>
        <w:tc>
          <w:tcPr>
            <w:tcW w:w="1278" w:type="dxa"/>
            <w:shd w:val="clear" w:color="auto" w:fill="auto"/>
            <w:vAlign w:val="center"/>
          </w:tcPr>
          <w:p>
            <w:pPr>
              <w:widowControl/>
              <w:jc w:val="center"/>
              <w:rPr>
                <w:rFonts w:ascii="黑体" w:hAnsi="黑体" w:eastAsia="黑体" w:cs="Times New Roman"/>
                <w:b/>
                <w:bCs/>
                <w:kern w:val="0"/>
                <w:szCs w:val="21"/>
              </w:rPr>
            </w:pPr>
            <w:r>
              <w:rPr>
                <w:rFonts w:ascii="黑体" w:hAnsi="黑体" w:eastAsia="黑体" w:cs="Times New Roman"/>
                <w:b/>
                <w:bCs/>
                <w:kern w:val="0"/>
                <w:szCs w:val="21"/>
              </w:rPr>
              <w:t>擅长领域</w:t>
            </w:r>
          </w:p>
        </w:tc>
        <w:tc>
          <w:tcPr>
            <w:tcW w:w="1779" w:type="dxa"/>
            <w:shd w:val="clear" w:color="auto" w:fill="auto"/>
            <w:vAlign w:val="center"/>
          </w:tcPr>
          <w:p>
            <w:pPr>
              <w:widowControl/>
              <w:jc w:val="center"/>
              <w:rPr>
                <w:rFonts w:ascii="黑体" w:hAnsi="黑体" w:eastAsia="黑体" w:cs="Times New Roman"/>
                <w:b/>
                <w:bCs/>
                <w:kern w:val="0"/>
                <w:szCs w:val="21"/>
              </w:rPr>
            </w:pPr>
            <w:r>
              <w:rPr>
                <w:rFonts w:ascii="黑体" w:hAnsi="黑体" w:eastAsia="黑体" w:cs="Times New Roman"/>
                <w:b/>
                <w:bCs/>
                <w:kern w:val="0"/>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45" w:type="dxa"/>
            <w:shd w:val="clear" w:color="auto" w:fill="auto"/>
            <w:noWrap/>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1</w:t>
            </w:r>
          </w:p>
        </w:tc>
        <w:tc>
          <w:tcPr>
            <w:tcW w:w="1276" w:type="dxa"/>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陈丽</w:t>
            </w:r>
          </w:p>
        </w:tc>
        <w:tc>
          <w:tcPr>
            <w:tcW w:w="3118" w:type="dxa"/>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内蒙古荣信化工有限公司</w:t>
            </w:r>
          </w:p>
        </w:tc>
        <w:tc>
          <w:tcPr>
            <w:tcW w:w="1278" w:type="dxa"/>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危化领域</w:t>
            </w:r>
          </w:p>
        </w:tc>
        <w:tc>
          <w:tcPr>
            <w:tcW w:w="1779" w:type="dxa"/>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18247746827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45" w:type="dxa"/>
            <w:shd w:val="clear" w:color="auto" w:fill="auto"/>
            <w:noWrap/>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2</w:t>
            </w:r>
          </w:p>
        </w:tc>
        <w:tc>
          <w:tcPr>
            <w:tcW w:w="1276" w:type="dxa"/>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庞德河</w:t>
            </w:r>
          </w:p>
        </w:tc>
        <w:tc>
          <w:tcPr>
            <w:tcW w:w="3118" w:type="dxa"/>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河内蒙古荣信化工有限公司</w:t>
            </w:r>
          </w:p>
        </w:tc>
        <w:tc>
          <w:tcPr>
            <w:tcW w:w="1278" w:type="dxa"/>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危化领域</w:t>
            </w:r>
          </w:p>
        </w:tc>
        <w:tc>
          <w:tcPr>
            <w:tcW w:w="1779" w:type="dxa"/>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15047596318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45" w:type="dxa"/>
            <w:shd w:val="clear" w:color="auto" w:fill="auto"/>
            <w:noWrap/>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3</w:t>
            </w:r>
          </w:p>
        </w:tc>
        <w:tc>
          <w:tcPr>
            <w:tcW w:w="1276" w:type="dxa"/>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陶美玲</w:t>
            </w:r>
          </w:p>
        </w:tc>
        <w:tc>
          <w:tcPr>
            <w:tcW w:w="3118" w:type="dxa"/>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内蒙古荣信化工有限公司</w:t>
            </w:r>
          </w:p>
        </w:tc>
        <w:tc>
          <w:tcPr>
            <w:tcW w:w="1278" w:type="dxa"/>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危化领域</w:t>
            </w:r>
          </w:p>
        </w:tc>
        <w:tc>
          <w:tcPr>
            <w:tcW w:w="1779" w:type="dxa"/>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18747785526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45" w:type="dxa"/>
            <w:shd w:val="clear" w:color="auto" w:fill="auto"/>
            <w:noWrap/>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4</w:t>
            </w:r>
          </w:p>
        </w:tc>
        <w:tc>
          <w:tcPr>
            <w:tcW w:w="1276" w:type="dxa"/>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吴桂山</w:t>
            </w:r>
          </w:p>
        </w:tc>
        <w:tc>
          <w:tcPr>
            <w:tcW w:w="3118" w:type="dxa"/>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新能能源有限公司</w:t>
            </w:r>
          </w:p>
        </w:tc>
        <w:tc>
          <w:tcPr>
            <w:tcW w:w="1278" w:type="dxa"/>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危化领域</w:t>
            </w:r>
          </w:p>
        </w:tc>
        <w:tc>
          <w:tcPr>
            <w:tcW w:w="1779" w:type="dxa"/>
            <w:shd w:val="clear" w:color="auto" w:fill="auto"/>
            <w:vAlign w:val="center"/>
          </w:tcPr>
          <w:p>
            <w:pPr>
              <w:jc w:val="center"/>
              <w:rPr>
                <w:rFonts w:ascii="宋体" w:hAnsi="宋体" w:eastAsia="宋体" w:cs="Times New Roman"/>
                <w:kern w:val="0"/>
                <w:szCs w:val="21"/>
              </w:rPr>
            </w:pPr>
            <w:r>
              <w:rPr>
                <w:rFonts w:ascii="宋体" w:hAnsi="宋体" w:eastAsia="宋体" w:cs="Times New Roman"/>
                <w:kern w:val="0"/>
                <w:szCs w:val="21"/>
              </w:rPr>
              <w:t>15947334569</w:t>
            </w:r>
          </w:p>
          <w:p>
            <w:pPr>
              <w:widowControl/>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45" w:type="dxa"/>
            <w:shd w:val="clear" w:color="auto" w:fill="auto"/>
            <w:noWrap/>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5</w:t>
            </w:r>
          </w:p>
        </w:tc>
        <w:tc>
          <w:tcPr>
            <w:tcW w:w="1276" w:type="dxa"/>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李维</w:t>
            </w:r>
          </w:p>
        </w:tc>
        <w:tc>
          <w:tcPr>
            <w:tcW w:w="3118" w:type="dxa"/>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新能能源有限公司</w:t>
            </w:r>
          </w:p>
        </w:tc>
        <w:tc>
          <w:tcPr>
            <w:tcW w:w="1278" w:type="dxa"/>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危化领域</w:t>
            </w:r>
          </w:p>
        </w:tc>
        <w:tc>
          <w:tcPr>
            <w:tcW w:w="1779" w:type="dxa"/>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18147747989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45" w:type="dxa"/>
            <w:shd w:val="clear" w:color="auto" w:fill="auto"/>
            <w:noWrap/>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6</w:t>
            </w:r>
          </w:p>
        </w:tc>
        <w:tc>
          <w:tcPr>
            <w:tcW w:w="1276" w:type="dxa"/>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高永</w:t>
            </w:r>
          </w:p>
        </w:tc>
        <w:tc>
          <w:tcPr>
            <w:tcW w:w="3118" w:type="dxa"/>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新能能源有限公司</w:t>
            </w:r>
          </w:p>
        </w:tc>
        <w:tc>
          <w:tcPr>
            <w:tcW w:w="1278" w:type="dxa"/>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危化领域</w:t>
            </w:r>
          </w:p>
        </w:tc>
        <w:tc>
          <w:tcPr>
            <w:tcW w:w="1779" w:type="dxa"/>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13947723993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45" w:type="dxa"/>
            <w:shd w:val="clear" w:color="auto" w:fill="auto"/>
            <w:noWrap/>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7</w:t>
            </w:r>
          </w:p>
        </w:tc>
        <w:tc>
          <w:tcPr>
            <w:tcW w:w="1276" w:type="dxa"/>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白云</w:t>
            </w:r>
          </w:p>
        </w:tc>
        <w:tc>
          <w:tcPr>
            <w:tcW w:w="3118" w:type="dxa"/>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新能能源有限公司</w:t>
            </w:r>
          </w:p>
        </w:tc>
        <w:tc>
          <w:tcPr>
            <w:tcW w:w="1278" w:type="dxa"/>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危化领域</w:t>
            </w:r>
          </w:p>
        </w:tc>
        <w:tc>
          <w:tcPr>
            <w:tcW w:w="1779" w:type="dxa"/>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17747703021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45" w:type="dxa"/>
            <w:shd w:val="clear" w:color="auto" w:fill="auto"/>
            <w:noWrap/>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8</w:t>
            </w:r>
          </w:p>
        </w:tc>
        <w:tc>
          <w:tcPr>
            <w:tcW w:w="1276" w:type="dxa"/>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宋志富</w:t>
            </w:r>
          </w:p>
        </w:tc>
        <w:tc>
          <w:tcPr>
            <w:tcW w:w="3118" w:type="dxa"/>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新能能源有限公司</w:t>
            </w:r>
          </w:p>
        </w:tc>
        <w:tc>
          <w:tcPr>
            <w:tcW w:w="1278" w:type="dxa"/>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危化领域</w:t>
            </w:r>
          </w:p>
        </w:tc>
        <w:tc>
          <w:tcPr>
            <w:tcW w:w="1779" w:type="dxa"/>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15047719255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45" w:type="dxa"/>
            <w:shd w:val="clear" w:color="auto" w:fill="auto"/>
            <w:noWrap/>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9</w:t>
            </w:r>
          </w:p>
        </w:tc>
        <w:tc>
          <w:tcPr>
            <w:tcW w:w="1276" w:type="dxa"/>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李丕海</w:t>
            </w:r>
          </w:p>
        </w:tc>
        <w:tc>
          <w:tcPr>
            <w:tcW w:w="3118" w:type="dxa"/>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液化空气（达拉特旗）有限公司</w:t>
            </w:r>
          </w:p>
        </w:tc>
        <w:tc>
          <w:tcPr>
            <w:tcW w:w="1278" w:type="dxa"/>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危化领域</w:t>
            </w:r>
          </w:p>
        </w:tc>
        <w:tc>
          <w:tcPr>
            <w:tcW w:w="1779" w:type="dxa"/>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13845812561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45" w:type="dxa"/>
            <w:shd w:val="clear" w:color="auto" w:fill="auto"/>
            <w:noWrap/>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10</w:t>
            </w:r>
          </w:p>
        </w:tc>
        <w:tc>
          <w:tcPr>
            <w:tcW w:w="1276" w:type="dxa"/>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崔五洲</w:t>
            </w:r>
          </w:p>
        </w:tc>
        <w:tc>
          <w:tcPr>
            <w:tcW w:w="3118" w:type="dxa"/>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内蒙古亿利化学工业有限公司</w:t>
            </w:r>
          </w:p>
        </w:tc>
        <w:tc>
          <w:tcPr>
            <w:tcW w:w="1278" w:type="dxa"/>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危化领域</w:t>
            </w:r>
          </w:p>
        </w:tc>
        <w:tc>
          <w:tcPr>
            <w:tcW w:w="1779" w:type="dxa"/>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15047399927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45" w:type="dxa"/>
            <w:shd w:val="clear" w:color="auto" w:fill="auto"/>
            <w:noWrap/>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11</w:t>
            </w:r>
          </w:p>
        </w:tc>
        <w:tc>
          <w:tcPr>
            <w:tcW w:w="1276" w:type="dxa"/>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李正毅</w:t>
            </w:r>
          </w:p>
        </w:tc>
        <w:tc>
          <w:tcPr>
            <w:tcW w:w="3118" w:type="dxa"/>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内蒙古亿利化学工业有限公司</w:t>
            </w:r>
          </w:p>
        </w:tc>
        <w:tc>
          <w:tcPr>
            <w:tcW w:w="1278" w:type="dxa"/>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危化领域</w:t>
            </w:r>
          </w:p>
        </w:tc>
        <w:tc>
          <w:tcPr>
            <w:tcW w:w="1779" w:type="dxa"/>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15374779006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45" w:type="dxa"/>
            <w:shd w:val="clear" w:color="auto" w:fill="auto"/>
            <w:noWrap/>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12</w:t>
            </w:r>
          </w:p>
        </w:tc>
        <w:tc>
          <w:tcPr>
            <w:tcW w:w="1276" w:type="dxa"/>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鄂鹏</w:t>
            </w:r>
          </w:p>
        </w:tc>
        <w:tc>
          <w:tcPr>
            <w:tcW w:w="3118" w:type="dxa"/>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内蒙古亿利化学工业有限公司</w:t>
            </w:r>
          </w:p>
        </w:tc>
        <w:tc>
          <w:tcPr>
            <w:tcW w:w="1278" w:type="dxa"/>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危化领域</w:t>
            </w:r>
          </w:p>
        </w:tc>
        <w:tc>
          <w:tcPr>
            <w:tcW w:w="1779" w:type="dxa"/>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15947498472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45" w:type="dxa"/>
            <w:shd w:val="clear" w:color="auto" w:fill="auto"/>
            <w:noWrap/>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13</w:t>
            </w:r>
          </w:p>
        </w:tc>
        <w:tc>
          <w:tcPr>
            <w:tcW w:w="1276" w:type="dxa"/>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边永强</w:t>
            </w:r>
          </w:p>
        </w:tc>
        <w:tc>
          <w:tcPr>
            <w:tcW w:w="3118" w:type="dxa"/>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亿利洁能股份有限公司达拉特分公司</w:t>
            </w:r>
          </w:p>
        </w:tc>
        <w:tc>
          <w:tcPr>
            <w:tcW w:w="1278" w:type="dxa"/>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危化领域</w:t>
            </w:r>
          </w:p>
        </w:tc>
        <w:tc>
          <w:tcPr>
            <w:tcW w:w="1779" w:type="dxa"/>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13847978454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45" w:type="dxa"/>
            <w:shd w:val="clear" w:color="auto" w:fill="auto"/>
            <w:noWrap/>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14</w:t>
            </w:r>
          </w:p>
        </w:tc>
        <w:tc>
          <w:tcPr>
            <w:tcW w:w="1276" w:type="dxa"/>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王二春</w:t>
            </w:r>
          </w:p>
        </w:tc>
        <w:tc>
          <w:tcPr>
            <w:tcW w:w="3118" w:type="dxa"/>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亿利洁能股份有限公司达拉特分公司</w:t>
            </w:r>
          </w:p>
        </w:tc>
        <w:tc>
          <w:tcPr>
            <w:tcW w:w="1278" w:type="dxa"/>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危化领域</w:t>
            </w:r>
          </w:p>
        </w:tc>
        <w:tc>
          <w:tcPr>
            <w:tcW w:w="1779" w:type="dxa"/>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15849705035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45" w:type="dxa"/>
            <w:shd w:val="clear" w:color="auto" w:fill="auto"/>
            <w:noWrap/>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15</w:t>
            </w:r>
          </w:p>
        </w:tc>
        <w:tc>
          <w:tcPr>
            <w:tcW w:w="1276" w:type="dxa"/>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赵智伟</w:t>
            </w:r>
          </w:p>
        </w:tc>
        <w:tc>
          <w:tcPr>
            <w:tcW w:w="3118" w:type="dxa"/>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亿利洁能股份有限公司达拉特分公司</w:t>
            </w:r>
          </w:p>
        </w:tc>
        <w:tc>
          <w:tcPr>
            <w:tcW w:w="1278" w:type="dxa"/>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危化领域</w:t>
            </w:r>
          </w:p>
        </w:tc>
        <w:tc>
          <w:tcPr>
            <w:tcW w:w="1779" w:type="dxa"/>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13484770464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45" w:type="dxa"/>
            <w:shd w:val="clear" w:color="auto" w:fill="auto"/>
            <w:noWrap/>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16</w:t>
            </w:r>
          </w:p>
        </w:tc>
        <w:tc>
          <w:tcPr>
            <w:tcW w:w="1276" w:type="dxa"/>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邢贵江</w:t>
            </w:r>
          </w:p>
        </w:tc>
        <w:tc>
          <w:tcPr>
            <w:tcW w:w="3118" w:type="dxa"/>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内蒙古久泰新材料科技股份有限公司</w:t>
            </w:r>
          </w:p>
        </w:tc>
        <w:tc>
          <w:tcPr>
            <w:tcW w:w="1278" w:type="dxa"/>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危化领域</w:t>
            </w:r>
          </w:p>
        </w:tc>
        <w:tc>
          <w:tcPr>
            <w:tcW w:w="1779" w:type="dxa"/>
            <w:shd w:val="clear" w:color="auto" w:fill="auto"/>
            <w:vAlign w:val="center"/>
          </w:tcPr>
          <w:p>
            <w:pPr>
              <w:jc w:val="center"/>
              <w:rPr>
                <w:rFonts w:ascii="宋体" w:hAnsi="宋体" w:eastAsia="宋体" w:cs="Times New Roman"/>
                <w:kern w:val="0"/>
                <w:szCs w:val="21"/>
              </w:rPr>
            </w:pPr>
            <w:r>
              <w:rPr>
                <w:rFonts w:ascii="宋体" w:hAnsi="宋体" w:eastAsia="宋体" w:cs="Times New Roman"/>
                <w:kern w:val="0"/>
                <w:szCs w:val="21"/>
              </w:rPr>
              <w:t>15149766712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45" w:type="dxa"/>
            <w:shd w:val="clear" w:color="auto" w:fill="auto"/>
            <w:noWrap/>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17</w:t>
            </w:r>
          </w:p>
        </w:tc>
        <w:tc>
          <w:tcPr>
            <w:tcW w:w="1276" w:type="dxa"/>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张冀东</w:t>
            </w:r>
          </w:p>
        </w:tc>
        <w:tc>
          <w:tcPr>
            <w:tcW w:w="3118" w:type="dxa"/>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内蒙古经纬安全技术咨询有限责任公司</w:t>
            </w:r>
          </w:p>
        </w:tc>
        <w:tc>
          <w:tcPr>
            <w:tcW w:w="1278" w:type="dxa"/>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危化领域</w:t>
            </w:r>
          </w:p>
        </w:tc>
        <w:tc>
          <w:tcPr>
            <w:tcW w:w="1779" w:type="dxa"/>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15598425565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45" w:type="dxa"/>
            <w:shd w:val="clear" w:color="auto" w:fill="auto"/>
            <w:noWrap/>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18</w:t>
            </w:r>
          </w:p>
        </w:tc>
        <w:tc>
          <w:tcPr>
            <w:tcW w:w="1276" w:type="dxa"/>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丁广玲</w:t>
            </w:r>
          </w:p>
        </w:tc>
        <w:tc>
          <w:tcPr>
            <w:tcW w:w="3118" w:type="dxa"/>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内蒙古潭洋安全技术咨询有限责任公司</w:t>
            </w:r>
          </w:p>
        </w:tc>
        <w:tc>
          <w:tcPr>
            <w:tcW w:w="1278" w:type="dxa"/>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危化领域</w:t>
            </w:r>
          </w:p>
        </w:tc>
        <w:tc>
          <w:tcPr>
            <w:tcW w:w="1779" w:type="dxa"/>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13947200206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45" w:type="dxa"/>
            <w:shd w:val="clear" w:color="auto" w:fill="auto"/>
            <w:noWrap/>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19</w:t>
            </w:r>
          </w:p>
        </w:tc>
        <w:tc>
          <w:tcPr>
            <w:tcW w:w="1276" w:type="dxa"/>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代强</w:t>
            </w:r>
          </w:p>
        </w:tc>
        <w:tc>
          <w:tcPr>
            <w:tcW w:w="3118" w:type="dxa"/>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内蒙古经纬安全技术咨询有限责任公司</w:t>
            </w:r>
          </w:p>
        </w:tc>
        <w:tc>
          <w:tcPr>
            <w:tcW w:w="1278" w:type="dxa"/>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危化领域</w:t>
            </w:r>
          </w:p>
        </w:tc>
        <w:tc>
          <w:tcPr>
            <w:tcW w:w="1779" w:type="dxa"/>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15332930986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45" w:type="dxa"/>
            <w:shd w:val="clear" w:color="auto" w:fill="auto"/>
            <w:noWrap/>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20</w:t>
            </w:r>
          </w:p>
        </w:tc>
        <w:tc>
          <w:tcPr>
            <w:tcW w:w="1276" w:type="dxa"/>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陈静</w:t>
            </w:r>
          </w:p>
        </w:tc>
        <w:tc>
          <w:tcPr>
            <w:tcW w:w="3118" w:type="dxa"/>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包头燃气供热协会</w:t>
            </w:r>
          </w:p>
        </w:tc>
        <w:tc>
          <w:tcPr>
            <w:tcW w:w="1278" w:type="dxa"/>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危化领域</w:t>
            </w:r>
          </w:p>
        </w:tc>
        <w:tc>
          <w:tcPr>
            <w:tcW w:w="1779" w:type="dxa"/>
            <w:shd w:val="clear" w:color="auto" w:fill="auto"/>
            <w:vAlign w:val="center"/>
          </w:tcPr>
          <w:p>
            <w:pPr>
              <w:widowControl/>
              <w:jc w:val="center"/>
              <w:rPr>
                <w:rFonts w:ascii="宋体" w:hAnsi="宋体" w:eastAsia="宋体" w:cs="Times New Roman"/>
                <w:kern w:val="0"/>
                <w:szCs w:val="21"/>
              </w:rPr>
            </w:pPr>
            <w:r>
              <w:rPr>
                <w:rFonts w:ascii="宋体" w:hAnsi="宋体" w:eastAsia="宋体" w:cs="Times New Roman"/>
                <w:kern w:val="0"/>
                <w:szCs w:val="21"/>
              </w:rPr>
              <w:t>18047201978</w:t>
            </w:r>
          </w:p>
        </w:tc>
      </w:tr>
    </w:tbl>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sectPr>
          <w:pgSz w:w="11906" w:h="16838"/>
          <w:pgMar w:top="1440" w:right="1800" w:bottom="1440" w:left="1800" w:header="851" w:footer="992" w:gutter="0"/>
          <w:cols w:space="425" w:num="1"/>
          <w:docGrid w:type="lines" w:linePitch="312" w:charSpace="0"/>
        </w:sectPr>
      </w:pPr>
    </w:p>
    <w:p>
      <w:pPr>
        <w:pStyle w:val="4"/>
        <w:tabs>
          <w:tab w:val="left" w:pos="709"/>
        </w:tabs>
        <w:spacing w:before="0" w:after="0" w:line="560" w:lineRule="exact"/>
        <w:ind w:firstLine="640" w:firstLineChars="200"/>
        <w:jc w:val="both"/>
        <w:rPr>
          <w:rFonts w:ascii="Times New Roman" w:hAnsi="Times New Roman" w:eastAsia="楷体"/>
          <w:kern w:val="2"/>
        </w:rPr>
      </w:pPr>
      <w:bookmarkStart w:id="130" w:name="_Toc124760799"/>
      <w:bookmarkStart w:id="131" w:name="_Toc135994615"/>
      <w:bookmarkStart w:id="132" w:name="_Toc124897934"/>
      <w:r>
        <w:rPr>
          <w:rFonts w:ascii="Times New Roman" w:hAnsi="Times New Roman" w:eastAsia="楷体"/>
          <w:kern w:val="2"/>
        </w:rPr>
        <w:t>附件6达拉特旗重点医院清单</w:t>
      </w:r>
      <w:bookmarkEnd w:id="130"/>
      <w:r>
        <w:rPr>
          <w:rFonts w:ascii="Times New Roman" w:hAnsi="Times New Roman" w:eastAsia="楷体"/>
          <w:kern w:val="2"/>
        </w:rPr>
        <w:t>及地理位置图</w:t>
      </w:r>
      <w:bookmarkEnd w:id="131"/>
      <w:bookmarkEnd w:id="132"/>
    </w:p>
    <w:tbl>
      <w:tblPr>
        <w:tblStyle w:val="13"/>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8"/>
        <w:gridCol w:w="3204"/>
        <w:gridCol w:w="2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8" w:type="dxa"/>
            <w:vAlign w:val="center"/>
          </w:tcPr>
          <w:p>
            <w:pPr>
              <w:jc w:val="center"/>
              <w:rPr>
                <w:rFonts w:ascii="黑体" w:hAnsi="黑体" w:eastAsia="黑体" w:cs="Times New Roman"/>
                <w:b/>
                <w:bCs/>
                <w:kern w:val="0"/>
                <w:szCs w:val="21"/>
              </w:rPr>
            </w:pPr>
            <w:bookmarkStart w:id="133" w:name="_Toc125047711"/>
            <w:bookmarkStart w:id="134" w:name="_Toc124849644"/>
            <w:bookmarkStart w:id="135" w:name="_Toc125019867"/>
            <w:bookmarkStart w:id="136" w:name="_Toc125031290"/>
            <w:bookmarkStart w:id="137" w:name="_Toc124760800"/>
            <w:bookmarkStart w:id="138" w:name="_Toc124897935"/>
            <w:r>
              <w:rPr>
                <w:rFonts w:ascii="黑体" w:hAnsi="黑体" w:eastAsia="黑体" w:cs="Times New Roman"/>
                <w:b/>
                <w:bCs/>
                <w:kern w:val="0"/>
                <w:szCs w:val="21"/>
              </w:rPr>
              <w:t>医院名称</w:t>
            </w:r>
            <w:bookmarkEnd w:id="133"/>
            <w:bookmarkEnd w:id="134"/>
            <w:bookmarkEnd w:id="135"/>
            <w:bookmarkEnd w:id="136"/>
            <w:bookmarkEnd w:id="137"/>
            <w:bookmarkEnd w:id="138"/>
          </w:p>
        </w:tc>
        <w:tc>
          <w:tcPr>
            <w:tcW w:w="3204" w:type="dxa"/>
            <w:vAlign w:val="center"/>
          </w:tcPr>
          <w:p>
            <w:pPr>
              <w:jc w:val="center"/>
              <w:rPr>
                <w:rFonts w:ascii="黑体" w:hAnsi="黑体" w:eastAsia="黑体" w:cs="Times New Roman"/>
                <w:b/>
                <w:bCs/>
                <w:kern w:val="0"/>
                <w:szCs w:val="21"/>
              </w:rPr>
            </w:pPr>
            <w:bookmarkStart w:id="139" w:name="_Toc125031291"/>
            <w:bookmarkStart w:id="140" w:name="_Toc124897936"/>
            <w:bookmarkStart w:id="141" w:name="_Toc124760801"/>
            <w:bookmarkStart w:id="142" w:name="_Toc124849645"/>
            <w:bookmarkStart w:id="143" w:name="_Toc125047712"/>
            <w:bookmarkStart w:id="144" w:name="_Toc125019868"/>
            <w:r>
              <w:rPr>
                <w:rFonts w:ascii="黑体" w:hAnsi="黑体" w:eastAsia="黑体" w:cs="Times New Roman"/>
                <w:b/>
                <w:bCs/>
                <w:kern w:val="0"/>
                <w:szCs w:val="21"/>
              </w:rPr>
              <w:t>地址</w:t>
            </w:r>
            <w:bookmarkEnd w:id="139"/>
            <w:bookmarkEnd w:id="140"/>
            <w:bookmarkEnd w:id="141"/>
            <w:bookmarkEnd w:id="142"/>
            <w:bookmarkEnd w:id="143"/>
            <w:bookmarkEnd w:id="144"/>
          </w:p>
        </w:tc>
        <w:tc>
          <w:tcPr>
            <w:tcW w:w="2684" w:type="dxa"/>
            <w:vAlign w:val="center"/>
          </w:tcPr>
          <w:p>
            <w:pPr>
              <w:jc w:val="center"/>
              <w:rPr>
                <w:rFonts w:ascii="黑体" w:hAnsi="黑体" w:eastAsia="黑体" w:cs="Times New Roman"/>
                <w:b/>
                <w:bCs/>
                <w:kern w:val="0"/>
                <w:szCs w:val="21"/>
              </w:rPr>
            </w:pPr>
            <w:bookmarkStart w:id="145" w:name="_Toc124897937"/>
            <w:bookmarkStart w:id="146" w:name="_Toc124760802"/>
            <w:bookmarkStart w:id="147" w:name="_Toc124849646"/>
            <w:bookmarkStart w:id="148" w:name="_Toc125019869"/>
            <w:bookmarkStart w:id="149" w:name="_Toc125031292"/>
            <w:bookmarkStart w:id="150" w:name="_Toc125047713"/>
            <w:r>
              <w:rPr>
                <w:rFonts w:ascii="黑体" w:hAnsi="黑体" w:eastAsia="黑体" w:cs="Times New Roman"/>
                <w:b/>
                <w:bCs/>
                <w:kern w:val="0"/>
                <w:szCs w:val="21"/>
              </w:rPr>
              <w:t>联系电话</w:t>
            </w:r>
            <w:bookmarkEnd w:id="145"/>
            <w:bookmarkEnd w:id="146"/>
            <w:bookmarkEnd w:id="147"/>
            <w:bookmarkEnd w:id="148"/>
            <w:bookmarkEnd w:id="149"/>
            <w:bookmarkEnd w:id="1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408" w:type="dxa"/>
            <w:vAlign w:val="center"/>
          </w:tcPr>
          <w:p>
            <w:pPr>
              <w:jc w:val="center"/>
              <w:rPr>
                <w:rFonts w:ascii="宋体" w:hAnsi="宋体" w:eastAsia="宋体" w:cs="Times New Roman"/>
                <w:kern w:val="0"/>
                <w:szCs w:val="21"/>
              </w:rPr>
            </w:pPr>
            <w:r>
              <w:rPr>
                <w:rFonts w:ascii="宋体" w:hAnsi="宋体" w:eastAsia="宋体" w:cs="Times New Roman"/>
                <w:kern w:val="0"/>
                <w:szCs w:val="21"/>
              </w:rPr>
              <w:t>鄂尔多斯市达拉特旗人民医院</w:t>
            </w:r>
          </w:p>
        </w:tc>
        <w:tc>
          <w:tcPr>
            <w:tcW w:w="3204" w:type="dxa"/>
            <w:vAlign w:val="center"/>
          </w:tcPr>
          <w:p>
            <w:pPr>
              <w:jc w:val="center"/>
              <w:rPr>
                <w:rFonts w:ascii="宋体" w:hAnsi="宋体" w:eastAsia="宋体" w:cs="Times New Roman"/>
                <w:kern w:val="0"/>
                <w:szCs w:val="21"/>
              </w:rPr>
            </w:pPr>
            <w:r>
              <w:rPr>
                <w:rFonts w:ascii="宋体" w:hAnsi="宋体" w:eastAsia="宋体" w:cs="Times New Roman"/>
                <w:kern w:val="0"/>
                <w:szCs w:val="21"/>
              </w:rPr>
              <w:t>达拉特旗德胜大街北50米</w:t>
            </w:r>
          </w:p>
        </w:tc>
        <w:tc>
          <w:tcPr>
            <w:tcW w:w="2684" w:type="dxa"/>
            <w:vAlign w:val="center"/>
          </w:tcPr>
          <w:p>
            <w:pPr>
              <w:jc w:val="center"/>
              <w:rPr>
                <w:rFonts w:ascii="宋体" w:hAnsi="宋体" w:eastAsia="宋体" w:cs="Times New Roman"/>
                <w:kern w:val="0"/>
                <w:szCs w:val="21"/>
              </w:rPr>
            </w:pPr>
            <w:r>
              <w:rPr>
                <w:rFonts w:ascii="宋体" w:hAnsi="宋体" w:eastAsia="宋体" w:cs="Times New Roman"/>
                <w:kern w:val="0"/>
                <w:szCs w:val="21"/>
              </w:rPr>
              <w:t>0477-3946991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408" w:type="dxa"/>
            <w:vAlign w:val="center"/>
          </w:tcPr>
          <w:p>
            <w:pPr>
              <w:jc w:val="center"/>
              <w:rPr>
                <w:rFonts w:ascii="宋体" w:hAnsi="宋体" w:eastAsia="宋体" w:cs="Times New Roman"/>
                <w:kern w:val="0"/>
                <w:szCs w:val="21"/>
              </w:rPr>
            </w:pPr>
            <w:r>
              <w:rPr>
                <w:rFonts w:ascii="宋体" w:hAnsi="宋体" w:eastAsia="宋体" w:cs="Times New Roman"/>
                <w:kern w:val="0"/>
                <w:szCs w:val="21"/>
              </w:rPr>
              <w:t>达拉特旗中蒙医医院</w:t>
            </w:r>
          </w:p>
        </w:tc>
        <w:tc>
          <w:tcPr>
            <w:tcW w:w="3204" w:type="dxa"/>
            <w:vAlign w:val="center"/>
          </w:tcPr>
          <w:p>
            <w:pPr>
              <w:jc w:val="center"/>
              <w:rPr>
                <w:rFonts w:ascii="宋体" w:hAnsi="宋体" w:eastAsia="宋体" w:cs="Times New Roman"/>
                <w:kern w:val="0"/>
                <w:szCs w:val="21"/>
              </w:rPr>
            </w:pPr>
            <w:r>
              <w:rPr>
                <w:rFonts w:ascii="宋体" w:hAnsi="宋体" w:eastAsia="宋体" w:cs="Times New Roman"/>
                <w:kern w:val="0"/>
                <w:szCs w:val="21"/>
              </w:rPr>
              <w:t>达拉特旗平原大街与建设路交汇处西北侧70米</w:t>
            </w:r>
          </w:p>
        </w:tc>
        <w:tc>
          <w:tcPr>
            <w:tcW w:w="2684" w:type="dxa"/>
            <w:vAlign w:val="center"/>
          </w:tcPr>
          <w:p>
            <w:pPr>
              <w:jc w:val="center"/>
              <w:rPr>
                <w:rFonts w:ascii="宋体" w:hAnsi="宋体" w:eastAsia="宋体" w:cs="Times New Roman"/>
                <w:kern w:val="0"/>
                <w:szCs w:val="21"/>
              </w:rPr>
            </w:pPr>
            <w:r>
              <w:rPr>
                <w:rFonts w:ascii="宋体" w:hAnsi="宋体" w:eastAsia="宋体" w:cs="Times New Roman"/>
                <w:kern w:val="0"/>
                <w:szCs w:val="21"/>
              </w:rPr>
              <w:t>0477-3946038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408" w:type="dxa"/>
            <w:vAlign w:val="center"/>
          </w:tcPr>
          <w:p>
            <w:pPr>
              <w:jc w:val="center"/>
              <w:rPr>
                <w:rFonts w:ascii="宋体" w:hAnsi="宋体" w:eastAsia="宋体" w:cs="Times New Roman"/>
                <w:kern w:val="0"/>
                <w:szCs w:val="21"/>
              </w:rPr>
            </w:pPr>
            <w:r>
              <w:rPr>
                <w:rFonts w:ascii="宋体" w:hAnsi="宋体" w:eastAsia="宋体" w:cs="Times New Roman"/>
                <w:kern w:val="0"/>
                <w:szCs w:val="21"/>
              </w:rPr>
              <w:t>达旗妇幼保健院</w:t>
            </w:r>
          </w:p>
        </w:tc>
        <w:tc>
          <w:tcPr>
            <w:tcW w:w="3204" w:type="dxa"/>
            <w:vAlign w:val="center"/>
          </w:tcPr>
          <w:p>
            <w:pPr>
              <w:jc w:val="center"/>
              <w:rPr>
                <w:rFonts w:ascii="宋体" w:hAnsi="宋体" w:eastAsia="宋体" w:cs="Times New Roman"/>
                <w:kern w:val="0"/>
                <w:szCs w:val="21"/>
              </w:rPr>
            </w:pPr>
            <w:r>
              <w:rPr>
                <w:rFonts w:ascii="宋体" w:hAnsi="宋体" w:eastAsia="宋体" w:cs="Times New Roman"/>
                <w:kern w:val="0"/>
                <w:szCs w:val="21"/>
              </w:rPr>
              <w:t>达拉特旗平原街道西园路海业家园北100米</w:t>
            </w:r>
          </w:p>
        </w:tc>
        <w:tc>
          <w:tcPr>
            <w:tcW w:w="2684" w:type="dxa"/>
            <w:vAlign w:val="center"/>
          </w:tcPr>
          <w:p>
            <w:pPr>
              <w:jc w:val="center"/>
              <w:rPr>
                <w:rFonts w:ascii="宋体" w:hAnsi="宋体" w:eastAsia="宋体" w:cs="Times New Roman"/>
                <w:kern w:val="0"/>
                <w:szCs w:val="21"/>
              </w:rPr>
            </w:pPr>
            <w:r>
              <w:rPr>
                <w:rFonts w:ascii="宋体" w:hAnsi="宋体" w:eastAsia="宋体" w:cs="Times New Roman"/>
                <w:kern w:val="0"/>
                <w:szCs w:val="21"/>
              </w:rPr>
              <w:t>0477-2257788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2408" w:type="dxa"/>
            <w:vAlign w:val="center"/>
          </w:tcPr>
          <w:p>
            <w:pPr>
              <w:jc w:val="center"/>
              <w:rPr>
                <w:rFonts w:ascii="宋体" w:hAnsi="宋体" w:eastAsia="宋体" w:cs="Times New Roman"/>
                <w:kern w:val="0"/>
                <w:szCs w:val="21"/>
              </w:rPr>
            </w:pPr>
            <w:r>
              <w:rPr>
                <w:rFonts w:ascii="宋体" w:hAnsi="宋体" w:eastAsia="宋体" w:cs="Times New Roman"/>
                <w:kern w:val="0"/>
                <w:szCs w:val="21"/>
              </w:rPr>
              <w:t>达拉特旗中医院</w:t>
            </w:r>
          </w:p>
        </w:tc>
        <w:tc>
          <w:tcPr>
            <w:tcW w:w="3204" w:type="dxa"/>
            <w:vAlign w:val="center"/>
          </w:tcPr>
          <w:p>
            <w:pPr>
              <w:jc w:val="center"/>
              <w:rPr>
                <w:rFonts w:ascii="宋体" w:hAnsi="宋体" w:eastAsia="宋体" w:cs="Times New Roman"/>
                <w:kern w:val="0"/>
                <w:szCs w:val="21"/>
              </w:rPr>
            </w:pPr>
            <w:r>
              <w:rPr>
                <w:rFonts w:ascii="宋体" w:hAnsi="宋体" w:eastAsia="宋体" w:cs="Times New Roman"/>
                <w:kern w:val="0"/>
                <w:szCs w:val="21"/>
              </w:rPr>
              <w:t>达拉特旗内蒙古达拉特经济开发区管委会附近</w:t>
            </w:r>
          </w:p>
        </w:tc>
        <w:tc>
          <w:tcPr>
            <w:tcW w:w="2684" w:type="dxa"/>
            <w:vAlign w:val="center"/>
          </w:tcPr>
          <w:p>
            <w:pPr>
              <w:jc w:val="center"/>
              <w:rPr>
                <w:rFonts w:ascii="宋体" w:hAnsi="宋体" w:eastAsia="宋体" w:cs="Times New Roman"/>
                <w:kern w:val="0"/>
                <w:szCs w:val="21"/>
              </w:rPr>
            </w:pPr>
            <w:r>
              <w:rPr>
                <w:rFonts w:ascii="宋体" w:hAnsi="宋体" w:eastAsia="宋体" w:cs="Times New Roman"/>
                <w:kern w:val="0"/>
                <w:szCs w:val="21"/>
              </w:rPr>
              <w:t>0477-5213140;5212563</w:t>
            </w:r>
          </w:p>
        </w:tc>
      </w:tr>
    </w:tbl>
    <w:p>
      <w:pPr>
        <w:widowControl/>
        <w:spacing w:after="200" w:line="276" w:lineRule="auto"/>
        <w:jc w:val="center"/>
        <w:rPr>
          <w:rFonts w:ascii="Times New Roman" w:hAnsi="Times New Roman" w:eastAsia="宋体" w:cs="Times New Roman"/>
          <w:kern w:val="0"/>
          <w:sz w:val="22"/>
        </w:rPr>
      </w:pPr>
      <w:r>
        <w:rPr>
          <w:rFonts w:ascii="Times New Roman" w:hAnsi="Times New Roman" w:eastAsia="宋体" w:cs="Times New Roman"/>
          <w:kern w:val="0"/>
          <w:sz w:val="22"/>
        </w:rPr>
        <w:drawing>
          <wp:inline distT="0" distB="0" distL="0" distR="0">
            <wp:extent cx="4463415" cy="2607310"/>
            <wp:effectExtent l="0" t="0" r="13335"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cstate="print"/>
                    <a:stretch>
                      <a:fillRect/>
                    </a:stretch>
                  </pic:blipFill>
                  <pic:spPr>
                    <a:xfrm>
                      <a:off x="0" y="0"/>
                      <a:ext cx="4470738" cy="2611305"/>
                    </a:xfrm>
                    <a:prstGeom prst="rect">
                      <a:avLst/>
                    </a:prstGeom>
                  </pic:spPr>
                </pic:pic>
              </a:graphicData>
            </a:graphic>
          </wp:inline>
        </w:drawing>
      </w:r>
    </w:p>
    <w:p>
      <w:pPr>
        <w:spacing w:line="560" w:lineRule="exact"/>
        <w:rPr>
          <w:rFonts w:ascii="Times New Roman" w:hAnsi="Times New Roman" w:eastAsia="仿宋_GB2312" w:cs="Times New Roman"/>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4199798"/>
    </w:sdtPr>
    <w:sdtContent>
      <w:p>
        <w:pPr>
          <w:pStyle w:val="8"/>
          <w:jc w:val="center"/>
        </w:pPr>
        <w:r>
          <w:fldChar w:fldCharType="begin"/>
        </w:r>
        <w:r>
          <w:instrText xml:space="preserve">PAGE   \* MERGEFORMAT</w:instrText>
        </w:r>
        <w:r>
          <w:fldChar w:fldCharType="separate"/>
        </w:r>
        <w:r>
          <w:rPr>
            <w:lang w:val="zh-CN"/>
          </w:rPr>
          <w:t>33</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xNzk2NGIzYmY1NTUxMzkyODJmNDYwYzUzN2JkOTQifQ=="/>
  </w:docVars>
  <w:rsids>
    <w:rsidRoot w:val="00000000"/>
    <w:rsid w:val="2C67431E"/>
    <w:rsid w:val="33171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5"/>
    <w:next w:val="6"/>
    <w:qFormat/>
    <w:uiPriority w:val="0"/>
    <w:pPr>
      <w:keepNext/>
      <w:keepLines/>
      <w:spacing w:before="260" w:after="260" w:line="415" w:lineRule="auto"/>
      <w:outlineLvl w:val="1"/>
    </w:pPr>
    <w:rPr>
      <w:rFonts w:ascii="Arial" w:hAnsi="Arial" w:eastAsia="黑体"/>
      <w:b w:val="0"/>
      <w:bCs w:val="0"/>
      <w:kern w:val="0"/>
    </w:rPr>
  </w:style>
  <w:style w:type="character" w:default="1" w:styleId="14">
    <w:name w:val="Default Paragraph Font"/>
    <w:semiHidden/>
    <w:uiPriority w:val="0"/>
  </w:style>
  <w:style w:type="table" w:default="1" w:styleId="12">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rPr>
      <w:kern w:val="0"/>
      <w:sz w:val="20"/>
    </w:rPr>
  </w:style>
  <w:style w:type="paragraph" w:styleId="5">
    <w:name w:val="Title"/>
    <w:basedOn w:val="1"/>
    <w:next w:val="1"/>
    <w:qFormat/>
    <w:uiPriority w:val="10"/>
    <w:pPr>
      <w:spacing w:before="240" w:after="60"/>
      <w:jc w:val="center"/>
      <w:outlineLvl w:val="0"/>
    </w:pPr>
    <w:rPr>
      <w:rFonts w:ascii="Cambria" w:hAnsi="Cambria" w:eastAsia="宋体" w:cs="Times New Roman"/>
      <w:b/>
      <w:bCs/>
      <w:sz w:val="32"/>
      <w:szCs w:val="32"/>
    </w:rPr>
  </w:style>
  <w:style w:type="paragraph" w:customStyle="1" w:styleId="6">
    <w:name w:val="正文首行缩进1"/>
    <w:basedOn w:val="1"/>
    <w:autoRedefine/>
    <w:qFormat/>
    <w:uiPriority w:val="0"/>
    <w:pPr>
      <w:spacing w:line="360" w:lineRule="auto"/>
      <w:ind w:firstLine="420" w:firstLineChars="200"/>
      <w:jc w:val="left"/>
    </w:pPr>
    <w:rPr>
      <w:rFonts w:ascii="宋体" w:hAnsi="宋体"/>
      <w:sz w:val="24"/>
    </w:rPr>
  </w:style>
  <w:style w:type="paragraph" w:styleId="7">
    <w:name w:val="Plain Text"/>
    <w:basedOn w:val="1"/>
    <w:qFormat/>
    <w:uiPriority w:val="0"/>
    <w:rPr>
      <w:rFonts w:ascii="宋体" w:hAnsi="Courier New" w:eastAsia="宋体" w:cs="Courier New"/>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toc 2"/>
    <w:basedOn w:val="1"/>
    <w:next w:val="1"/>
    <w:unhideWhenUsed/>
    <w:qFormat/>
    <w:uiPriority w:val="39"/>
    <w:pPr>
      <w:ind w:left="420" w:leftChars="200"/>
    </w:pPr>
  </w:style>
  <w:style w:type="table" w:styleId="13">
    <w:name w:val="Table Grid"/>
    <w:basedOn w:val="12"/>
    <w:qFormat/>
    <w:uiPriority w:val="0"/>
    <w:rPr>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026E5"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2024-01-29T03:10:46Z</dcterms:created>
  <dc:creator>Lenovo</dc:creator>
  <cp:lastModifiedBy>Lenovo</cp:lastModifiedBy>
  <dcterms:modified xsi:type="dcterms:W3CDTF">2024-01-29T03:11:34Z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1A6E58D7C5AD42418472E3D936F069EC_13</vt:lpwstr>
  </property>
</Properties>
</file>