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hint="eastAsia" w:ascii="仿宋_GB2312" w:hAnsi="仿宋_GB2312" w:eastAsia="仿宋_GB2312" w:cs="仿宋_GB2312"/>
          <w:color w:val="000000"/>
          <w:spacing w:val="11"/>
          <w:w w:val="93"/>
          <w:kern w:val="0"/>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黑体" w:eastAsia="方正小标宋简体" w:cs="仿宋_GB2312"/>
          <w:bCs/>
          <w:sz w:val="44"/>
          <w:szCs w:val="44"/>
        </w:rPr>
        <w:t>达拉特旗人民政府关于印发</w:t>
      </w:r>
      <w:r>
        <w:rPr>
          <w:rFonts w:hint="eastAsia" w:ascii="方正小标宋简体" w:hAnsi="方正小标宋简体" w:eastAsia="方正小标宋简体" w:cs="方正小标宋简体"/>
          <w:sz w:val="44"/>
          <w:szCs w:val="44"/>
        </w:rPr>
        <w:t>《达拉特旗深入</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贯彻习近平生态文明思想推进全社会资源</w:t>
      </w:r>
    </w:p>
    <w:p>
      <w:pPr>
        <w:spacing w:line="560" w:lineRule="exact"/>
        <w:jc w:val="center"/>
        <w:rPr>
          <w:rFonts w:hint="eastAsia" w:ascii="方正小标宋简体" w:hAnsi="黑体" w:eastAsia="方正小标宋简体" w:cs="仿宋_GB2312"/>
          <w:bCs/>
          <w:sz w:val="44"/>
          <w:szCs w:val="44"/>
        </w:rPr>
      </w:pPr>
      <w:r>
        <w:rPr>
          <w:rFonts w:hint="eastAsia" w:ascii="方正小标宋简体" w:hAnsi="方正小标宋简体" w:eastAsia="方正小标宋简体" w:cs="方正小标宋简体"/>
          <w:sz w:val="44"/>
          <w:szCs w:val="44"/>
        </w:rPr>
        <w:t>全面节约集约的实施方案》</w:t>
      </w:r>
      <w:r>
        <w:rPr>
          <w:rFonts w:hint="eastAsia" w:ascii="方正小标宋简体" w:hAnsi="黑体" w:eastAsia="方正小标宋简体" w:cs="仿宋_GB2312"/>
          <w:bCs/>
          <w:sz w:val="44"/>
          <w:szCs w:val="44"/>
        </w:rPr>
        <w:t>的通知</w:t>
      </w:r>
    </w:p>
    <w:p>
      <w:pPr>
        <w:suppressAutoHyphens/>
        <w:adjustRightInd w:val="0"/>
        <w:snapToGrid w:val="0"/>
        <w:spacing w:line="592" w:lineRule="exact"/>
        <w:rPr>
          <w:rFonts w:hint="eastAsia" w:ascii="仿宋_GB2312" w:hAnsi="仿宋_GB2312" w:eastAsia="仿宋_GB2312" w:cs="仿宋_GB2312"/>
          <w:sz w:val="32"/>
          <w:szCs w:val="32"/>
        </w:rPr>
      </w:pPr>
    </w:p>
    <w:p>
      <w:pPr>
        <w:suppressAutoHyphens/>
        <w:adjustRightInd w:val="0"/>
        <w:snapToGrid w:val="0"/>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11"/>
          <w:w w:val="93"/>
          <w:kern w:val="0"/>
          <w:sz w:val="32"/>
          <w:szCs w:val="32"/>
        </w:rPr>
        <w:t>各苏木镇人民政府，各街道办事处，旗直各有关部门，各开发区（园区）管委会，各直属单位，各企事业单位</w:t>
      </w:r>
      <w:r>
        <w:rPr>
          <w:rFonts w:hint="eastAsia" w:ascii="仿宋_GB2312" w:hAnsi="仿宋_GB2312" w:eastAsia="仿宋_GB2312" w:cs="仿宋_GB2312"/>
          <w:sz w:val="32"/>
          <w:szCs w:val="32"/>
        </w:rPr>
        <w:t>：</w:t>
      </w:r>
    </w:p>
    <w:p>
      <w:pPr>
        <w:spacing w:line="52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现将《达拉特旗深入贯彻习近平生态文明思想推进全社会资源全面节约集约的实施方案》随文印发给你们，请结合实际，认真抓好贯彻落实。</w:t>
      </w:r>
    </w:p>
    <w:p>
      <w:pPr>
        <w:pStyle w:val="2"/>
        <w:ind w:firstLine="640"/>
        <w:rPr>
          <w:rFonts w:hint="eastAsia"/>
          <w:sz w:val="32"/>
          <w:szCs w:val="32"/>
          <w:lang w:bidi="ar"/>
        </w:rPr>
      </w:pPr>
    </w:p>
    <w:p>
      <w:pPr>
        <w:pStyle w:val="2"/>
        <w:ind w:firstLine="640"/>
        <w:rPr>
          <w:rFonts w:hint="eastAsia"/>
          <w:sz w:val="32"/>
          <w:szCs w:val="32"/>
          <w:lang w:bidi="ar"/>
        </w:rPr>
      </w:pPr>
    </w:p>
    <w:p>
      <w:pPr>
        <w:widowControl/>
        <w:spacing w:line="520" w:lineRule="exact"/>
        <w:ind w:firstLine="5270" w:firstLineChars="1700"/>
        <w:jc w:val="left"/>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达拉特旗人民政府　　　　</w:t>
      </w:r>
    </w:p>
    <w:p>
      <w:pPr>
        <w:widowControl/>
        <w:spacing w:line="520" w:lineRule="exact"/>
        <w:ind w:firstLine="5270" w:firstLineChars="1700"/>
        <w:jc w:val="left"/>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仿宋_GB2312" w:hAnsi="宋体" w:eastAsia="仿宋_GB2312" w:cs="仿宋_GB2312"/>
          <w:color w:val="000000"/>
          <w:kern w:val="0"/>
          <w:sz w:val="31"/>
          <w:szCs w:val="31"/>
          <w:lang w:bidi="ar"/>
        </w:rPr>
        <w:t>2023年5月12日</w:t>
      </w: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p>
    <w:p>
      <w:pPr>
        <w:spacing w:line="60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达拉特旗深入贯彻习近平生态文明思想推进</w:t>
      </w:r>
    </w:p>
    <w:p>
      <w:pPr>
        <w:spacing w:line="600" w:lineRule="exact"/>
        <w:jc w:val="center"/>
        <w:rPr>
          <w:rFonts w:hint="eastAsia" w:ascii="楷体" w:hAnsi="楷体" w:eastAsia="楷体" w:cs="楷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全社会资源全面节约集约的实施方案</w:t>
      </w:r>
    </w:p>
    <w:p>
      <w:pPr>
        <w:pStyle w:val="12"/>
        <w:spacing w:line="360" w:lineRule="auto"/>
        <w:ind w:firstLine="883"/>
        <w:rPr>
          <w:rFonts w:hint="eastAsia"/>
          <w:color w:val="000000" w:themeColor="text1"/>
          <w14:textFill>
            <w14:solidFill>
              <w14:schemeClr w14:val="tx1"/>
            </w14:solidFill>
          </w14:textFill>
        </w:rPr>
      </w:pP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鄂尔多斯市深入贯彻习近平生态文明思想推进全社会资源全面节约集约的实施方案》(鄂党发〔2022〕22号)精神，切实提高资源保护和综合利用水平，以尽可能少的资源消耗获得最大的经济效益和社会效益，结合达拉特旗发展实际，制定如下实施方案：</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全面贯彻党的二十大精神，深入贯彻习近平生态文明思想，全面落实习近平总书记对内蒙古的重要指示精神，立足新发展阶段，完整、准确、全面贯彻新发展理念，服务和融入新发展格局，把节约优先摆在更加突出的位置，坚持政府引导、多方参与，坚持突出重点、系统推进，坚持效率优先、创新驱动，充分发挥市场配置资源的决定性作用，推进资源总量管理、科学配置、全面节约、循环利用，增强社会公众节约资源意识，有效控制和减少资源浪费，为维护国家生态安全、能源安全、粮食安全、产业安全提供有力的资源保障，加快建设“探索以生态优先、绿色发展为导向的高质量发展新路子”的先行区。到2025年，全旗能源、矿产、土地、水等重要资源节约集约利用程度明显提高，单位GDP能耗、用水量、建设用地使用面积较2020年分别下降18%、7.5%和16.7%,各类矿山资源开采回采率、选矿回收率、综合利用率达到国家要求，国土开发强度提高到2.52%,主要资源产出率提高20%,主要废弃物循环利用率达到65%,主要再生资源回收利用率超过85%,社会各领域生产、建设、流通、消费等环节资源节约集约利用水平大幅提升，资源结构性矛盾和问题得到有效解决，全社会资源节约意识显著增强。到2030年，全旗资源节约集约利用达到全国同类地区先进水平。</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二、加强能源节约集约管理</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(一)持续优化能源供给结构。</w:t>
      </w:r>
      <w:r>
        <w:rPr>
          <w:rFonts w:hint="eastAsia" w:ascii="仿宋_GB2312" w:hAnsi="仿宋_GB2312" w:eastAsia="仿宋_GB2312" w:cs="仿宋_GB2312"/>
          <w:color w:val="000000" w:themeColor="text1"/>
          <w:sz w:val="32"/>
          <w:szCs w:val="32"/>
          <w14:textFill>
            <w14:solidFill>
              <w14:schemeClr w14:val="tx1"/>
            </w14:solidFill>
          </w14:textFill>
        </w:rPr>
        <w:t>立足保障国家能源安全及我市建设国家重要能源和战略资源基地，持续优化全旗煤矿开发模式和产能结构，加快推进煤矿智能化改造，做好5G矿山建设服务。到2025年，具备条件的大型生产煤矿智能化率达60%。大力推动现役煤电机组节能和超低排放改造，促进服役到期的煤电厂按期关停。加快淘汰落后煤电机组，优化整合中心城区燃煤电厂。鼓励具备条件机组完成煤电灵活性改造，确保聚达38万千瓦光伏发电站项目建成并网。到2025年，全旗煤电总装机力争达到521.85万千瓦，能耗不达标煤电机组全部完成节能改造或依法关停，煤电机组平均供电煤耗较2020年下降5%。大力提升新能源供给，加快库布其沙漠“沙戈荒”新能源大基地建设，同步推进达拉特经济开发区增量配电网绿色供电、亿利化学全额自发自用等分布式光伏项目。加快构建新型电力系统，扎实推动新型电力系统规划布局，优化城乡电网格局，合理拟定电网改造计划，确保耳自壕、过三梁等500千伏输变电工程建成投运，打造“Ⅲ字型”主干网架。积极对接市级相关部门、市级国有企业，推进旗属国有企业参与油气资源开发合作项目。</w:t>
      </w:r>
    </w:p>
    <w:p>
      <w:pPr>
        <w:spacing w:line="560" w:lineRule="exact"/>
        <w:ind w:firstLine="640" w:firstLineChars="200"/>
        <w:rPr>
          <w:rFonts w:hint="eastAsia" w:ascii="仿宋_GB2312" w:hAnsi="仿宋_GB2312" w:eastAsia="仿宋_GB2312" w:cs="仿宋_GB2312"/>
          <w:color w:val="000000" w:themeColor="text1"/>
          <w:sz w:val="32"/>
          <w:szCs w:val="32"/>
          <w:highlight w:val="red"/>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（二）不断提高能源利用效率。</w:t>
      </w:r>
      <w:r>
        <w:rPr>
          <w:rFonts w:hint="eastAsia" w:ascii="仿宋_GB2312" w:hAnsi="仿宋_GB2312" w:eastAsia="仿宋_GB2312" w:cs="仿宋_GB2312"/>
          <w:color w:val="000000" w:themeColor="text1"/>
          <w:sz w:val="32"/>
          <w:szCs w:val="32"/>
          <w14:textFill>
            <w14:solidFill>
              <w14:schemeClr w14:val="tx1"/>
            </w14:solidFill>
          </w14:textFill>
        </w:rPr>
        <w:t>强化源头管控，坚决遏制“两高”项目低水平盲目发展,新建、改扩建项目工艺技术装备达到国内先进水平，能源利用效率达到国家先进标准和标杆水平。加快淘汰落后产能，推动冶金、建材、化工等重点行业对标国家先进标准和行业标杆水平开展节能技改。全面推进节能城市建设,城镇新建建筑全面执行绿色建筑标准，中心城区规划范围内新建居住建筑平均节能率达到75%,新建公共建筑平均节能率达到72%；持续推进既有建筑节能改造，按期完成自治区任务。稳妥推进清洁燃煤集中供暖，加大热电联产供热范围内燃煤小锅炉关停力度，充分利用存量机组供热能力，提高热电联产供热比重。因地制宜推动农村牧区清洁供热，坚持集中式与分布式结合，加快发展太阳能供热和各类型电供热，力争到2025年全旗清洁供热覆盖率达到80%以上。优化运输业结构，大力推进多式联运发展，逐步形成大宗货物及集装箱中长距离运输以铁路为主的发展格局，到2025年，全旗大宗物资运输公转铁比例达到5%。</w:t>
      </w:r>
    </w:p>
    <w:p>
      <w:pPr>
        <w:pStyle w:val="25"/>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（三）健全完善节能管理体系。</w:t>
      </w:r>
      <w:r>
        <w:rPr>
          <w:rFonts w:hint="eastAsia" w:ascii="仿宋_GB2312" w:hAnsi="仿宋_GB2312" w:eastAsia="仿宋_GB2312" w:cs="仿宋_GB2312"/>
          <w:color w:val="000000" w:themeColor="text1"/>
          <w:sz w:val="32"/>
          <w:szCs w:val="32"/>
          <w14:textFill>
            <w14:solidFill>
              <w14:schemeClr w14:val="tx1"/>
            </w14:solidFill>
          </w14:textFill>
        </w:rPr>
        <w:t>落实国家、自治区、市级“双碳”“双控”工作部署，编制完成达拉特旗“1+N+X”政策体系，科学统筹节能降碳和经济社会发展。实施用能预算管理，强化能耗强度标杆引导，保障低能耗高附加值的优质项目用能需求。加强重点用能单位管理，优化达拉特碳达峰数字化系统，严格执行能源统计、能源利用状况报告制度，确保完成上级下达的能耗增量任务目标。落实原料用能不纳入能源消费总量控制，做到规范填报、应统尽统。以“绿色、循环、减排、固碳”为重点，积极谋划实施用能权交易和碳资源交易试点建设，推动全旗节能指标、碳汇资源等有效价值转化及“高低搭配”用能市场化，打造自治区首个碳交易平台，盘活用活全旗能耗资源。加强节能监察队伍建设，提升行业节能主管部门常态化监察水平。</w:t>
      </w:r>
    </w:p>
    <w:p>
      <w:pPr>
        <w:pStyle w:val="25"/>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三、推进矿产资源集约开发</w:t>
      </w:r>
    </w:p>
    <w:p>
      <w:pPr>
        <w:pStyle w:val="25"/>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（四）提高矿产资源勘查水平。</w:t>
      </w:r>
      <w:r>
        <w:rPr>
          <w:rFonts w:hint="eastAsia" w:ascii="仿宋_GB2312" w:hAnsi="仿宋_GB2312" w:eastAsia="仿宋_GB2312" w:cs="仿宋_GB2312"/>
          <w:color w:val="000000" w:themeColor="text1"/>
          <w:sz w:val="32"/>
          <w:szCs w:val="32"/>
          <w14:textFill>
            <w14:solidFill>
              <w14:schemeClr w14:val="tx1"/>
            </w14:solidFill>
          </w14:textFill>
        </w:rPr>
        <w:t>落实新一轮找矿突破战略行动，加大战略性矿产勘查，深入推进煤炭详查项目实施。加大边角煤资源开发力度，有序实施边角煤资源出让，提高煤炭资源综合利用水平。严格执行自治区矿产资源绿色勘查标准，加强地质勘查行业管理。</w:t>
      </w:r>
    </w:p>
    <w:p>
      <w:pPr>
        <w:pStyle w:val="25"/>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（五）加强矿产综合开采利用。</w:t>
      </w:r>
      <w:r>
        <w:rPr>
          <w:rFonts w:hint="eastAsia" w:ascii="仿宋_GB2312" w:hAnsi="仿宋_GB2312" w:eastAsia="仿宋_GB2312" w:cs="仿宋_GB2312"/>
          <w:color w:val="000000" w:themeColor="text1"/>
          <w:sz w:val="32"/>
          <w:szCs w:val="32"/>
          <w14:textFill>
            <w14:solidFill>
              <w14:schemeClr w14:val="tx1"/>
            </w14:solidFill>
          </w14:textFill>
        </w:rPr>
        <w:t>严格执行最低开采规模准入管理制度，促进矿山规模化集约化开采，新建井工煤矿产能原则上不低于300万吨/年。积极探索高岭土、石英砂等共伴生矿种综合开采利用，提高残留矿产资源回收利用率。加大矿山资源整合力度，到2025年，全旗在期矿山数量控制在73个以内。强化保护地矿产开发管理，严格新建项目准入，加强已建项目监管。严格林草地征占用审批，对已通过审批的项目加强后续跟踪监督。全面加强绿色矿山建设，扎实开展绿色矿山建设“回头看”，按计划完成绿色矿山建设任务。强化地质环境治理基金使用管理，加大基金使用率考核。积极开展历史遗留废弃矿山治理和山水林田湖草沙一体化治理，积极申报黄河流域历史遗留废弃矿山生态修复示范项目，鼓励引入社会资本参与治理，优先使用治理后的土地发展新能源产业。推进矿产资源优质优用、分级利用和循环利用，鼓励矿产采选废物资源化综合利用，确保建亨能源、亿利洁能等固废资源综合回收利用项目投产。推动一般固体废物综合利用。</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四、坚持土地节约集约利用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（六）统筹规划土地开发。</w:t>
      </w:r>
      <w:r>
        <w:rPr>
          <w:rFonts w:hint="eastAsia" w:ascii="仿宋_GB2312" w:hAnsi="仿宋_GB2312" w:eastAsia="仿宋_GB2312" w:cs="仿宋_GB2312"/>
          <w:color w:val="000000" w:themeColor="text1"/>
          <w:sz w:val="32"/>
          <w:szCs w:val="32"/>
          <w14:textFill>
            <w14:solidFill>
              <w14:schemeClr w14:val="tx1"/>
            </w14:solidFill>
          </w14:textFill>
        </w:rPr>
        <w:t>编制完成全旗国土空间总体规划、苏木镇国土空间规划和应编尽编村庄规划，争取全旗国土空间总体规划和苏木镇国土空间总体规划年内完成报批。加大批而未供、闲置土地处置和城镇低效用地开发力度，有序推进存量建设用地改革再利用。到2025年，盘活现存全部批而未供和闲置土地0.93万亩，盘活闲置土地0.8万亩。</w:t>
      </w:r>
    </w:p>
    <w:p>
      <w:pPr>
        <w:spacing w:line="560" w:lineRule="exact"/>
        <w:ind w:firstLine="640" w:firstLineChars="200"/>
        <w:rPr>
          <w:rFonts w:hint="eastAsia"/>
          <w:color w:val="000000" w:themeColor="text1"/>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(七)提升农牧业用地质量。</w:t>
      </w:r>
      <w:r>
        <w:rPr>
          <w:rFonts w:hint="eastAsia" w:ascii="仿宋_GB2312" w:hAnsi="仿宋_GB2312" w:eastAsia="仿宋_GB2312" w:cs="仿宋_GB2312"/>
          <w:color w:val="000000" w:themeColor="text1"/>
          <w:sz w:val="32"/>
          <w:szCs w:val="32"/>
          <w14:textFill>
            <w14:solidFill>
              <w14:schemeClr w14:val="tx1"/>
            </w14:solidFill>
          </w14:textFill>
        </w:rPr>
        <w:t>严守耕地保护红线，足额划定耕地及永久基本农田。压实耕地保护主体责任，层层签订耕地保护目标责任书，实行刚性指标考核。大力开展耕地质量提升行动，有序推进高标准农田建设，加快实施盐碱地改良示范、化肥减量增效、耕地轮作等项目，推广测土配方施肥，加强耕地质量监测点建设。到2025年，全旗新建高标准农田12万亩。加强耕地用途转用监督，严格落实“进出平衡”管理。强化土地用途管制，常态化开展卫星遥感技术评估监测，实行最严格的土地执法，坚决遏制耕地“非农化”、防止“非粮化”。广泛开展全域土地整治，加快推动高标准农田项目上图入库，切实保障耕地占补平衡指标需求。引导农村牧区未有效利用建设用地、闲置宅基地用于发展嘎查村集体经济和庭院经济、家庭农牧场、乡村旅游等产业。深化农村牧区用地制度改革，加快农村牧区产权流转交易体系建设，推进耕地规模化集约化经营，激活农村牧区土地要素市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（八）提高建设用地利用效率。</w:t>
      </w:r>
      <w:r>
        <w:rPr>
          <w:rFonts w:hint="eastAsia" w:ascii="仿宋_GB2312" w:hAnsi="仿宋_GB2312" w:eastAsia="仿宋_GB2312" w:cs="仿宋_GB2312"/>
          <w:color w:val="000000" w:themeColor="text1"/>
          <w:sz w:val="32"/>
          <w:szCs w:val="32"/>
          <w14:textFill>
            <w14:solidFill>
              <w14:schemeClr w14:val="tx1"/>
            </w14:solidFill>
          </w14:textFill>
        </w:rPr>
        <w:t>进一步优化土地审批流程。严格执行节约集约用地政策。加快土地二级市场系统平台建设。加强产业用地管理，引导项目向开发区和产业集聚区集中，灵活采取长期租赁、先租后让、租让结合、弹性出让等多种方式供应土地，提高土地精细化管理水平，降低企业用地初始成本。全面推行“区域评估+标准地”模式，力争工业用地全部实现“标准地”出让。开展全旗新能源资源调查，制定新能源发展总体规划和区域有序开发计划，推动工矿用地高效利用，鼓励采矿沉陷区、矿山工业广场发展风光项目。推动增减挂钩项目实施，确保完成增减挂钩项目建设1300亩。持续推进节约集约用地，深入开展批而未供、闲置土地“大起底”，坚持一地一策、分类处置，力争完成处置任务2400亩。完善国有土地有偿使用制度，落实新能源、煤炭、油气等能源项目及输变电工程全面有偿使用，鼓励划拨用地以出让、租赁、入股等多种方式供应，鼓励环境保护、保障性安居工程、养老、教育、文化、体育、供水、供热、燃气供应等项目有偿使用，推动以国有建设用地使用权作价出资、入股方式供应土地。</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五、加强水资源节约保护</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（九）强化水资源刚性约束。</w:t>
      </w:r>
      <w:r>
        <w:rPr>
          <w:rFonts w:hint="eastAsia" w:ascii="仿宋_GB2312" w:hAnsi="仿宋_GB2312" w:eastAsia="仿宋_GB2312" w:cs="仿宋_GB2312"/>
          <w:color w:val="000000" w:themeColor="text1"/>
          <w:sz w:val="32"/>
          <w:szCs w:val="32"/>
          <w14:textFill>
            <w14:solidFill>
              <w14:schemeClr w14:val="tx1"/>
            </w14:solidFill>
          </w14:textFill>
        </w:rPr>
        <w:t>全面落实黄河流域生态保护和高质量发展战略，深入实施深度节水控水行动，全面落实“四水四定”原则。实行最严格水资源管理制度，落实水资源消耗总量和强度双控制度。到2025年，用水总量控制在4.27亿立方米以内，万元GDP用水量较2020年下降7.5%。严格水资源用途管制，细化分解水资源管控指标，完成黄河取水权细化工作。严格执行自治区行业用水定额标准，新建、改扩建工业和服务业项目水效不得低于自治区行业用水定额先进值，对超过用水定额的已建项目限期开展节水改造。全面推行和完善居民用水阶梯水价制度，落实非居民用水超定额累进加价制度。全面加强地下水监管，持续推进地下水超采区治理，压减地下水超采量，推动地下水超采区巩固治理，确保各超采区地下水平均水位较上年同期相对稳定。严格取用水计量管理，工业、生活和服务业取用地表水和再生水年许可水量20万立方米以上、取用地下水和疏干水年许可水量5万立方米以上的取水单位或个人，以及调水工程及大中型灌区渠首取水口，应安装取用水在线监测计量设施。经济开发区工业用水及具备安装在线计量设施条件的矿山疏干排水全部实现在线计量监测。农业灌溉取用地下水全面实行“以电折水”。将非常规水源纳入水资源统一配置范围，强化考核约束。到2025年，非常规水源使用量达到0.13亿立方米以上。</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（十）加强重点领域水资源节约。</w:t>
      </w:r>
      <w:r>
        <w:rPr>
          <w:rFonts w:hint="eastAsia" w:ascii="仿宋_GB2312" w:hAnsi="仿宋_GB2312" w:eastAsia="仿宋_GB2312" w:cs="仿宋_GB2312"/>
          <w:color w:val="000000" w:themeColor="text1"/>
          <w:sz w:val="32"/>
          <w:szCs w:val="32"/>
          <w14:textFill>
            <w14:solidFill>
              <w14:schemeClr w14:val="tx1"/>
            </w14:solidFill>
          </w14:textFill>
        </w:rPr>
        <w:t>大力开展农业节水行动，大力推广糜子、荞麦等抗旱品种，严格控制超采区农业用水。在非超采区，全面推广高效节水农艺措施，通过深耕深松、增施有机肥、秸秆还田、客土还田、测土配方等土壤改良措施，推进精准灌溉、水肥一体化耕作；在旱作区，按照“四水四定”要求，加大梁外沟壑丘陵地区旱作高标准农田建设，利用集雨设施收集地表水，满足农业灌溉用水。到2025年，全旗农田灌溉水有效利用系数提高到0 .56。加快退化沙化草地治理，恢复草场植被，保证柠条种植成活率。合理调整供水价格，引导农牧民节约用水。加大节水设施投入力度。加强节水宣传，鼓励发展高产出低耗水新型产业，严控新建高耗水项目。到2025年，全旗万元工业增加值用水量较2020年下降12.5%。大力推广先进适用工业节水技术、工艺、设备，开展节水评估，深挖节水潜力，支持重点行业实施工业水效提升改造，推进用水系统集成优化，实现串联用水、分质用水、一水多用和梯级利用。新建、改扩建火力发电、化工等高耗水工业项目禁止取用地下水，城市园林绿化鼓励使用再生水、疏干水等非常规水源，严禁取用地下水用于城市水景观、水上娱乐和人工造雪项目等。完善市政再生水管网等基础设施。加强城镇老旧供水管网更新改造。按照水源地保护工作“属地管理、政府主导、部门联动”原则，切实加强饮用水水源地保护，确保水质安全。持续推进县域节水型社会建设，到2025年，完成县域节水型社会创建达标。</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六、开展粮食节约行动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（十一）构建全链条节约减损体系。</w:t>
      </w:r>
      <w:r>
        <w:rPr>
          <w:rFonts w:hint="eastAsia" w:ascii="仿宋_GB2312" w:hAnsi="仿宋_GB2312" w:eastAsia="仿宋_GB2312" w:cs="仿宋_GB2312"/>
          <w:color w:val="000000" w:themeColor="text1"/>
          <w:sz w:val="32"/>
          <w:szCs w:val="32"/>
          <w14:textFill>
            <w14:solidFill>
              <w14:schemeClr w14:val="tx1"/>
            </w14:solidFill>
          </w14:textFill>
        </w:rPr>
        <w:t>全面落实国家农机购置与应用补贴政策措施，引进推广精量播种机和高效收获机械，推广机收减损技术，确保主要粮食作物机收平均损失率达到国家农机作业质量标准。到2025年全旗农作物耕种收综合机械化率提高到88%以上，到2030年达到90%以上。加强粮食储存环节减损能力建设，开展绿色仓储提升行动，推广节约高效便捷的储粮装具。支持粮食运输基础设施建设，减少粮食运输环节损失。推动粮油加工设备更新，提高粮食有效转化率。加强餐饮行业经营行为管理，推进“光盘行动”常态化。在单位内部及商务行业领域发出“厉行节约、反对浪费”倡议书，引导广大群众文明用餐、节约用餐，切实培养节约习惯，要营造浪费可耻、节约为荣的氛围。充分发挥新媒体平台作用，营造节约粮食良好氛围。</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七、推进资源全面循环利用</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（十二）提高资源循环利用效率。</w:t>
      </w:r>
      <w:r>
        <w:rPr>
          <w:rFonts w:hint="eastAsia" w:ascii="仿宋_GB2312" w:hAnsi="仿宋_GB2312" w:eastAsia="仿宋_GB2312" w:cs="仿宋_GB2312"/>
          <w:color w:val="000000" w:themeColor="text1"/>
          <w:sz w:val="32"/>
          <w:szCs w:val="32"/>
          <w14:textFill>
            <w14:solidFill>
              <w14:schemeClr w14:val="tx1"/>
            </w14:solidFill>
          </w14:textFill>
        </w:rPr>
        <w:t>全面推行清洁生产，实施重点行业清洁生产改造提升计划，着力推进“双超双有”高耗能重点企业强制性清洁生产审核。加大重化工企业循环化改造力度，实现能源梯级利用、水资源循环利用、废物交换利用、余热余压废水废气废液资源回收利用。到2025年，全旗规模以上工业用水重复利用率达到95%。大力推行工业产品绿色设计和全生命周期绿色管理，鼓励使用再生原料，开发推广绿色低碳产品，降低产品全流程资源消耗。推进农作物秸秆“五化”利用，逐步完善秸秆收储运体系建设。以玉米秸秆综合利用为重点，兼顾向日葵、水稻等其他作物秸秆，以饲料化、肥料化、燃料化利用为主要方向，合理引导秸秆基料化、原料化等利用，以提高秸秆综合利用率为目标，全面推进秸秆转化利用，通过政府扶持引导，调动全社会参与积极性，探索形成适应市场需求的利益链接机制，推动秸秆综合利用持续、健康发展。到2025年，全旗农作物秸秆综合利用率稳定在90%以上。开展农膜回收行动，结合地膜科学使用回收试点工作，推广使用新标准的加厚高强度地膜，地膜厚度标准由0.01mm提高到0.015mm，逐步实现加厚地膜、全生物降解地膜全面替代普通PE地膜。加强地膜生产、销售监管，严禁生产、销售和使用不合格地膜，及时配套地膜捡拾机械化作业机具，持续推进地膜回收监测常态化。大力推广干清粪工艺，推动养殖过程清洁化、粪污处理资源化、产品利用生态化。到2025年，全旗畜禽粪污综合利用率达到95%。引导各类商品包装减量化，支持邮政快递企业推广应用可循环包装。</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（十三）构建资源循环利用体系。</w:t>
      </w:r>
      <w:r>
        <w:rPr>
          <w:rFonts w:hint="eastAsia" w:ascii="仿宋_GB2312" w:hAnsi="仿宋_GB2312" w:eastAsia="仿宋_GB2312" w:cs="仿宋_GB2312"/>
          <w:color w:val="000000" w:themeColor="text1"/>
          <w:sz w:val="32"/>
          <w:szCs w:val="32"/>
          <w14:textFill>
            <w14:solidFill>
              <w14:schemeClr w14:val="tx1"/>
            </w14:solidFill>
          </w14:textFill>
        </w:rPr>
        <w:t>推进经济开发区产业横向耦合、纵向延伸、循环链接，到2025年达拉特经济开发区循环化改造完成。加大大宗工业固废综合开发利用力度，到2025年全旗大宗工业固废综合利用率达到57%。推进生活垃圾、污水污泥、建筑垃圾、危险废物、医疗废物等源头减量、分类收集、资源化利用和无害化处置。严格生活污水处理厂污泥处置监管，实现生活污水污泥无害化处置或资源化利用。大力发展装配式建筑，推行绿色施工和装配式装修，推进建筑垃圾全过程监管。推进危险废物规范化管理，有序开展环境管理评估和信息化管理，严格执行危险废物转移联单制度，规范危险废物贮存、转移、处理处置。开展医疗废物专项整治。到2025年，全旗城镇生活垃圾、污泥无害化处理率分别达到99％、100％以上。开展再生资源综合利用企业建档登记工作。推进再生资源回收行业体系建设，打地一批再生资源分拣中心，根据需求建设专业型分拣中心。推动再生资源规模化、规范化、清洁化利用，形成集回收分拣、加工利用、商品交易、仓储配送等功能于一体，具备一定区域辐射能力和行业带动作用的再生资源产业聚集区。鼓励采用上门有偿回收方式，引导市民养成分类习惯。</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八、推动社会资源全面节约</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（十四）加强机关厉行节约。</w:t>
      </w:r>
      <w:r>
        <w:rPr>
          <w:rFonts w:hint="eastAsia" w:ascii="仿宋_GB2312" w:hAnsi="仿宋_GB2312" w:eastAsia="仿宋_GB2312" w:cs="仿宋_GB2312"/>
          <w:color w:val="000000" w:themeColor="text1"/>
          <w:sz w:val="32"/>
          <w:szCs w:val="32"/>
          <w14:textFill>
            <w14:solidFill>
              <w14:schemeClr w14:val="tx1"/>
            </w14:solidFill>
          </w14:textFill>
        </w:rPr>
        <w:t>不折不扣落实过紧日子要求，严控一般性支出。提高财政资源配置效率和使用效益。严禁盲目铺摊子、上项目。强化审计监督，加大违法违规问题查处力度。严格楼堂馆所建设管理。优化现有办公用房配置，推进办公用房信息化标准化建设，整合利用零散闲置办公用房打造集中办公场所。杜绝不计成本规划建设面子工程、政绩工程，在节俭务实做好现有绿化亮化维护保障基础上，不得新增预算经费建设相关工程。</w:t>
      </w:r>
    </w:p>
    <w:p>
      <w:pPr>
        <w:spacing w:line="560" w:lineRule="exact"/>
        <w:ind w:firstLine="640"/>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（十五）优化配置行政资源。</w:t>
      </w:r>
      <w:r>
        <w:rPr>
          <w:rFonts w:hint="eastAsia" w:ascii="仿宋_GB2312" w:hAnsi="仿宋_GB2312" w:eastAsia="仿宋_GB2312" w:cs="仿宋_GB2312"/>
          <w:color w:val="000000" w:themeColor="text1"/>
          <w:sz w:val="32"/>
          <w:szCs w:val="32"/>
          <w14:textFill>
            <w14:solidFill>
              <w14:schemeClr w14:val="tx1"/>
            </w14:solidFill>
          </w14:textFill>
        </w:rPr>
        <w:t>开展机关事业单位机构编制执行情况和使用效益全面评价，科学配备国计民生、基础教育等重点领域机构编制资源，在核定机关事业单位编制数量和公立医院、公立幼儿园控制数的基础上，不再另行核定其他用于增加人员规模的事项。加强苏木乡镇间统筹调剂使用人员编制，盘活编制资源。坚持开短会、发短文、讲短话，非必要不开会、不发文，提高会议发文质效，推进落实无纸化办公。统筹规范各类督查、检查、考核事项，减少督查层次和频次，解决督查泛化问题。</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规范和促进互联网、大数据、人工智能、区块链等新信息技术手段在行政管理领域中的运用。推进商事制度改革，落实“一证（照）通”办理</w:t>
      </w:r>
      <w:r>
        <w:rPr>
          <w:rStyle w:val="28"/>
          <w:rFonts w:hint="eastAsia" w:ascii="仿宋_GB2312" w:hAnsi="仿宋_GB2312" w:eastAsia="仿宋_GB2312" w:cs="仿宋_GB2312"/>
          <w:color w:val="000000" w:themeColor="text1"/>
          <w:sz w:val="32"/>
          <w14:textFill>
            <w14:solidFill>
              <w14:schemeClr w14:val="tx1"/>
            </w14:solidFill>
          </w14:textFill>
        </w:rPr>
        <w:t>，</w:t>
      </w:r>
      <w:r>
        <w:rPr>
          <w:rStyle w:val="29"/>
          <w:rFonts w:hint="eastAsia" w:ascii="仿宋_GB2312" w:hAnsi="仿宋_GB2312" w:eastAsia="仿宋_GB2312" w:cs="仿宋_GB2312"/>
          <w:color w:val="000000" w:themeColor="text1"/>
          <w:sz w:val="32"/>
          <w14:textFill>
            <w14:solidFill>
              <w14:schemeClr w14:val="tx1"/>
            </w14:solidFill>
          </w14:textFill>
        </w:rPr>
        <w:t>完善综合受理窗口服务，</w:t>
      </w:r>
      <w:r>
        <w:rPr>
          <w:rStyle w:val="28"/>
          <w:rFonts w:hint="eastAsia" w:ascii="仿宋_GB2312" w:hAnsi="仿宋_GB2312" w:eastAsia="仿宋_GB2312" w:cs="仿宋_GB2312"/>
          <w:color w:val="000000" w:themeColor="text1"/>
          <w:sz w:val="32"/>
          <w14:textFill>
            <w14:solidFill>
              <w14:schemeClr w14:val="tx1"/>
            </w14:solidFill>
          </w14:textFill>
        </w:rPr>
        <w:t>大幅缩短企业和群众办事时间</w:t>
      </w:r>
      <w:r>
        <w:rPr>
          <w:rFonts w:hint="eastAsia" w:ascii="仿宋_GB2312" w:hAnsi="仿宋_GB2312" w:eastAsia="仿宋_GB2312" w:cs="仿宋_GB2312"/>
          <w:color w:val="000000" w:themeColor="text1"/>
          <w:sz w:val="32"/>
          <w14:textFill>
            <w14:solidFill>
              <w14:schemeClr w14:val="tx1"/>
            </w14:solidFill>
          </w14:textFill>
        </w:rPr>
        <w:t>。加大信息化建设统筹力度，有序推进政务信息资源共享开放。</w:t>
      </w:r>
    </w:p>
    <w:p>
      <w:pPr>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（十六）集约利用公共资源。</w:t>
      </w:r>
      <w:r>
        <w:rPr>
          <w:rFonts w:hint="eastAsia" w:ascii="仿宋_GB2312" w:hAnsi="仿宋_GB2312" w:eastAsia="仿宋_GB2312" w:cs="仿宋_GB2312"/>
          <w:color w:val="000000" w:themeColor="text1"/>
          <w:sz w:val="32"/>
          <w:szCs w:val="32"/>
          <w14:textFill>
            <w14:solidFill>
              <w14:schemeClr w14:val="tx1"/>
            </w14:solidFill>
          </w14:textFill>
        </w:rPr>
        <w:t>提升党政机关、学校、医院等公共机构资源节约能效，积极开展节约型公共机构示范单位和节约型机关创建。推进节能技术改造，积极探索合同能源管理方式和分布式光伏项目，充分发挥公共机构的示范带头作用。科学规划、适度超前建设各类市政公用设施，鼓励多元化主体参与城市公共服务体系建设运营和管理维护，提升公共设施资源利用效率。科学合理确定农村牧区公共基础设施配置标准。深入实施农村牧区人居环境整治提升五年行动。因地制宜、科学选择户厕改造模式，持续推进生活污水治理，积极探索农村牧区垃圾无害化处理模式，推动现有垃圾无害化处理设施提质增效。</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依托内蒙古政务服务网，完善达拉特旗上线政务服务功能，打造“15分钟政务服务圈”。建立以旗政务服务中心为主体、苏木镇（街道）便民服务中心为基础、嘎查村（社区）便民服务点为延伸的三级政务服务体系。</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（十七）促进人力资源质量提升。</w:t>
      </w:r>
      <w:r>
        <w:rPr>
          <w:rFonts w:hint="eastAsia" w:ascii="仿宋_GB2312" w:hAnsi="仿宋_GB2312" w:eastAsia="仿宋_GB2312" w:cs="仿宋_GB2312"/>
          <w:color w:val="000000" w:themeColor="text1"/>
          <w:sz w:val="32"/>
          <w:szCs w:val="32"/>
          <w14:textFill>
            <w14:solidFill>
              <w14:schemeClr w14:val="tx1"/>
            </w14:solidFill>
          </w14:textFill>
        </w:rPr>
        <w:t>建立健全人力资源需求分析与预测机制，增强人力资源发展规划计划前瞻性。支持重点产业链相关企业引进培育高层次人才，对企业人才引育工作给予科研经费支持。兑现好相关奖补政策，最大限度留住高端人才。强化本土科技领军人才培养，选拔培育一批对我旗产业发展能够发挥重要支撑作用的高层次科技创新人才。推动人力资源服务产业园建设，打造优质人力资源服务集聚辐射基地。定期开展人才需求调查，做好人力资源领域应用研究。推动“人才新政30条”、人才和科技创新驱动三年行动落实落细。统筹抓好重点人才队伍建设，强化职业教育发展，加大高层次人才培养力度，支持柔性引进经济社会发展急需紧缺高层次人才。加强职业教育培训能力建设，推动各类社会培训资源统一纳入职业院校实施。落实“技能内蒙古行动”,持续加强技能人才培养。</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（十八）引导全民树立正确资源节约观。</w:t>
      </w:r>
      <w:r>
        <w:rPr>
          <w:rFonts w:hint="eastAsia" w:ascii="仿宋_GB2312" w:hAnsi="仿宋_GB2312" w:eastAsia="仿宋_GB2312" w:cs="仿宋_GB2312"/>
          <w:color w:val="000000" w:themeColor="text1"/>
          <w:sz w:val="32"/>
          <w:szCs w:val="32"/>
          <w14:textFill>
            <w14:solidFill>
              <w14:schemeClr w14:val="tx1"/>
            </w14:solidFill>
          </w14:textFill>
        </w:rPr>
        <w:t>倡导简约适度、绿色低碳的生活方式，鼓励消费再生资源产品，推动形成珍惜资源、节约资源的社会风尚。通过节能宣传周、节水宣传周、全国土地日、世界环境日等活动，加强媒体宣传引导，加大资源节约政策和常识宣传，增强全民节约主动意识和社会责任。</w:t>
      </w:r>
    </w:p>
    <w:p>
      <w:pPr>
        <w:spacing w:line="56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九、加强政策引导和工作落实</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（十九）加大政策支持力度。</w:t>
      </w:r>
      <w:r>
        <w:rPr>
          <w:rFonts w:hint="eastAsia" w:ascii="仿宋_GB2312" w:hAnsi="仿宋_GB2312" w:eastAsia="仿宋_GB2312" w:cs="仿宋_GB2312"/>
          <w:color w:val="000000" w:themeColor="text1"/>
          <w:sz w:val="32"/>
          <w:szCs w:val="32"/>
          <w14:textFill>
            <w14:solidFill>
              <w14:schemeClr w14:val="tx1"/>
            </w14:solidFill>
          </w14:textFill>
        </w:rPr>
        <w:t>加大资金统筹力度，发挥财政资金撬动作用。按照集中财力办大事的原则，集中财力引导市场主体参与资源节约集约利用项目实施、技术研发和产业化示范等重点工程。健全充分反映稀缺程度和供求状况的资源性产品价格机制。执行市级制定的健全资源开发生态补偿机制。充分利用我市绿色信贷、绿色债券、碳金融等支持经济向绿色化转型的重要金融工具，引导资金用于清洁能源、基础设施绿色升级与节能环保产业。协调推动金融机构用好碳减排支持工具和支持煤炭清洁高效利用专项再贷款，支持清洁能源快速发展、工业领域能效提升、传统煤炭高效利用。运用好市场化机制，深化资源使用权交易改革。持续开展水环境生态考核补偿。</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（二十）提高监管能力水平。</w:t>
      </w:r>
      <w:r>
        <w:rPr>
          <w:rFonts w:hint="eastAsia" w:ascii="仿宋_GB2312" w:hAnsi="仿宋_GB2312" w:eastAsia="仿宋_GB2312" w:cs="仿宋_GB2312"/>
          <w:color w:val="000000" w:themeColor="text1"/>
          <w:sz w:val="32"/>
          <w:szCs w:val="32"/>
          <w14:textFill>
            <w14:solidFill>
              <w14:schemeClr w14:val="tx1"/>
            </w14:solidFill>
          </w14:textFill>
        </w:rPr>
        <w:t>健全重要资源节约集约利用制度。严格贯彻落实《内蒙古自治区投资负面清单(2022年版)》,铺张浪费的事一律不准干，形象工程、面子工程一律禁止上马。鼓励引导支持企事业单位、社会团队和科研机构参与研究节约资源相关标准。加强资源节约利用的协同监管和社会监督，依托国家企业信用信息公示系统(内蒙古)部门协同监管平台和市、旗两级公共信用信息平台，将各部门对市场主体资源浪费行为的行政处罚信息归集到市场主体名下并公示。严格落实自然资源综合行政执法制度，理顺和完善自然资源执法监察体制，强化执法队伍建设，加强耕地保护督察和卫片执法检查等督察整改工作，依法打击滥开乱采、乱占自然资源等各类土地、矿产违法行为。坚决遏制新增违法用地，完善“早发现、早制止、严查处”的工作机制，对自然资源领域违法违规行为快速查办、依法追责问责，有效遏制新增违法行为。积极通过引入卫星遥感等先进技术手段，推动建设智慧监管平台，逐步建立健全科技立体化的高水平预警监管体系，切实提高自然资源监测监管能力。加大林草生态系统保护力度，全面推行林长制，压实属地主体责任和部门监管责任，构建林草网格化监管体系。严格执行基本草原保护和草畜平衡、禁牧休牧等制度，加强部门联动，强化行刑街接，依法打击乱开滥垦、乱采乱占等破坏林草资源的违法犯罪行为。</w:t>
      </w:r>
    </w:p>
    <w:p>
      <w:pPr>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(二十一)推动科技创新赋能。</w:t>
      </w:r>
      <w:r>
        <w:rPr>
          <w:rFonts w:hint="eastAsia" w:ascii="仿宋_GB2312" w:hAnsi="仿宋_GB2312" w:eastAsia="仿宋_GB2312" w:cs="仿宋_GB2312"/>
          <w:bCs/>
          <w:color w:val="000000" w:themeColor="text1"/>
          <w:sz w:val="32"/>
          <w:szCs w:val="32"/>
          <w14:textFill>
            <w14:solidFill>
              <w14:schemeClr w14:val="tx1"/>
            </w14:solidFill>
          </w14:textFill>
        </w:rPr>
        <w:t>全面推进科技新政“八大行动”和“1+N”政策体系落实，围绕资源节约集约技术，鼓励企业加大科技研发投入，实施规模以上工业企业“三清零”行动。围绕清洁能源化工、新材料等重点产业推动全旗研发平台增点扩面。加大科技创新型企业培育力度，加强科技成果转化利用，推动各类科技创新要素向企业集聚，认真落实高新技术企业和科技型中小企业培育“双倍增”任务。加强与资源节约集约先进地区交流，实施产学研对接专项行动，加大科技创新人才引育力度，引导企业联合4+8+N合作主体开展科技交流合作，提升产学研合作能力。</w:t>
      </w:r>
    </w:p>
    <w:p>
      <w:pPr>
        <w:spacing w:line="56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(二十二)切实推动工作落实。</w:t>
      </w:r>
      <w:r>
        <w:rPr>
          <w:rFonts w:hint="eastAsia" w:ascii="仿宋_GB2312" w:hAnsi="仿宋_GB2312" w:eastAsia="仿宋_GB2312" w:cs="仿宋_GB2312"/>
          <w:bCs/>
          <w:color w:val="000000" w:themeColor="text1"/>
          <w:sz w:val="32"/>
          <w:szCs w:val="32"/>
          <w14:textFill>
            <w14:solidFill>
              <w14:schemeClr w14:val="tx1"/>
            </w14:solidFill>
          </w14:textFill>
        </w:rPr>
        <w:t>成立推进全社会资源全面节约集约工作领导小组，及时研究解决工作中的重大问题，统筹推进任务落实。领导小组负责全社会资源全面节约集约工作的综合协调，组织制定年度工作要点，明确工作目标、具体举措和责任分工，强化工作考核。旗直有关部门要量化资源细分品类节约集约目标，建立健全分行业、分领域资源节约集约绩效评估机制和指标统计核算制度，加大对资源节约集约工作的督导检查力度。按规定发布全社会资源节约集约报告，宣传节约集约先进典型。各行业主管部门要建立资源开发利用情况动态监测机制，及时跟进国家、自治区和市最新部署要求，及时调整政策措施，优化资源开发利用结构。</w:t>
      </w:r>
    </w:p>
    <w:p>
      <w:pPr>
        <w:pStyle w:val="2"/>
        <w:ind w:left="0" w:leftChars="0" w:firstLine="0" w:firstLineChars="0"/>
        <w:rPr>
          <w:rFonts w:hint="eastAsia"/>
          <w:color w:val="000000" w:themeColor="text1"/>
          <w14:textFill>
            <w14:solidFill>
              <w14:schemeClr w14:val="tx1"/>
            </w14:solidFill>
          </w14:textFill>
        </w:rPr>
      </w:pPr>
    </w:p>
    <w:p>
      <w:pPr>
        <w:pStyle w:val="2"/>
        <w:spacing w:line="560" w:lineRule="exact"/>
        <w:ind w:left="1598" w:leftChars="304" w:hanging="960" w:hanging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附件：达拉特旗深入贯彻习近平生态文明思想推进全社会资源全面节约集约重点任务分工</w:t>
      </w: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widowControl/>
        <w:jc w:val="left"/>
        <w:rPr>
          <w:rFonts w:ascii="仿宋_GB2312" w:hAnsi="仿宋_GB2312" w:eastAsia="仿宋_GB2312" w:cs="仿宋_GB2312"/>
          <w:bCs/>
          <w:color w:val="000000" w:themeColor="text1"/>
          <w:sz w:val="32"/>
          <w:szCs w:val="32"/>
          <w14:textFill>
            <w14:solidFill>
              <w14:schemeClr w14:val="tx1"/>
            </w14:solidFill>
          </w14:textFill>
        </w:rPr>
        <w:sectPr>
          <w:pgSz w:w="11906" w:h="16838"/>
          <w:pgMar w:top="2098" w:right="1474" w:bottom="1985" w:left="1588" w:header="851" w:footer="1418" w:gutter="0"/>
          <w:pgNumType w:fmt="numberInDash" w:start="1"/>
          <w:cols w:space="720" w:num="1"/>
          <w:docGrid w:linePitch="286" w:charSpace="0"/>
        </w:sectPr>
      </w:pPr>
    </w:p>
    <w:p>
      <w:pPr>
        <w:adjustRightInd w:val="0"/>
        <w:snapToGrid w:val="0"/>
        <w:spacing w:before="88"/>
        <w:ind w:left="46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附件：</w:t>
      </w:r>
    </w:p>
    <w:p>
      <w:pPr>
        <w:adjustRightInd w:val="0"/>
        <w:snapToGrid w:val="0"/>
        <w:spacing w:before="118"/>
        <w:ind w:left="584"/>
        <w:jc w:val="center"/>
        <w:rPr>
          <w:rFonts w:hint="eastAsia" w:ascii="方正小标宋简体" w:hAnsi="宋体" w:eastAsia="方正小标宋简体" w:cs="宋体"/>
          <w:color w:val="000000" w:themeColor="text1"/>
          <w:sz w:val="36"/>
          <w:szCs w:val="36"/>
          <w14:textFill>
            <w14:solidFill>
              <w14:schemeClr w14:val="tx1"/>
            </w14:solidFill>
          </w14:textFill>
        </w:rPr>
      </w:pPr>
      <w:r>
        <w:rPr>
          <w:rFonts w:hint="eastAsia" w:ascii="方正小标宋简体" w:hAnsi="宋体" w:eastAsia="方正小标宋简体" w:cs="宋体"/>
          <w:bCs/>
          <w:color w:val="000000" w:themeColor="text1"/>
          <w:spacing w:val="-9"/>
          <w:sz w:val="36"/>
          <w:szCs w:val="36"/>
          <w14:textFill>
            <w14:solidFill>
              <w14:schemeClr w14:val="tx1"/>
            </w14:solidFill>
          </w14:textFill>
        </w:rPr>
        <w:t>达拉特旗深入贯彻习近平生态文明思想推进全社会资源全面节约集约重点任务分工</w:t>
      </w: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281"/>
        <w:gridCol w:w="9353"/>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2009"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b/>
                <w:bCs/>
                <w:color w:val="000000" w:themeColor="text1"/>
                <w:spacing w:val="-4"/>
                <w:kern w:val="0"/>
                <w:sz w:val="20"/>
                <w:szCs w:val="20"/>
                <w14:textFill>
                  <w14:solidFill>
                    <w14:schemeClr w14:val="tx1"/>
                  </w14:solidFill>
                </w14:textFill>
              </w:rPr>
              <w:t>重点任务</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b/>
                <w:bCs/>
                <w:color w:val="000000" w:themeColor="text1"/>
                <w:spacing w:val="-6"/>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8"/>
              <w:ind w:left="5"/>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一、主要目标</w:t>
            </w:r>
          </w:p>
        </w:tc>
        <w:tc>
          <w:tcPr>
            <w:tcW w:w="128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8"/>
              <w:ind w:left="6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2025年目标</w:t>
            </w: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68"/>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9"/>
                <w:kern w:val="0"/>
                <w:sz w:val="20"/>
                <w:szCs w:val="20"/>
                <w14:textFill>
                  <w14:solidFill>
                    <w14:schemeClr w14:val="tx1"/>
                  </w14:solidFill>
                </w14:textFill>
              </w:rPr>
              <w:t>1.单位</w:t>
            </w:r>
            <w:r>
              <w:rPr>
                <w:rFonts w:hint="eastAsia" w:eastAsia="宋体" w:asciiTheme="minorEastAsia" w:hAnsiTheme="minorEastAsia" w:cstheme="minorEastAsia"/>
                <w:color w:val="000000" w:themeColor="text1"/>
                <w:kern w:val="0"/>
                <w:sz w:val="20"/>
                <w:szCs w:val="20"/>
                <w14:textFill>
                  <w14:solidFill>
                    <w14:schemeClr w14:val="tx1"/>
                  </w14:solidFill>
                </w14:textFill>
              </w:rPr>
              <w:t>GDP</w:t>
            </w:r>
            <w:r>
              <w:rPr>
                <w:rFonts w:hint="eastAsia" w:eastAsia="宋体" w:asciiTheme="minorEastAsia" w:hAnsiTheme="minorEastAsia" w:cstheme="minorEastAsia"/>
                <w:color w:val="000000" w:themeColor="text1"/>
                <w:spacing w:val="9"/>
                <w:kern w:val="0"/>
                <w:sz w:val="20"/>
                <w:szCs w:val="20"/>
                <w14:textFill>
                  <w14:solidFill>
                    <w14:schemeClr w14:val="tx1"/>
                  </w14:solidFill>
                </w14:textFill>
              </w:rPr>
              <w:t>能耗较2020年下降18%</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68"/>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2"/>
                <w:kern w:val="0"/>
                <w:sz w:val="20"/>
                <w:szCs w:val="20"/>
                <w14:textFill>
                  <w14:solidFill>
                    <w14:schemeClr w14:val="tx1"/>
                  </w14:solidFill>
                </w14:textFill>
              </w:rPr>
              <w:t>2.单位</w:t>
            </w:r>
            <w:r>
              <w:rPr>
                <w:rFonts w:hint="eastAsia" w:eastAsia="宋体" w:asciiTheme="minorEastAsia" w:hAnsiTheme="minorEastAsia" w:cstheme="minorEastAsia"/>
                <w:color w:val="000000" w:themeColor="text1"/>
                <w:kern w:val="0"/>
                <w:sz w:val="20"/>
                <w:szCs w:val="20"/>
                <w14:textFill>
                  <w14:solidFill>
                    <w14:schemeClr w14:val="tx1"/>
                  </w14:solidFill>
                </w14:textFill>
              </w:rPr>
              <w:t>GDP</w:t>
            </w:r>
            <w:r>
              <w:rPr>
                <w:rFonts w:hint="eastAsia" w:eastAsia="宋体" w:asciiTheme="minorEastAsia" w:hAnsiTheme="minorEastAsia" w:cstheme="minorEastAsia"/>
                <w:color w:val="000000" w:themeColor="text1"/>
                <w:spacing w:val="12"/>
                <w:kern w:val="0"/>
                <w:sz w:val="20"/>
                <w:szCs w:val="20"/>
                <w14:textFill>
                  <w14:solidFill>
                    <w14:schemeClr w14:val="tx1"/>
                  </w14:solidFill>
                </w14:textFill>
              </w:rPr>
              <w:t>用水量较2020年下降7.5%</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79"/>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1"/>
                <w:kern w:val="0"/>
                <w:sz w:val="20"/>
                <w:szCs w:val="20"/>
                <w14:textFill>
                  <w14:solidFill>
                    <w14:schemeClr w14:val="tx1"/>
                  </w14:solidFill>
                </w14:textFill>
              </w:rPr>
              <w:t>3.单位</w:t>
            </w:r>
            <w:r>
              <w:rPr>
                <w:rFonts w:hint="eastAsia" w:eastAsia="宋体" w:asciiTheme="minorEastAsia" w:hAnsiTheme="minorEastAsia" w:cstheme="minorEastAsia"/>
                <w:color w:val="000000" w:themeColor="text1"/>
                <w:kern w:val="0"/>
                <w:sz w:val="20"/>
                <w:szCs w:val="20"/>
                <w14:textFill>
                  <w14:solidFill>
                    <w14:schemeClr w14:val="tx1"/>
                  </w14:solidFill>
                </w14:textFill>
              </w:rPr>
              <w:t>GDP</w:t>
            </w:r>
            <w:r>
              <w:rPr>
                <w:rFonts w:hint="eastAsia" w:eastAsia="宋体" w:asciiTheme="minorEastAsia" w:hAnsiTheme="minorEastAsia" w:cstheme="minorEastAsia"/>
                <w:color w:val="000000" w:themeColor="text1"/>
                <w:spacing w:val="11"/>
                <w:kern w:val="0"/>
                <w:sz w:val="20"/>
                <w:szCs w:val="20"/>
                <w14:textFill>
                  <w14:solidFill>
                    <w14:schemeClr w14:val="tx1"/>
                  </w14:solidFill>
                </w14:textFill>
              </w:rPr>
              <w:t>建设用地使用面积较2020年下降16.7%</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79"/>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4.各类矿山资源开采回采率、选矿回收率、综合利用</w:t>
            </w: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率达到国家要求</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81"/>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5"/>
                <w:kern w:val="0"/>
                <w:sz w:val="20"/>
                <w:szCs w:val="20"/>
                <w14:textFill>
                  <w14:solidFill>
                    <w14:schemeClr w14:val="tx1"/>
                  </w14:solidFill>
                </w14:textFill>
              </w:rPr>
              <w:t>5.国土开发强度提高到2.52%</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82"/>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8"/>
                <w:kern w:val="0"/>
                <w:sz w:val="20"/>
                <w:szCs w:val="20"/>
                <w14:textFill>
                  <w14:solidFill>
                    <w14:schemeClr w14:val="tx1"/>
                  </w14:solidFill>
                </w14:textFill>
              </w:rPr>
              <w:t>6.主要资源产出率较2020年提高20%</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73"/>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7"/>
                <w:kern w:val="0"/>
                <w:sz w:val="20"/>
                <w:szCs w:val="20"/>
                <w14:textFill>
                  <w14:solidFill>
                    <w14:schemeClr w14:val="tx1"/>
                  </w14:solidFill>
                </w14:textFill>
              </w:rPr>
              <w:t>7.主要废弃物循环利用率达到65%</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8"/>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8"/>
                <w:kern w:val="0"/>
                <w:sz w:val="20"/>
                <w:szCs w:val="20"/>
                <w14:textFill>
                  <w14:solidFill>
                    <w14:schemeClr w14:val="tx1"/>
                  </w14:solidFill>
                </w14:textFill>
              </w:rPr>
              <w:t>8.主要再生资源回收利用率超过85%</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发改委</w:t>
            </w:r>
          </w:p>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 w:hRule="atLeast"/>
          <w:jc w:val="center"/>
        </w:trPr>
        <w:tc>
          <w:tcPr>
            <w:tcW w:w="1200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8"/>
              <w:ind w:left="6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2030年目标</w:t>
            </w:r>
          </w:p>
        </w:tc>
        <w:tc>
          <w:tcPr>
            <w:tcW w:w="935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8"/>
              <w:ind w:left="42"/>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9.全市资源节约集约利用达到全国同类地区先进水平</w:t>
            </w:r>
          </w:p>
        </w:tc>
        <w:tc>
          <w:tcPr>
            <w:tcW w:w="1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政府办公室</w:t>
            </w:r>
          </w:p>
          <w:p>
            <w:pPr>
              <w:adjustRightInd w:val="0"/>
              <w:snapToGrid w:val="0"/>
              <w:jc w:val="cente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发改委</w:t>
            </w:r>
          </w:p>
          <w:p>
            <w:pPr>
              <w:adjustRightInd w:val="0"/>
              <w:snapToGrid w:val="0"/>
              <w:jc w:val="cente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position w:val="4"/>
                <w:sz w:val="20"/>
                <w:szCs w:val="20"/>
                <w14:textFill>
                  <w14:solidFill>
                    <w14:schemeClr w14:val="tx1"/>
                  </w14:solidFill>
                </w14:textFill>
              </w:rPr>
              <w:t>自然资源局</w:t>
            </w: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水利局</w:t>
            </w: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农牧局</w:t>
            </w:r>
          </w:p>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能源局</w:t>
            </w:r>
          </w:p>
        </w:tc>
      </w:tr>
    </w:tbl>
    <w:p>
      <w:pPr>
        <w:widowControl/>
        <w:jc w:val="left"/>
        <w:rPr>
          <w:color w:val="000000" w:themeColor="text1"/>
          <w14:textFill>
            <w14:solidFill>
              <w14:schemeClr w14:val="tx1"/>
            </w14:solidFill>
          </w14:textFill>
        </w:rPr>
        <w:sectPr>
          <w:pgSz w:w="16840" w:h="11907" w:orient="landscape"/>
          <w:pgMar w:top="1418" w:right="1009" w:bottom="1134" w:left="1009" w:header="0" w:footer="1418" w:gutter="0"/>
          <w:pgNumType w:fmt="numberInDash"/>
          <w:cols w:space="720" w:num="1"/>
        </w:sectPr>
      </w:pPr>
    </w:p>
    <w:tbl>
      <w:tblPr>
        <w:tblStyle w:val="30"/>
        <w:tblW w:w="137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7"/>
        <w:gridCol w:w="1184"/>
        <w:gridCol w:w="9510"/>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935"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b/>
                <w:bCs/>
                <w:color w:val="000000" w:themeColor="text1"/>
                <w:spacing w:val="-4"/>
                <w:kern w:val="0"/>
                <w:sz w:val="20"/>
                <w:szCs w:val="20"/>
                <w14:textFill>
                  <w14:solidFill>
                    <w14:schemeClr w14:val="tx1"/>
                  </w14:solidFill>
                </w14:textFill>
              </w:rPr>
              <w:t>重点任务</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47" w:type="dxa"/>
            <w:vMerge w:val="restart"/>
            <w:tcBorders>
              <w:top w:val="single" w:color="000000" w:sz="4" w:space="0"/>
              <w:left w:val="single" w:color="000000" w:sz="4" w:space="0"/>
              <w:bottom w:val="single" w:color="auto" w:sz="4" w:space="0"/>
              <w:right w:val="single" w:color="000000" w:sz="4" w:space="0"/>
            </w:tcBorders>
            <w:vAlign w:val="center"/>
          </w:tcPr>
          <w:p>
            <w:pPr>
              <w:adjustRightInd w:val="0"/>
              <w:snapToGrid w:val="0"/>
              <w:spacing w:before="65"/>
              <w:ind w:left="74"/>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二、加强能源</w:t>
            </w:r>
            <w:r>
              <w:rPr>
                <w:rFonts w:hint="eastAsia" w:eastAsia="宋体" w:asciiTheme="minorEastAsia" w:hAnsiTheme="minorEastAsia" w:cstheme="minorEastAsia"/>
                <w:color w:val="000000" w:themeColor="text1"/>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节约集约管</w:t>
            </w:r>
          </w:p>
          <w:p>
            <w:pPr>
              <w:adjustRightInd w:val="0"/>
              <w:snapToGrid w:val="0"/>
              <w:spacing w:before="63"/>
              <w:ind w:left="74"/>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理</w:t>
            </w:r>
          </w:p>
        </w:tc>
        <w:tc>
          <w:tcPr>
            <w:tcW w:w="118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ind w:left="121" w:right="203"/>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(一)持续优化</w:t>
            </w:r>
            <w:r>
              <w:rPr>
                <w:rFonts w:hint="eastAsia" w:eastAsia="宋体" w:asciiTheme="minorEastAsia" w:hAnsiTheme="minorEastAsia" w:cstheme="minorEastAsia"/>
                <w:color w:val="000000" w:themeColor="text1"/>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能源供给结构</w:t>
            </w:r>
          </w:p>
        </w:tc>
        <w:tc>
          <w:tcPr>
            <w:tcW w:w="9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10.立足保障国家能源安全及我市建设国家重要能源和战略资源基地，持续优化全旗煤矿开发模式和产能结构。</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kern w:val="0"/>
                <w:sz w:val="20"/>
                <w:szCs w:val="20"/>
                <w14:textFill>
                  <w14:solidFill>
                    <w14:schemeClr w14:val="tx1"/>
                  </w14:solidFill>
                </w14:textFill>
              </w:rPr>
              <w:t>11.加快推进煤矿智能化改造，做好5G矿山建设服务。到2025年，具备条件的大型生产煤矿智能化率达60%。</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spacing w:val="1"/>
                <w:kern w:val="2"/>
                <w:sz w:val="20"/>
                <w:szCs w:val="20"/>
                <w14:textFill>
                  <w14:solidFill>
                    <w14:schemeClr w14:val="tx1"/>
                  </w14:solidFill>
                </w14:textFill>
              </w:rPr>
            </w:pPr>
            <w:r>
              <w:rPr>
                <w:rFonts w:hint="eastAsia" w:ascii="宋体" w:hAnsi="宋体" w:eastAsia="宋体" w:cstheme="minorEastAsia"/>
                <w:color w:val="000000" w:themeColor="text1"/>
                <w:spacing w:val="1"/>
                <w:kern w:val="0"/>
                <w:sz w:val="20"/>
                <w:szCs w:val="20"/>
                <w14:textFill>
                  <w14:solidFill>
                    <w14:schemeClr w14:val="tx1"/>
                  </w14:solidFill>
                </w14:textFill>
              </w:rPr>
              <w:t>工信和科技局</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7"/>
                <w:kern w:val="0"/>
                <w:sz w:val="20"/>
                <w:szCs w:val="20"/>
                <w14:textFill>
                  <w14:solidFill>
                    <w14:schemeClr w14:val="tx1"/>
                  </w14:solidFill>
                </w14:textFill>
              </w:rPr>
              <w:t>12.大力推动现役煤电机组节能和超低排放改造，促进服役到期的煤电厂按期关停。加快淘汰落后煤电机组，优化整合中心城区燃煤电厂。鼓励具备条件机组完成煤电灵活性改造，确保聚达38万千瓦光伏发电站项目建成并网。到2025年，全旗煤电总装机力争达到521.85万千瓦，能耗不达标煤电机组全部完成节能改造或依法关停，煤电机组平均供电煤耗较2020年下降5%。</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8"/>
                <w:kern w:val="0"/>
                <w:sz w:val="20"/>
                <w:szCs w:val="20"/>
                <w14:textFill>
                  <w14:solidFill>
                    <w14:schemeClr w14:val="tx1"/>
                  </w14:solidFill>
                </w14:textFill>
              </w:rPr>
              <w:t>13.大力提升新能源供给，加快库布其沙漠“沙戈荒”新能源大基地建设，同步推进达拉特经济开发区增量配电网绿色供电、亿利化学全额自发自用等分布式光伏项目。</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8"/>
                <w:kern w:val="0"/>
                <w:sz w:val="20"/>
                <w:szCs w:val="20"/>
                <w14:textFill>
                  <w14:solidFill>
                    <w14:schemeClr w14:val="tx1"/>
                  </w14:solidFill>
                </w14:textFill>
              </w:rPr>
              <w:t>14.加快构建新型电力系统，扎实推动新型电力系统规划布局，优化城乡电网格局，合理拟定电网改造计划，确保耳自壕、过三梁等500千伏输变电工程建成投运，打造“Ⅲ字型”主干网架。</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3"/>
                <w:kern w:val="0"/>
                <w:sz w:val="20"/>
                <w:szCs w:val="20"/>
                <w14:textFill>
                  <w14:solidFill>
                    <w14:schemeClr w14:val="tx1"/>
                  </w14:solidFill>
                </w14:textFill>
              </w:rPr>
              <w:t>电业局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15.积极对接市级相关部门、市级国有企业，推进旗属国有企业参与油气资源开发合作项目。</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2"/>
                <w:kern w:val="0"/>
                <w:sz w:val="20"/>
                <w:szCs w:val="20"/>
                <w14:textFill>
                  <w14:solidFill>
                    <w14:schemeClr w14:val="tx1"/>
                  </w14:solidFill>
                </w14:textFill>
              </w:rPr>
              <w:t>国资委</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restart"/>
            <w:tcBorders>
              <w:top w:val="single" w:color="auto" w:sz="4" w:space="0"/>
              <w:left w:val="single" w:color="000000" w:sz="4" w:space="0"/>
              <w:bottom w:val="single" w:color="auto" w:sz="4" w:space="0"/>
              <w:right w:val="single" w:color="auto" w:sz="4" w:space="0"/>
            </w:tcBorders>
            <w:vAlign w:val="center"/>
          </w:tcPr>
          <w:p>
            <w:pPr>
              <w:adjustRightInd w:val="0"/>
              <w:snapToGrid w:val="0"/>
              <w:spacing w:before="65"/>
              <w:ind w:left="110" w:right="207"/>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(二)不断提高</w:t>
            </w:r>
            <w:r>
              <w:rPr>
                <w:rFonts w:hint="eastAsia" w:eastAsia="宋体" w:asciiTheme="minorEastAsia" w:hAnsiTheme="minorEastAsia" w:cstheme="minorEastAsia"/>
                <w:color w:val="000000" w:themeColor="text1"/>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能源利用效率</w:t>
            </w: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16.强化源头管控，坚决遏制“两高”项目低水平盲目发展,新建、改扩建项目工艺技术装备达到国内先进水平，能源利用效率达到国家先进标准和标杆水平。</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2"/>
                <w:kern w:val="0"/>
                <w:sz w:val="20"/>
                <w:szCs w:val="20"/>
                <w14:textFill>
                  <w14:solidFill>
                    <w14:schemeClr w14:val="tx1"/>
                  </w14:solidFill>
                </w14:textFill>
              </w:rPr>
              <w:t>发改委</w:t>
            </w:r>
          </w:p>
          <w:p>
            <w:pPr>
              <w:adjustRightInd w:val="0"/>
              <w:snapToGrid w:val="0"/>
              <w:spacing w:line="240" w:lineRule="exact"/>
              <w:jc w:val="center"/>
              <w:rPr>
                <w:rFonts w:hint="eastAsia" w:ascii="宋体" w:hAnsi="宋体" w:eastAsia="宋体" w:cstheme="minorEastAsia"/>
                <w:color w:val="000000" w:themeColor="text1"/>
                <w:kern w:val="0"/>
                <w:sz w:val="20"/>
                <w:szCs w:val="20"/>
                <w14:textFill>
                  <w14:solidFill>
                    <w14:schemeClr w14:val="tx1"/>
                  </w14:solidFill>
                </w14:textFill>
              </w:rPr>
            </w:pPr>
            <w:r>
              <w:rPr>
                <w:rFonts w:hint="eastAsia" w:ascii="宋体" w:hAnsi="宋体" w:eastAsia="宋体" w:cstheme="minorEastAsia"/>
                <w:color w:val="000000" w:themeColor="text1"/>
                <w:spacing w:val="1"/>
                <w:kern w:val="0"/>
                <w:sz w:val="20"/>
                <w:szCs w:val="20"/>
                <w14:textFill>
                  <w14:solidFill>
                    <w14:schemeClr w14:val="tx1"/>
                  </w14:solidFill>
                </w14:textFill>
              </w:rPr>
              <w:t>工信和科技局</w:t>
            </w:r>
          </w:p>
          <w:p>
            <w:pPr>
              <w:adjustRightInd w:val="0"/>
              <w:snapToGrid w:val="0"/>
              <w:spacing w:line="240" w:lineRule="exact"/>
              <w:jc w:val="center"/>
              <w:rPr>
                <w:rFonts w:hint="eastAsia" w:ascii="宋体" w:hAnsi="宋体" w:eastAsia="宋体" w:cstheme="minorEastAsia"/>
                <w:color w:val="000000" w:themeColor="text1"/>
                <w:kern w:val="0"/>
                <w:sz w:val="20"/>
                <w:szCs w:val="20"/>
                <w14:textFill>
                  <w14:solidFill>
                    <w14:schemeClr w14:val="tx1"/>
                  </w14:solidFill>
                </w14:textFill>
              </w:rPr>
            </w:pPr>
            <w:r>
              <w:rPr>
                <w:rFonts w:hint="eastAsia" w:ascii="宋体" w:hAnsi="宋体" w:eastAsia="宋体" w:cstheme="minorEastAsia"/>
                <w:color w:val="000000" w:themeColor="text1"/>
                <w:spacing w:val="3"/>
                <w:kern w:val="0"/>
                <w:sz w:val="20"/>
                <w:szCs w:val="20"/>
                <w14:textFill>
                  <w14:solidFill>
                    <w14:schemeClr w14:val="tx1"/>
                  </w14:solidFill>
                </w14:textFill>
              </w:rPr>
              <w:t>生态环境局</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6"/>
                <w:kern w:val="0"/>
                <w:sz w:val="20"/>
                <w:szCs w:val="20"/>
                <w14:textFill>
                  <w14:solidFill>
                    <w14:schemeClr w14:val="tx1"/>
                  </w14:solidFill>
                </w14:textFill>
              </w:rPr>
              <w:t>17.加快淘汰落后产能，推动冶金、建材、化工等重点行业对标国家先进标准和行业标杆水平开展节能技改。</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2"/>
                <w:kern w:val="0"/>
                <w:position w:val="6"/>
                <w:sz w:val="20"/>
                <w:szCs w:val="20"/>
                <w14:textFill>
                  <w14:solidFill>
                    <w14:schemeClr w14:val="tx1"/>
                  </w14:solidFill>
                </w14:textFill>
              </w:rPr>
              <w:t>发改委</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18.</w:t>
            </w:r>
            <w:r>
              <w:rPr>
                <w:rFonts w:hint="eastAsia" w:ascii="宋体" w:hAnsi="宋体" w:eastAsia="宋体" w:cstheme="minorEastAsia"/>
                <w:color w:val="000000" w:themeColor="text1"/>
                <w:spacing w:val="6"/>
                <w:kern w:val="0"/>
                <w:sz w:val="20"/>
                <w:szCs w:val="20"/>
                <w14:textFill>
                  <w14:solidFill>
                    <w14:schemeClr w14:val="tx1"/>
                  </w14:solidFill>
                </w14:textFill>
              </w:rPr>
              <w:t>全面推进节能城市建设,城镇新建建筑全面执行绿色建筑标准，中心城区规划范围内新建居住建筑平均节能率达到75%,新建公共建筑平均节能率达到72%。</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3"/>
                <w:kern w:val="0"/>
                <w:sz w:val="20"/>
                <w:szCs w:val="20"/>
                <w14:textFill>
                  <w14:solidFill>
                    <w14:schemeClr w14:val="tx1"/>
                  </w14:solidFill>
                </w14:textFill>
              </w:rPr>
              <w:t>19.</w:t>
            </w:r>
            <w:r>
              <w:rPr>
                <w:rFonts w:hint="eastAsia" w:ascii="宋体" w:hAnsi="宋体" w:eastAsia="宋体" w:cstheme="minorEastAsia"/>
                <w:color w:val="000000" w:themeColor="text1"/>
                <w:spacing w:val="6"/>
                <w:kern w:val="0"/>
                <w:sz w:val="20"/>
                <w:szCs w:val="20"/>
                <w14:textFill>
                  <w14:solidFill>
                    <w14:schemeClr w14:val="tx1"/>
                  </w14:solidFill>
                </w14:textFill>
              </w:rPr>
              <w:t>持续推进既有建筑节能改造，按期完成自治区任务。</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住房保障综合中心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7"/>
                <w:kern w:val="0"/>
                <w:sz w:val="20"/>
                <w:szCs w:val="20"/>
                <w14:textFill>
                  <w14:solidFill>
                    <w14:schemeClr w14:val="tx1"/>
                  </w14:solidFill>
                </w14:textFill>
              </w:rPr>
              <w:t>20.稳妥推进清洁燃煤集中供暖，加大热电联产供热范围内燃煤小锅炉关停力度，充分利用存量机组供热能力，提高热电联产供热比重。</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spacing w:val="4"/>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住房保障综合中心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7"/>
                <w:kern w:val="0"/>
                <w:sz w:val="20"/>
                <w:szCs w:val="20"/>
                <w14:textFill>
                  <w14:solidFill>
                    <w14:schemeClr w14:val="tx1"/>
                  </w14:solidFill>
                </w14:textFill>
              </w:rPr>
              <w:t>21.因地制宜推动农村牧区清洁供热，坚持集中式与分布式结合，加快发展太阳能供热和各类型电供热，力争到2025年全旗清洁供热覆盖率达到80%以上。</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spacing w:val="4"/>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能源局</w:t>
            </w:r>
          </w:p>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住房保障综合中心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935"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183" w:type="dxa"/>
            <w:vMerge w:val="continue"/>
            <w:tcBorders>
              <w:top w:val="single" w:color="auto" w:sz="4" w:space="0"/>
              <w:left w:val="single" w:color="000000"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950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7"/>
                <w:kern w:val="0"/>
                <w:sz w:val="20"/>
                <w:szCs w:val="20"/>
                <w14:textFill>
                  <w14:solidFill>
                    <w14:schemeClr w14:val="tx1"/>
                  </w14:solidFill>
                </w14:textFill>
              </w:rPr>
              <w:t>22.优化运输业结构，大力推进多式联运发展，逐步形成大宗货物及集装箱中长距离运输以铁路为主的发展格局，到2025年，全旗大宗物资运输公转铁比例达到5%。</w:t>
            </w:r>
          </w:p>
        </w:tc>
        <w:tc>
          <w:tcPr>
            <w:tcW w:w="18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theme="minorEastAsia"/>
                <w:color w:val="000000" w:themeColor="text1"/>
                <w:kern w:val="2"/>
                <w:sz w:val="20"/>
                <w:szCs w:val="20"/>
                <w14:textFill>
                  <w14:solidFill>
                    <w14:schemeClr w14:val="tx1"/>
                  </w14:solidFill>
                </w14:textFill>
              </w:rPr>
            </w:pPr>
            <w:r>
              <w:rPr>
                <w:rFonts w:hint="eastAsia" w:ascii="宋体" w:hAnsi="宋体" w:eastAsia="宋体" w:cstheme="minorEastAsia"/>
                <w:color w:val="000000" w:themeColor="text1"/>
                <w:spacing w:val="4"/>
                <w:kern w:val="0"/>
                <w:sz w:val="20"/>
                <w:szCs w:val="20"/>
                <w14:textFill>
                  <w14:solidFill>
                    <w14:schemeClr w14:val="tx1"/>
                  </w14:solidFill>
                </w14:textFill>
              </w:rPr>
              <w:t>交通局</w:t>
            </w:r>
          </w:p>
        </w:tc>
      </w:tr>
    </w:tbl>
    <w:p>
      <w:pPr>
        <w:widowControl/>
        <w:jc w:val="left"/>
        <w:rPr>
          <w:color w:val="000000" w:themeColor="text1"/>
          <w14:textFill>
            <w14:solidFill>
              <w14:schemeClr w14:val="tx1"/>
            </w14:solidFill>
          </w14:textFill>
        </w:rPr>
        <w:sectPr>
          <w:pgSz w:w="16840" w:h="11907" w:orient="landscape"/>
          <w:pgMar w:top="1418" w:right="1077" w:bottom="722" w:left="1077" w:header="0" w:footer="1418" w:gutter="0"/>
          <w:pgNumType w:fmt="numberInDash"/>
          <w:cols w:space="720" w:num="1"/>
        </w:sectPr>
      </w:pPr>
    </w:p>
    <w:tbl>
      <w:tblPr>
        <w:tblStyle w:val="30"/>
        <w:tblW w:w="13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0"/>
        <w:gridCol w:w="1276"/>
        <w:gridCol w:w="9490"/>
        <w:gridCol w:w="6"/>
        <w:gridCol w:w="1683"/>
        <w:gridCol w:w="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567" w:hRule="atLeast"/>
          <w:tblHeader/>
          <w:jc w:val="center"/>
        </w:trPr>
        <w:tc>
          <w:tcPr>
            <w:tcW w:w="12063"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ind w:left="475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ind w:left="76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290"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7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二、加强能源</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节约集约管</w:t>
            </w:r>
          </w:p>
          <w:p>
            <w:pPr>
              <w:adjustRightInd w:val="0"/>
              <w:snapToGrid w:val="0"/>
              <w:spacing w:line="240" w:lineRule="exact"/>
              <w:ind w:left="7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理</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01" w:right="219"/>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 (三)健全完善</w:t>
            </w:r>
            <w:r>
              <w:rPr>
                <w:rFonts w:hint="eastAsia" w:ascii="宋体" w:hAnsi="宋体" w:eastAsia="宋体" w:cs="宋体"/>
                <w:color w:val="000000" w:themeColor="text1"/>
                <w:spacing w:val="2"/>
                <w:kern w:val="0"/>
                <w:sz w:val="20"/>
                <w:szCs w:val="20"/>
                <w14:textFill>
                  <w14:solidFill>
                    <w14:schemeClr w14:val="tx1"/>
                  </w14:solidFill>
                </w14:textFill>
              </w:rPr>
              <w:t xml:space="preserve"> </w:t>
            </w:r>
            <w:r>
              <w:rPr>
                <w:rFonts w:hint="eastAsia" w:ascii="宋体" w:hAnsi="宋体" w:eastAsia="宋体" w:cs="宋体"/>
                <w:color w:val="000000" w:themeColor="text1"/>
                <w:spacing w:val="3"/>
                <w:kern w:val="0"/>
                <w:sz w:val="20"/>
                <w:szCs w:val="20"/>
                <w14:textFill>
                  <w14:solidFill>
                    <w14:schemeClr w14:val="tx1"/>
                  </w14:solidFill>
                </w14:textFill>
              </w:rPr>
              <w:t>节能管理体系</w:t>
            </w: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62"/>
              <w:rPr>
                <w:rFonts w:ascii="宋体" w:hAnsi="宋体" w:eastAsia="宋体" w:cs="宋体"/>
                <w:color w:val="000000" w:themeColor="text1"/>
                <w:kern w:val="2"/>
                <w:sz w:val="19"/>
                <w:szCs w:val="19"/>
                <w14:textFill>
                  <w14:solidFill>
                    <w14:schemeClr w14:val="tx1"/>
                  </w14:solidFill>
                </w14:textFill>
              </w:rPr>
            </w:pPr>
            <w:r>
              <w:rPr>
                <w:rFonts w:hint="eastAsia" w:ascii="宋体" w:hAnsi="宋体" w:eastAsia="宋体" w:cs="宋体"/>
                <w:color w:val="000000" w:themeColor="text1"/>
                <w:kern w:val="0"/>
                <w:sz w:val="19"/>
                <w:szCs w:val="19"/>
                <w14:textFill>
                  <w14:solidFill>
                    <w14:schemeClr w14:val="tx1"/>
                  </w14:solidFill>
                </w14:textFill>
              </w:rPr>
              <w:t>23.落实国家、自治区、市级“双碳”“双控”工作部署，编制完成达拉特旗“1+N+X”政策体系，科学统筹节能降碳和经济社会发展。</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227"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62" w:right="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24.实施用能预算管理，强化能耗强度标杆引导，保障低能耗高附加值的优质项目用能需求。</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576"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62" w:right="5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25.加强重点用能单位管理，优化达拉特碳达峰数字化系统，严格执行能源统计、能源利用状况报告制度，确保完成上级下达的能耗增量任务目标。</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spacing w:line="240" w:lineRule="exact"/>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工信和科技局</w:t>
            </w:r>
          </w:p>
          <w:p>
            <w:pPr>
              <w:adjustRightInd w:val="0"/>
              <w:snapToGrid w:val="0"/>
              <w:spacing w:line="240" w:lineRule="exac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统计局</w:t>
            </w:r>
          </w:p>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587"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62" w:right="3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26.落实原料用能不纳入能源消费总量控制，做到规范填报、应统尽统。以“绿色、循环、减排、固碳”为重点，积极谋划实施用能权交易和碳资源交易试点建设，推动全旗节能指标、碳汇资源等有效价值转化及“高低搭配”用能市场化，打造自治区首个碳交易平台，盘活用活全旗能耗资源。</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position w:val="5"/>
                <w:sz w:val="20"/>
                <w:szCs w:val="20"/>
                <w14:textFill>
                  <w14:solidFill>
                    <w14:schemeClr w14:val="tx1"/>
                  </w14:solidFill>
                </w14:textFill>
              </w:rPr>
              <w:t>发改委</w:t>
            </w:r>
          </w:p>
          <w:p>
            <w:pPr>
              <w:adjustRightInd w:val="0"/>
              <w:snapToGrid w:val="0"/>
              <w:spacing w:line="240" w:lineRule="exact"/>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工信和科技局</w:t>
            </w:r>
          </w:p>
          <w:p>
            <w:pPr>
              <w:adjustRightInd w:val="0"/>
              <w:snapToGrid w:val="0"/>
              <w:spacing w:line="240" w:lineRule="exact"/>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统计局</w:t>
            </w:r>
          </w:p>
          <w:p>
            <w:pPr>
              <w:adjustRightInd w:val="0"/>
              <w:snapToGrid w:val="0"/>
              <w:spacing w:line="240" w:lineRule="exact"/>
              <w:jc w:val="center"/>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eastAsia="宋体" w:cs="宋体"/>
                <w:color w:val="000000" w:themeColor="text1"/>
                <w:spacing w:val="3"/>
                <w:kern w:val="0"/>
                <w:position w:val="6"/>
                <w:sz w:val="20"/>
                <w:szCs w:val="20"/>
                <w14:textFill>
                  <w14:solidFill>
                    <w14:schemeClr w14:val="tx1"/>
                  </w14:solidFill>
                </w14:textFill>
              </w:rPr>
              <w:t>市场</w:t>
            </w:r>
            <w:r>
              <w:rPr>
                <w:rFonts w:hint="eastAsia" w:ascii="宋体" w:hAnsi="宋体" w:eastAsia="宋体" w:cs="宋体"/>
                <w:color w:val="000000" w:themeColor="text1"/>
                <w:spacing w:val="3"/>
                <w:kern w:val="0"/>
                <w:position w:val="6"/>
                <w:sz w:val="20"/>
                <w:szCs w:val="20"/>
                <w:lang w:eastAsia="zh-CN"/>
                <w14:textFill>
                  <w14:solidFill>
                    <w14:schemeClr w14:val="tx1"/>
                  </w14:solidFill>
                </w14:textFill>
              </w:rPr>
              <w:t>监督管理局</w:t>
            </w:r>
          </w:p>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624"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000000" w:sz="4" w:space="0"/>
              <w:bottom w:val="single" w:color="000000" w:sz="4" w:space="0"/>
              <w:right w:val="single" w:color="000000" w:sz="4" w:space="0"/>
            </w:tcBorders>
            <w:vAlign w:val="center"/>
          </w:tcPr>
          <w:p>
            <w:pPr>
              <w:pStyle w:val="25"/>
              <w:spacing w:line="240" w:lineRule="exact"/>
              <w:ind w:firstLine="0"/>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snapToGrid w:val="0"/>
                <w:color w:val="000000" w:themeColor="text1"/>
                <w:spacing w:val="2"/>
                <w:kern w:val="0"/>
                <w:sz w:val="20"/>
                <w:szCs w:val="20"/>
                <w14:textFill>
                  <w14:solidFill>
                    <w14:schemeClr w14:val="tx1"/>
                  </w14:solidFill>
                </w14:textFill>
              </w:rPr>
              <w:t>27.加强节能监察队伍建设，提升行业节能主管部门常态化监察水平。</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spacing w:line="240" w:lineRule="exact"/>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工信和科技局</w:t>
            </w:r>
          </w:p>
          <w:p>
            <w:pPr>
              <w:adjustRightInd w:val="0"/>
              <w:snapToGrid w:val="0"/>
              <w:spacing w:line="240" w:lineRule="exact"/>
              <w:jc w:val="center"/>
              <w:rPr>
                <w:rFonts w:hint="eastAsia" w:ascii="宋体" w:hAnsi="宋体" w:eastAsia="宋体" w:cs="宋体"/>
                <w:color w:val="000000" w:themeColor="text1"/>
                <w:kern w:val="2"/>
                <w:sz w:val="20"/>
                <w:szCs w:val="20"/>
                <w:lang w:eastAsia="zh-CN"/>
                <w14:textFill>
                  <w14:solidFill>
                    <w14:schemeClr w14:val="tx1"/>
                  </w14:solidFill>
                </w14:textFill>
              </w:rPr>
            </w:pPr>
            <w:r>
              <w:rPr>
                <w:rFonts w:hint="eastAsia" w:ascii="宋体" w:hAnsi="宋体" w:eastAsia="宋体" w:cs="宋体"/>
                <w:color w:val="000000" w:themeColor="text1"/>
                <w:spacing w:val="3"/>
                <w:kern w:val="0"/>
                <w:position w:val="6"/>
                <w:sz w:val="20"/>
                <w:szCs w:val="20"/>
                <w14:textFill>
                  <w14:solidFill>
                    <w14:schemeClr w14:val="tx1"/>
                  </w14:solidFill>
                </w14:textFill>
              </w:rPr>
              <w:t>市场</w:t>
            </w:r>
            <w:r>
              <w:rPr>
                <w:rFonts w:hint="eastAsia" w:ascii="宋体" w:hAnsi="宋体" w:eastAsia="宋体" w:cs="宋体"/>
                <w:color w:val="000000" w:themeColor="text1"/>
                <w:spacing w:val="3"/>
                <w:kern w:val="0"/>
                <w:position w:val="6"/>
                <w:sz w:val="20"/>
                <w:szCs w:val="20"/>
                <w:lang w:eastAsia="zh-CN"/>
                <w14:textFill>
                  <w14:solidFill>
                    <w14:schemeClr w14:val="tx1"/>
                  </w14:solidFill>
                </w14:textFill>
              </w:rPr>
              <w:t>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62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74"/>
              <w:jc w:val="center"/>
              <w:rPr>
                <w:rFonts w:ascii="宋体" w:hAnsi="宋体" w:eastAsia="宋体" w:cs="宋体"/>
                <w:color w:val="000000" w:themeColor="text1"/>
                <w:kern w:val="2"/>
                <w:sz w:val="19"/>
                <w:szCs w:val="19"/>
                <w14:textFill>
                  <w14:solidFill>
                    <w14:schemeClr w14:val="tx1"/>
                  </w14:solidFill>
                </w14:textFill>
              </w:rPr>
            </w:pPr>
            <w:r>
              <w:rPr>
                <w:rFonts w:hint="eastAsia" w:ascii="宋体" w:hAnsi="宋体" w:eastAsia="宋体" w:cs="宋体"/>
                <w:color w:val="000000" w:themeColor="text1"/>
                <w:spacing w:val="8"/>
                <w:kern w:val="0"/>
                <w:sz w:val="19"/>
                <w:szCs w:val="19"/>
                <w14:textFill>
                  <w14:solidFill>
                    <w14:schemeClr w14:val="tx1"/>
                  </w14:solidFill>
                </w14:textFill>
              </w:rPr>
              <w:t>三、推进矿产</w:t>
            </w:r>
            <w:r>
              <w:rPr>
                <w:rFonts w:hint="eastAsia" w:ascii="宋体" w:hAnsi="宋体" w:eastAsia="宋体" w:cs="宋体"/>
                <w:color w:val="000000" w:themeColor="text1"/>
                <w:kern w:val="0"/>
                <w:sz w:val="19"/>
                <w:szCs w:val="19"/>
                <w14:textFill>
                  <w14:solidFill>
                    <w14:schemeClr w14:val="tx1"/>
                  </w14:solidFill>
                </w14:textFill>
              </w:rPr>
              <w:t xml:space="preserve"> </w:t>
            </w:r>
            <w:r>
              <w:rPr>
                <w:rFonts w:hint="eastAsia" w:ascii="宋体" w:hAnsi="宋体" w:eastAsia="宋体" w:cs="宋体"/>
                <w:color w:val="000000" w:themeColor="text1"/>
                <w:spacing w:val="11"/>
                <w:kern w:val="0"/>
                <w:sz w:val="19"/>
                <w:szCs w:val="19"/>
                <w14:textFill>
                  <w14:solidFill>
                    <w14:schemeClr w14:val="tx1"/>
                  </w14:solidFill>
                </w14:textFill>
              </w:rPr>
              <w:t>资源集约开</w:t>
            </w:r>
          </w:p>
          <w:p>
            <w:pPr>
              <w:adjustRightInd w:val="0"/>
              <w:snapToGrid w:val="0"/>
              <w:spacing w:line="240" w:lineRule="exact"/>
              <w:ind w:left="7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发</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101" w:right="22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(四)提高矿产</w:t>
            </w:r>
            <w:r>
              <w:rPr>
                <w:rFonts w:hint="eastAsia" w:ascii="宋体" w:hAnsi="宋体" w:eastAsia="宋体" w:cs="宋体"/>
                <w:color w:val="000000" w:themeColor="text1"/>
                <w:spacing w:val="4"/>
                <w:kern w:val="0"/>
                <w:sz w:val="20"/>
                <w:szCs w:val="20"/>
                <w14:textFill>
                  <w14:solidFill>
                    <w14:schemeClr w14:val="tx1"/>
                  </w14:solidFill>
                </w14:textFill>
              </w:rPr>
              <w:t xml:space="preserve"> </w:t>
            </w:r>
            <w:r>
              <w:rPr>
                <w:rFonts w:hint="eastAsia" w:ascii="宋体" w:hAnsi="宋体" w:eastAsia="宋体" w:cs="宋体"/>
                <w:color w:val="000000" w:themeColor="text1"/>
                <w:spacing w:val="1"/>
                <w:kern w:val="0"/>
                <w:sz w:val="20"/>
                <w:szCs w:val="20"/>
                <w14:textFill>
                  <w14:solidFill>
                    <w14:schemeClr w14:val="tx1"/>
                  </w14:solidFill>
                </w14:textFill>
              </w:rPr>
              <w:t>资源勘查水平</w:t>
            </w: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62" w:right="1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28.落实新一轮找矿突破战略行动，加大战略性矿产勘查，深入推进煤炭详查项目实施。</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850"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宋体"/>
                <w:color w:val="000000" w:themeColor="text1"/>
                <w:kern w:val="2"/>
                <w:sz w:val="19"/>
                <w:szCs w:val="19"/>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29.加大边角煤资源开发力度，有序实施边角煤资源出让，提高煤炭资源综合利用水平。严格执行自治区矿产资源绿色勘查标准，加强地质勘查行业管理。</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w:t>
            </w:r>
            <w:bookmarkStart w:id="0" w:name="_GoBack"/>
            <w:bookmarkEnd w:id="0"/>
            <w:r>
              <w:rPr>
                <w:rFonts w:hint="eastAsia" w:ascii="宋体" w:hAnsi="宋体" w:eastAsia="宋体" w:cs="宋体"/>
                <w:color w:val="000000" w:themeColor="text1"/>
                <w:spacing w:val="3"/>
                <w:kern w:val="0"/>
                <w:sz w:val="20"/>
                <w:szCs w:val="20"/>
                <w14:textFill>
                  <w14:solidFill>
                    <w14:schemeClr w14:val="tx1"/>
                  </w14:solidFill>
                </w14:textFill>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44" w:right="6"/>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三、推进矿产</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1"/>
                <w:kern w:val="0"/>
                <w:sz w:val="20"/>
                <w:szCs w:val="20"/>
                <w14:textFill>
                  <w14:solidFill>
                    <w14:schemeClr w14:val="tx1"/>
                  </w14:solidFill>
                </w14:textFill>
              </w:rPr>
              <w:t>资源集约开</w:t>
            </w:r>
          </w:p>
          <w:p>
            <w:pPr>
              <w:adjustRightInd w:val="0"/>
              <w:snapToGrid w:val="0"/>
              <w:spacing w:line="240" w:lineRule="exact"/>
              <w:ind w:left="4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发</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ind w:left="70" w:right="23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(五)加强矿产</w:t>
            </w:r>
            <w:r>
              <w:rPr>
                <w:rFonts w:hint="eastAsia" w:ascii="宋体" w:hAnsi="宋体" w:eastAsia="宋体" w:cs="宋体"/>
                <w:color w:val="000000" w:themeColor="text1"/>
                <w:spacing w:val="4"/>
                <w:kern w:val="0"/>
                <w:sz w:val="20"/>
                <w:szCs w:val="20"/>
                <w14:textFill>
                  <w14:solidFill>
                    <w14:schemeClr w14:val="tx1"/>
                  </w14:solidFill>
                </w14:textFill>
              </w:rPr>
              <w:t xml:space="preserve"> 综合开采利用</w:t>
            </w: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ight="3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30.严格执行最低开采规模准入管理制度，促进矿山规模化集约化开采，新建井工煤矿产能原则上不低于300万吨/年。积极探索高岭土、石英砂等共伴生矿种综合开采利用，提高残留矿产资源回收利用率。加大矿山资源整合力度，到2025年，全旗在期矿山数量控制在73个以内。</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Theme="minorHAnsi" w:hAnsiTheme="minorHAnsi" w:eastAsiaTheme="minorEastAsia" w:cstheme="minorBidi"/>
                <w:color w:val="000000" w:themeColor="text1"/>
                <w:kern w:val="2"/>
                <w:sz w:val="21"/>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自然资源局</w:t>
            </w:r>
          </w:p>
          <w:p>
            <w:pPr>
              <w:adjustRightInd w:val="0"/>
              <w:snapToGrid w:val="0"/>
              <w:spacing w:line="220" w:lineRule="exact"/>
              <w:jc w:val="center"/>
              <w:rPr>
                <w:rFonts w:ascii="Times New Roman" w:hAnsi="Times New Roman" w:eastAsia="宋体" w:cs="Times New Roman"/>
                <w:color w:val="000000" w:themeColor="text1"/>
                <w:kern w:val="0"/>
                <w:sz w:val="20"/>
                <w14:textFill>
                  <w14:solidFill>
                    <w14:schemeClr w14:val="tx1"/>
                  </w14:solidFill>
                </w14:textFill>
              </w:rPr>
            </w:pPr>
            <w:r>
              <w:rPr>
                <w:rFonts w:hint="eastAsia" w:ascii="Times New Roman" w:hAnsi="Times New Roman" w:eastAsia="宋体" w:cs="Times New Roman"/>
                <w:color w:val="000000" w:themeColor="text1"/>
                <w:kern w:val="0"/>
                <w:sz w:val="20"/>
                <w14:textFill>
                  <w14:solidFill>
                    <w14:schemeClr w14:val="tx1"/>
                  </w14:solidFill>
                </w14:textFill>
              </w:rPr>
              <w:t>能源局</w:t>
            </w:r>
          </w:p>
          <w:p>
            <w:pPr>
              <w:pStyle w:val="12"/>
              <w:spacing w:line="220" w:lineRule="exact"/>
              <w:ind w:firstLine="0" w:firstLineChars="0"/>
              <w:rPr>
                <w:rFonts w:eastAsia="宋体"/>
                <w:color w:val="000000" w:themeColor="text1"/>
                <w:kern w:val="0"/>
                <w14:textFill>
                  <w14:solidFill>
                    <w14:schemeClr w14:val="tx1"/>
                  </w14:solidFill>
                </w14:textFill>
              </w:rPr>
            </w:pPr>
            <w:r>
              <w:rPr>
                <w:rFonts w:hint="eastAsia" w:eastAsia="宋体" w:cs="宋体"/>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ight="3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31.化保护地矿产开发管理，严格新建项目准入，加强已建项目监管。严格林草地征占用审批，对已通过审批的项目加强后续跟踪监督。</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林草局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ight="7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32</w:t>
            </w:r>
            <w:r>
              <w:rPr>
                <w:rFonts w:hint="eastAsia" w:ascii="宋体" w:hAnsi="宋体" w:eastAsia="宋体" w:cs="宋体"/>
                <w:color w:val="000000" w:themeColor="text1"/>
                <w:spacing w:val="8"/>
                <w:kern w:val="0"/>
                <w:sz w:val="20"/>
                <w:szCs w:val="20"/>
                <w14:textFill>
                  <w14:solidFill>
                    <w14:schemeClr w14:val="tx1"/>
                  </w14:solidFill>
                </w14:textFill>
              </w:rPr>
              <w:t>.全面加强绿色矿山建设，扎实开展绿色矿山建设“回头看”。结合国家标准，推动符合我旗实际的绿色矿山建设，按计划完成绿色矿山建设任务。</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ight="7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33.强化地质环境治理基金使用管理，加大基金使用率考核。</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ight="9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34.积极开展历史遗留废弃矿山治理和山水林田湖草沙一体化治理，积极申报黄河流域历史遗留废弃矿山生态修复示范项目，鼓励引入社会资本参与治理，优先使用治理后的土地发展新能源产业。</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ight="9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35.推进矿产资源优质优用、分级利用和循环利用，鼓励矿产采选废物资源化综合利用，确保建亨能源、亿利洁能等固废资源综合回收利用项目投产。推动一般固体废物综合利用。</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spacing w:val="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line="220" w:lineRule="exact"/>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能源局</w:t>
            </w:r>
          </w:p>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99" w:type="dxa"/>
            <w:vMerge w:val="restart"/>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ind w:left="44" w:right="20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四坚持土地 </w:t>
            </w:r>
            <w:r>
              <w:rPr>
                <w:rFonts w:hint="eastAsia" w:ascii="宋体" w:hAnsi="宋体" w:eastAsia="宋体" w:cs="宋体"/>
                <w:color w:val="000000" w:themeColor="text1"/>
                <w:spacing w:val="2"/>
                <w:kern w:val="0"/>
                <w:sz w:val="20"/>
                <w:szCs w:val="20"/>
                <w14:textFill>
                  <w14:solidFill>
                    <w14:schemeClr w14:val="tx1"/>
                  </w14:solidFill>
                </w14:textFill>
              </w:rPr>
              <w:t>节约集约利</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用</w:t>
            </w:r>
          </w:p>
        </w:tc>
        <w:tc>
          <w:tcPr>
            <w:tcW w:w="1276" w:type="dxa"/>
            <w:vMerge w:val="restart"/>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240" w:lineRule="exact"/>
              <w:ind w:left="70" w:right="24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(六)统筹规划</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土地开发</w:t>
            </w: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36.编制完成全旗国土空间总体规划、苏木镇国土空间规划和应编尽编村庄规划，争取全旗国土空间总体规划和苏木镇国土空间总体规划年内完成报批。</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ind w:left="4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37.加大批而未供、闲置土地处置和城镇低效用地开发力度，有序推进存量建设用地改革再利用。到2025年，盘活现存全部批而未供和闲置土地0.93万亩，盘活闲置土地0.8万亩。</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四、坚持土地</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spacing w:val="12"/>
                <w:kern w:val="0"/>
                <w:sz w:val="20"/>
                <w:szCs w:val="20"/>
                <w14:textFill>
                  <w14:solidFill>
                    <w14:schemeClr w14:val="tx1"/>
                  </w14:solidFill>
                </w14:textFill>
              </w:rPr>
              <w:t>节约集约利</w:t>
            </w:r>
            <w:r>
              <w:rPr>
                <w:rFonts w:hint="eastAsia" w:ascii="宋体" w:hAnsi="宋体" w:eastAsia="宋体" w:cs="宋体"/>
                <w:color w:val="000000" w:themeColor="text1"/>
                <w:kern w:val="0"/>
                <w:sz w:val="20"/>
                <w:szCs w:val="20"/>
                <w14:textFill>
                  <w14:solidFill>
                    <w14:schemeClr w14:val="tx1"/>
                  </w14:solidFill>
                </w14:textFill>
              </w:rPr>
              <w:t xml:space="preserve">  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(七)提升农牧</w:t>
            </w:r>
            <w:r>
              <w:rPr>
                <w:rFonts w:hint="eastAsia" w:ascii="宋体" w:hAnsi="宋体" w:eastAsia="宋体" w:cs="宋体"/>
                <w:color w:val="000000" w:themeColor="text1"/>
                <w:spacing w:val="-2"/>
                <w:kern w:val="0"/>
                <w:sz w:val="20"/>
                <w:szCs w:val="20"/>
                <w14:textFill>
                  <w14:solidFill>
                    <w14:schemeClr w14:val="tx1"/>
                  </w14:solidFill>
                </w14:textFill>
              </w:rPr>
              <w:t>业用地质量</w:t>
            </w: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38.严守耕地保护红线，足额划定耕地及永久基本农田。压实耕地保护主体责任，层层签订耕地保护目标责任书，实行刚性指标考核。</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position w:val="5"/>
                <w:sz w:val="20"/>
                <w:szCs w:val="20"/>
                <w14:textFill>
                  <w14:solidFill>
                    <w14:schemeClr w14:val="tx1"/>
                  </w14:solidFill>
                </w14:textFill>
              </w:rPr>
              <w:t>自然资源局</w:t>
            </w:r>
          </w:p>
          <w:p>
            <w:pPr>
              <w:adjustRightInd w:val="0"/>
              <w:snapToGrid w:val="0"/>
              <w:spacing w:line="220" w:lineRule="exact"/>
              <w:jc w:val="center"/>
              <w:rPr>
                <w:rFonts w:ascii="宋体" w:hAnsi="宋体" w:eastAsia="宋体" w:cs="宋体"/>
                <w:color w:val="000000" w:themeColor="text1"/>
                <w:spacing w:val="3"/>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39.大力开展耕地质量提升行动，有序推进高标准农田建设，加快实施盐碱地改良示范、化肥减量增效、耕地轮作等项目，推广测土配方施肥，加强耕地质量监测点建设。到2025年，全旗新建高标准农田12万亩。</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spacing w:line="220" w:lineRule="exact"/>
              <w:jc w:val="center"/>
              <w:rPr>
                <w:rFonts w:ascii="宋体" w:hAnsi="宋体" w:eastAsia="宋体" w:cs="宋体"/>
                <w:color w:val="000000" w:themeColor="text1"/>
                <w:spacing w:val="3"/>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40.加强耕地用途转用监督，严格落实“进出平衡”管理。强化土地用途管制，常态化开展卫星遥感技术评估监测，实行最严格的土地执法，坚决遏制耕地“非农化”、防止“非粮化”。广泛开展全域土地整治，加快推动高标准农田项目上图入库，切实保障耕地占补平衡指标需求。</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spacing w:line="220" w:lineRule="exact"/>
              <w:jc w:val="center"/>
              <w:rPr>
                <w:rFonts w:ascii="宋体" w:hAnsi="宋体" w:eastAsia="宋体" w:cs="宋体"/>
                <w:color w:val="000000" w:themeColor="text1"/>
                <w:spacing w:val="3"/>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left="4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41.引导农村牧区未有效利用建设用地、闲置宅基地用于发展嘎查村集体经济和庭院经济、家庭农牧场、乡村旅游等产业。</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2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spacing w:line="220" w:lineRule="exact"/>
              <w:jc w:val="center"/>
              <w:rPr>
                <w:rFonts w:ascii="宋体" w:hAnsi="宋体" w:eastAsia="宋体" w:cs="宋体"/>
                <w:color w:val="000000" w:themeColor="text1"/>
                <w:spacing w:val="3"/>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20"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88"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240" w:lineRule="exact"/>
              <w:ind w:right="1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42.深化农村牧区用地制度改革，加快农村牧区产权流转交易体系建设，推进耕地规模化集约化经营，激活农村牧区土地要素市场。</w:t>
            </w:r>
          </w:p>
        </w:tc>
        <w:tc>
          <w:tcPr>
            <w:tcW w:w="1689"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exact"/>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spacing w:line="240" w:lineRule="exact"/>
              <w:jc w:val="center"/>
              <w:rPr>
                <w:rFonts w:ascii="宋体" w:hAnsi="宋体" w:eastAsia="宋体" w:cs="宋体"/>
                <w:color w:val="000000" w:themeColor="text1"/>
                <w:spacing w:val="3"/>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pStyle w:val="12"/>
              <w:ind w:firstLine="0" w:firstLineChars="0"/>
              <w:jc w:val="both"/>
              <w:rPr>
                <w:rFonts w:ascii="Arial" w:eastAsia="宋体"/>
                <w:color w:val="000000" w:themeColor="text1"/>
                <w:kern w:val="0"/>
                <w:sz w:val="20"/>
                <w:szCs w:val="20"/>
                <w14:textFill>
                  <w14:solidFill>
                    <w14:schemeClr w14:val="tx1"/>
                  </w14:solidFill>
                </w14:textFill>
              </w:rPr>
            </w:pPr>
            <w:r>
              <w:rPr>
                <w:rFonts w:hint="eastAsia" w:eastAsia="宋体" w:cs="宋体"/>
                <w:b w:val="0"/>
                <w:bCs w:val="0"/>
                <w:color w:val="000000" w:themeColor="text1"/>
                <w:spacing w:val="4"/>
                <w:kern w:val="0"/>
                <w:sz w:val="20"/>
                <w:szCs w:val="20"/>
                <w14:textFill>
                  <w14:solidFill>
                    <w14:schemeClr w14:val="tx1"/>
                  </w14:solidFill>
                </w14:textFill>
              </w:rPr>
              <w:t>四、坚持土地</w:t>
            </w:r>
            <w:r>
              <w:rPr>
                <w:rFonts w:hint="eastAsia" w:eastAsia="宋体" w:cs="宋体"/>
                <w:b w:val="0"/>
                <w:bCs w:val="0"/>
                <w:color w:val="000000" w:themeColor="text1"/>
                <w:spacing w:val="3"/>
                <w:kern w:val="0"/>
                <w:sz w:val="20"/>
                <w:szCs w:val="20"/>
                <w14:textFill>
                  <w14:solidFill>
                    <w14:schemeClr w14:val="tx1"/>
                  </w14:solidFill>
                </w14:textFill>
              </w:rPr>
              <w:t xml:space="preserve"> </w:t>
            </w:r>
            <w:r>
              <w:rPr>
                <w:rFonts w:hint="eastAsia" w:eastAsia="宋体" w:cs="宋体"/>
                <w:b w:val="0"/>
                <w:bCs w:val="0"/>
                <w:color w:val="000000" w:themeColor="text1"/>
                <w:spacing w:val="12"/>
                <w:kern w:val="0"/>
                <w:sz w:val="20"/>
                <w:szCs w:val="20"/>
                <w14:textFill>
                  <w14:solidFill>
                    <w14:schemeClr w14:val="tx1"/>
                  </w14:solidFill>
                </w14:textFill>
              </w:rPr>
              <w:t>节约集约利</w:t>
            </w:r>
            <w:r>
              <w:rPr>
                <w:rFonts w:hint="eastAsia" w:eastAsia="宋体" w:cs="宋体"/>
                <w:b w:val="0"/>
                <w:bCs w:val="0"/>
                <w:color w:val="000000" w:themeColor="text1"/>
                <w:kern w:val="0"/>
                <w:sz w:val="20"/>
                <w:szCs w:val="20"/>
                <w14:textFill>
                  <w14:solidFill>
                    <w14:schemeClr w14:val="tx1"/>
                  </w14:solidFill>
                </w14:textFill>
              </w:rPr>
              <w:t xml:space="preserve">  用</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65"/>
              <w:ind w:left="61" w:right="25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(八)提高建设 </w:t>
            </w:r>
            <w:r>
              <w:rPr>
                <w:rFonts w:hint="eastAsia" w:ascii="宋体" w:hAnsi="宋体" w:eastAsia="宋体" w:cs="宋体"/>
                <w:color w:val="000000" w:themeColor="text1"/>
                <w:spacing w:val="-2"/>
                <w:kern w:val="0"/>
                <w:sz w:val="20"/>
                <w:szCs w:val="20"/>
                <w14:textFill>
                  <w14:solidFill>
                    <w14:schemeClr w14:val="tx1"/>
                  </w14:solidFill>
                </w14:textFill>
              </w:rPr>
              <w:t>用地利用效率</w:t>
            </w:r>
          </w:p>
        </w:tc>
        <w:tc>
          <w:tcPr>
            <w:tcW w:w="94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7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43.进一步优化土地审批流程。严格执行节约集约用地政策。加快土地二级市场系统平台建设。</w:t>
            </w:r>
          </w:p>
        </w:tc>
        <w:tc>
          <w:tcPr>
            <w:tcW w:w="1683"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宋体" w:cs="Times New Roman" w:eastAsiaTheme="minorEastAsia"/>
                <w:b/>
                <w:bCs/>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auto" w:sz="4" w:space="0"/>
              <w:left w:val="single" w:color="auto" w:sz="4" w:space="0"/>
              <w:bottom w:val="single" w:color="auto" w:sz="4" w:space="0"/>
              <w:right w:val="single" w:color="auto" w:sz="4" w:space="0"/>
            </w:tcBorders>
            <w:vAlign w:val="center"/>
          </w:tcPr>
          <w:p>
            <w:pPr>
              <w:pStyle w:val="6"/>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14:textFill>
                  <w14:solidFill>
                    <w14:schemeClr w14:val="tx1"/>
                  </w14:solidFill>
                </w14:textFill>
              </w:rPr>
              <w:t>44.加强产业用地管理，引导项目向开发区和产业集聚区集中，灵活采取长期租赁、先租后让、租让结合、弹性出让等多种方式供应土地，提高土地精细化管理水平，降低企业用地初始成本。</w:t>
            </w:r>
          </w:p>
        </w:tc>
        <w:tc>
          <w:tcPr>
            <w:tcW w:w="1683"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达拉特开发区</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宋体" w:cs="Times New Roman" w:eastAsiaTheme="minorEastAsia"/>
                <w:b/>
                <w:bCs/>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14:textFill>
                  <w14:solidFill>
                    <w14:schemeClr w14:val="tx1"/>
                  </w14:solidFill>
                </w14:textFill>
              </w:rPr>
              <w:t>45.全面推行“区域评估+标准地”模式，力争工业用地全部实现“标准地”出让。</w:t>
            </w:r>
          </w:p>
        </w:tc>
        <w:tc>
          <w:tcPr>
            <w:tcW w:w="1683"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工达拉特开发区</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jc w:val="center"/>
        </w:trPr>
        <w:tc>
          <w:tcPr>
            <w:tcW w:w="120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宋体" w:cs="Times New Roman" w:eastAsiaTheme="minorEastAsia"/>
                <w:b/>
                <w:bCs/>
                <w:color w:val="000000" w:themeColor="text1"/>
                <w:kern w:val="2"/>
                <w:sz w:val="20"/>
                <w:szCs w:val="20"/>
                <w14:textFill>
                  <w14:solidFill>
                    <w14:schemeClr w14:val="tx1"/>
                  </w14:solidFill>
                </w14:textFill>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auto" w:sz="4" w:space="0"/>
              <w:left w:val="single" w:color="auto" w:sz="4" w:space="0"/>
              <w:bottom w:val="single" w:color="000000" w:sz="4" w:space="0"/>
              <w:right w:val="single" w:color="000000" w:sz="4" w:space="0"/>
            </w:tcBorders>
            <w:vAlign w:val="center"/>
          </w:tcPr>
          <w:p>
            <w:pPr>
              <w:adjustRightInd w:val="0"/>
              <w:snapToGrid w:val="0"/>
              <w:spacing w:before="86"/>
              <w:ind w:left="53" w:right="22"/>
              <w:rPr>
                <w:rFonts w:ascii="宋体" w:hAnsi="宋体" w:eastAsia="仿宋_GB2312"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46.开展全市新能源资源调查，制定新能源发展总体规划和区域有序开发计划，推</w:t>
            </w:r>
            <w:r>
              <w:rPr>
                <w:rFonts w:hint="eastAsia" w:ascii="宋体" w:hAnsi="宋体" w:eastAsia="宋体" w:cs="宋体"/>
                <w:color w:val="000000" w:themeColor="text1"/>
                <w:spacing w:val="5"/>
                <w:kern w:val="0"/>
                <w:sz w:val="20"/>
                <w:szCs w:val="20"/>
                <w14:textFill>
                  <w14:solidFill>
                    <w14:schemeClr w14:val="tx1"/>
                  </w14:solidFill>
                </w14:textFill>
              </w:rPr>
              <w:t>动工矿用地高效利用，鼓励用采矿沉陷区、矿山工业广场发展风光项目。推动增减挂钩项目实施，确保完成增减挂钩项目建设1300亩。</w:t>
            </w:r>
          </w:p>
        </w:tc>
        <w:tc>
          <w:tcPr>
            <w:tcW w:w="16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ind w:left="54" w:right="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四、坚持土地</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节约集约利</w:t>
            </w:r>
          </w:p>
          <w:p>
            <w:pPr>
              <w:adjustRightInd w:val="0"/>
              <w:snapToGrid w:val="0"/>
              <w:spacing w:before="53"/>
              <w:ind w:left="5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用</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ind w:left="80" w:right="23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(八)提高建设 </w:t>
            </w:r>
            <w:r>
              <w:rPr>
                <w:rFonts w:hint="eastAsia" w:ascii="宋体" w:hAnsi="宋体" w:eastAsia="宋体" w:cs="宋体"/>
                <w:color w:val="000000" w:themeColor="text1"/>
                <w:spacing w:val="-2"/>
                <w:kern w:val="0"/>
                <w:sz w:val="20"/>
                <w:szCs w:val="20"/>
                <w14:textFill>
                  <w14:solidFill>
                    <w14:schemeClr w14:val="tx1"/>
                  </w14:solidFill>
                </w14:textFill>
              </w:rPr>
              <w:t>用地利用效率</w:t>
            </w: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14:textFill>
                  <w14:solidFill>
                    <w14:schemeClr w14:val="tx1"/>
                  </w14:solidFill>
                </w14:textFill>
              </w:rPr>
              <w:t>47.</w:t>
            </w:r>
            <w:r>
              <w:rPr>
                <w:rFonts w:hint="eastAsia" w:ascii="宋体" w:hAnsi="宋体" w:eastAsia="宋体" w:cs="宋体"/>
                <w:color w:val="000000" w:themeColor="text1"/>
                <w:spacing w:val="5"/>
                <w:kern w:val="0"/>
                <w:sz w:val="20"/>
                <w:szCs w:val="20"/>
                <w14:textFill>
                  <w14:solidFill>
                    <w14:schemeClr w14:val="tx1"/>
                  </w14:solidFill>
                </w14:textFill>
              </w:rPr>
              <w:t>推动增减挂钩项目实施，确保完成增减挂钩项目建设1300亩。</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4"/>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 xml:space="preserve">财政局  </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乡村振兴局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14:textFill>
                  <w14:solidFill>
                    <w14:schemeClr w14:val="tx1"/>
                  </w14:solidFill>
                </w14:textFill>
              </w:rPr>
              <w:t>48.持续推进节约集约用地，深入开展批而未供、闲置土地“大起底”，坚持一地一策、分类处置，力争完成处置任务2400亩。</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3"/>
                <w:kern w:val="2"/>
                <w:sz w:val="20"/>
                <w:szCs w:val="20"/>
                <w14:textFill>
                  <w14:solidFill>
                    <w14:schemeClr w14:val="tx1"/>
                  </w14:solidFill>
                </w14:textFill>
              </w:rPr>
            </w:pP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Arial" w:hAnsiTheme="minorHAnsi" w:eastAsiaTheme="minorEastAsia" w:cstheme="minorBidi"/>
                <w:color w:val="000000" w:themeColor="text1"/>
                <w:kern w:val="2"/>
                <w:sz w:val="20"/>
                <w:szCs w:val="20"/>
                <w14:textFill>
                  <w14:solidFill>
                    <w14:schemeClr w14:val="tx1"/>
                  </w14:solidFill>
                </w14:textFill>
              </w:rPr>
            </w:pPr>
          </w:p>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snapToGrid w:val="0"/>
                <w:color w:val="000000" w:themeColor="text1"/>
                <w:spacing w:val="8"/>
                <w:kern w:val="0"/>
                <w:sz w:val="20"/>
                <w:szCs w:val="20"/>
                <w14:textFill>
                  <w14:solidFill>
                    <w14:schemeClr w14:val="tx1"/>
                  </w14:solidFill>
                </w14:textFill>
              </w:rPr>
              <w:t>49.完善国有土地有偿使用制度，落实新能源、煤炭、油气等能源项目及输变电工程全面有偿使用，鼓励划拨用地以出让、租赁、入股等多种方式供应，鼓励环境保护、保障性安居工程、养老、教育、文化、体育、供水、供热、燃气供应等项目有偿使用，推动以国有建设用地使用权作价出资、入股方式供应土地。</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9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2"/>
              <w:ind w:left="5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1"/>
                <w:kern w:val="0"/>
                <w:sz w:val="20"/>
                <w:szCs w:val="20"/>
                <w14:textFill>
                  <w14:solidFill>
                    <w14:schemeClr w14:val="tx1"/>
                  </w14:solidFill>
                </w14:textFill>
              </w:rPr>
              <w:t>五、加强水资</w:t>
            </w:r>
            <w:r>
              <w:rPr>
                <w:rFonts w:hint="eastAsia" w:ascii="宋体" w:hAnsi="宋体" w:eastAsia="宋体" w:cs="宋体"/>
                <w:color w:val="000000" w:themeColor="text1"/>
                <w:spacing w:val="2"/>
                <w:kern w:val="0"/>
                <w:sz w:val="20"/>
                <w:szCs w:val="20"/>
                <w14:textFill>
                  <w14:solidFill>
                    <w14:schemeClr w14:val="tx1"/>
                  </w14:solidFill>
                </w14:textFill>
              </w:rPr>
              <w:t xml:space="preserve"> </w:t>
            </w:r>
            <w:r>
              <w:rPr>
                <w:rFonts w:hint="eastAsia" w:ascii="宋体" w:hAnsi="宋体" w:eastAsia="宋体" w:cs="宋体"/>
                <w:color w:val="000000" w:themeColor="text1"/>
                <w:spacing w:val="12"/>
                <w:kern w:val="0"/>
                <w:sz w:val="20"/>
                <w:szCs w:val="20"/>
                <w14:textFill>
                  <w14:solidFill>
                    <w14:schemeClr w14:val="tx1"/>
                  </w14:solidFill>
                </w14:textFill>
              </w:rPr>
              <w:t>源节约保护</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ind w:left="80" w:right="25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(九)强化水资</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源刚性约束</w:t>
            </w: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90"/>
              <w:ind w:left="41" w:right="7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2"/>
                <w:kern w:val="0"/>
                <w:sz w:val="20"/>
                <w:szCs w:val="20"/>
                <w14:textFill>
                  <w14:solidFill>
                    <w14:schemeClr w14:val="tx1"/>
                  </w14:solidFill>
                </w14:textFill>
              </w:rPr>
              <w:t>50.全面落实黄河流域生态保护和高质量发展战略，深入实施深度节水控水行动，全面落实“四水四定”原则。实行最严格水资源管理制度，落实水资源消耗总量和强度双控制度。到2025年，用水总量控制在4.27亿立方米以内，万元GDP用水量较2020年下降7.5%。</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51.严格水资源用途管制，细化分解水资源管控指标，完成黄河取水权细化工作。严格执行自治区行业用水定额标准，新建、改扩建工业和服务业项目水效不得低于自治区行业用水定额先进值，对超过用水定额的已建项目限期开展节水改造。</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2"/>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 工信和科技局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9"/>
                <w:kern w:val="0"/>
                <w:sz w:val="20"/>
                <w:szCs w:val="20"/>
                <w14:textFill>
                  <w14:solidFill>
                    <w14:schemeClr w14:val="tx1"/>
                  </w14:solidFill>
                </w14:textFill>
              </w:rPr>
              <w:t>52.全面推行和完善居民用水阶梯水价制度，落实非居民用水超定额累进加价制度。</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发改委 住建局 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1206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9494"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53.全面加强地下水监管，持续推进地下水超采区治理，压减地下水超采量，推动地下水超采区巩固治理，确保各超采区地下水平均水位较上年同期相对稳定。</w:t>
            </w:r>
          </w:p>
        </w:tc>
        <w:tc>
          <w:tcPr>
            <w:tcW w:w="169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  农牧局</w:t>
            </w:r>
          </w:p>
        </w:tc>
      </w:tr>
    </w:tbl>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9"/>
        <w:gridCol w:w="1277"/>
        <w:gridCol w:w="8928"/>
        <w:gridCol w:w="2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156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jc w:val="center"/>
        </w:trPr>
        <w:tc>
          <w:tcPr>
            <w:tcW w:w="13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spacing w:before="62"/>
              <w:ind w:left="9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五、加强水资</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11"/>
                <w:kern w:val="0"/>
                <w:sz w:val="20"/>
                <w:szCs w:val="20"/>
                <w14:textFill>
                  <w14:solidFill>
                    <w14:schemeClr w14:val="tx1"/>
                  </w14:solidFill>
                </w14:textFill>
              </w:rPr>
              <w:t>源节约保护</w:t>
            </w: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spacing w:before="65"/>
              <w:ind w:left="81" w:right="243"/>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(九)强化水资</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源刚性约束</w:t>
            </w: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3"/>
                <w:kern w:val="0"/>
                <w:sz w:val="20"/>
                <w:szCs w:val="20"/>
                <w14:textFill>
                  <w14:solidFill>
                    <w14:schemeClr w14:val="tx1"/>
                  </w14:solidFill>
                </w14:textFill>
              </w:rPr>
              <w:t>54.严格取用水计量管理，工业、生活和服务业取用地表水和再生水年许可水量20万立方米以上、取用地下水和疏干水年许可水量5万立方米以上的取水单位或个人，以及调水工程及大中型灌区渠首取水口，应安装取用水在线监测计量设施。</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eastAsia="宋体" w:asciiTheme="minorHAnsi" w:hAnsiTheme="minorHAnsi" w:cstheme="minorBidi"/>
                <w:color w:val="000000" w:themeColor="text1"/>
                <w:kern w:val="2"/>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自然资源局</w:t>
            </w:r>
          </w:p>
          <w:p>
            <w:pPr>
              <w:adjustRightInd w:val="0"/>
              <w:snapToGrid w:val="0"/>
              <w:jc w:val="center"/>
              <w:rPr>
                <w:rFonts w:ascii="Times New Roman" w:hAnsi="Times New Roman" w:cs="Times New Roman" w:eastAsiaTheme="minorEastAsia"/>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水利局</w:t>
            </w:r>
            <w:r>
              <w:rPr>
                <w:rFonts w:ascii="Times New Roman" w:hAnsi="Times New Roman" w:eastAsia="宋体" w:cs="Times New Roman"/>
                <w:color w:val="000000" w:themeColor="text1"/>
                <w:kern w:val="0"/>
                <w:sz w:val="20"/>
                <w:szCs w:val="20"/>
                <w14:textFill>
                  <w14:solidFill>
                    <w14:schemeClr w14:val="tx1"/>
                  </w14:solidFill>
                </w14:textFill>
              </w:rPr>
              <w:t xml:space="preserve">  </w:t>
            </w:r>
            <w:r>
              <w:rPr>
                <w:rFonts w:hint="eastAsia" w:ascii="Times New Roman" w:hAnsi="Times New Roman" w:eastAsia="宋体" w:cs="Times New Roman"/>
                <w:color w:val="000000" w:themeColor="text1"/>
                <w:kern w:val="0"/>
                <w:sz w:val="20"/>
                <w:szCs w:val="20"/>
                <w14:textFill>
                  <w14:solidFill>
                    <w14:schemeClr w14:val="tx1"/>
                  </w14:solidFill>
                </w14:textFill>
              </w:rPr>
              <w:t>农牧局</w:t>
            </w:r>
          </w:p>
          <w:p>
            <w:pPr>
              <w:adjustRightInd w:val="0"/>
              <w:snapToGrid w:val="0"/>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市场监管局</w:t>
            </w:r>
            <w:r>
              <w:rPr>
                <w:rFonts w:ascii="Times New Roman" w:hAnsi="Times New Roman" w:eastAsia="宋体" w:cs="Times New Roman"/>
                <w:color w:val="000000" w:themeColor="text1"/>
                <w:kern w:val="0"/>
                <w:sz w:val="20"/>
                <w:szCs w:val="20"/>
                <w14:textFill>
                  <w14:solidFill>
                    <w14:schemeClr w14:val="tx1"/>
                  </w14:solidFill>
                </w14:textFill>
              </w:rPr>
              <w:t xml:space="preserve">  </w:t>
            </w:r>
            <w:r>
              <w:rPr>
                <w:rFonts w:hint="eastAsia" w:ascii="Times New Roman" w:hAnsi="Times New Roman" w:eastAsia="宋体" w:cs="Times New Roman"/>
                <w:color w:val="000000" w:themeColor="text1"/>
                <w:kern w:val="0"/>
                <w:sz w:val="20"/>
                <w:szCs w:val="20"/>
                <w14:textFill>
                  <w14:solidFill>
                    <w14:schemeClr w14:val="tx1"/>
                  </w14:solidFill>
                </w14:textFill>
              </w:rPr>
              <w:t>能源局</w:t>
            </w:r>
          </w:p>
          <w:p>
            <w:pPr>
              <w:pStyle w:val="12"/>
              <w:ind w:firstLine="406"/>
              <w:rPr>
                <w:rFonts w:eastAsia="宋体"/>
                <w:color w:val="000000" w:themeColor="text1"/>
                <w:kern w:val="0"/>
                <w:sz w:val="20"/>
                <w:szCs w:val="20"/>
                <w14:textFill>
                  <w14:solidFill>
                    <w14:schemeClr w14:val="tx1"/>
                  </w14:solidFill>
                </w14:textFill>
              </w:rPr>
            </w:pPr>
            <w:r>
              <w:rPr>
                <w:rFonts w:hint="eastAsia" w:eastAsia="宋体" w:cs="宋体"/>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3"/>
                <w:kern w:val="0"/>
                <w:sz w:val="20"/>
                <w:szCs w:val="20"/>
                <w14:textFill>
                  <w14:solidFill>
                    <w14:schemeClr w14:val="tx1"/>
                  </w14:solidFill>
                </w14:textFill>
              </w:rPr>
              <w:t>55.经济开发区工业用水及具备安装在线计量设施条件的矿山疏干排水全部实现在线计量监测。农业灌溉取用地下水全面实行“以电折水”。</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自然资源层</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  农牧局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70"/>
              <w:ind w:right="52"/>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56.将非常规水源纳入水资源统一配置范围，强化考核约束。到2025年，非常规水源使用量达到0.13亿立方米以上。</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spacing w:before="65"/>
              <w:ind w:left="81" w:right="239"/>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(十)加强重点 </w:t>
            </w:r>
            <w:r>
              <w:rPr>
                <w:rFonts w:hint="eastAsia" w:ascii="宋体" w:hAnsi="宋体" w:eastAsia="宋体" w:cs="宋体"/>
                <w:color w:val="000000" w:themeColor="text1"/>
                <w:spacing w:val="-2"/>
                <w:kern w:val="0"/>
                <w:sz w:val="20"/>
                <w:szCs w:val="20"/>
                <w14:textFill>
                  <w14:solidFill>
                    <w14:schemeClr w14:val="tx1"/>
                  </w14:solidFill>
                </w14:textFill>
              </w:rPr>
              <w:t>领域水资源节</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约</w:t>
            </w: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61"/>
              <w:ind w:right="33"/>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57.大力开展农业节水行动，大力推广糜子、荞麦等抗旱品种，严格控制超采区农业用水。在非超采区，全面推广高效节水农艺措施，通过深耕深松、增施有机肥、秸秆还田、客土还田、测土配方等土壤改良措施，推进精准灌溉、水肥一体化耕作。</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2"/>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水利局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农牧局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74"/>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8"/>
                <w:kern w:val="0"/>
                <w:sz w:val="20"/>
                <w:szCs w:val="20"/>
                <w14:textFill>
                  <w14:solidFill>
                    <w14:schemeClr w14:val="tx1"/>
                  </w14:solidFill>
                </w14:textFill>
              </w:rPr>
              <w:t>58.在旱作区，按照“四水四定”要求，加大梁外沟壑丘陵地区旱作高标准农田建设，利用集雨设施收集地表水，满足农业灌溉用水。到2025年，全旗农田灌溉水有效利用系数提高到0 .56。</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4"/>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p>
            <w:pPr>
              <w:adjustRightInd w:val="0"/>
              <w:snapToGrid w:val="0"/>
              <w:spacing w:before="3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林草局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4"/>
                <w:kern w:val="0"/>
                <w:sz w:val="20"/>
                <w:szCs w:val="20"/>
                <w14:textFill>
                  <w14:solidFill>
                    <w14:schemeClr w14:val="tx1"/>
                  </w14:solidFill>
                </w14:textFill>
              </w:rPr>
              <w:t>59.加快退化沙化草地治理，恢复草场植被，保证柠条种植成活率。合理调整供水价格，引导农牧民节约用水。加大节水设施投入力度。加强节水宣传，鼓励发展高产出低耗水新型产业，严控新建高耗水项目。到2025年，全旗万元工业增加值用水量较2020年下降12.5%。</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4"/>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 农牧局 林草局</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60.大力推广先进适用工业节水技术、工艺、设备，开展节水评估，深挖节水潜力，支持重点行业实施工业水效提升改造，推进用水系统集成优化，实现串联用水、分质用水、一水多用和梯级利用。</w:t>
            </w:r>
            <w:r>
              <w:rPr>
                <w:rFonts w:hint="eastAsia" w:ascii="宋体" w:hAnsi="宋体" w:eastAsia="宋体" w:cs="宋体"/>
                <w:color w:val="000000" w:themeColor="text1"/>
                <w:spacing w:val="2"/>
                <w:kern w:val="0"/>
                <w:sz w:val="20"/>
                <w:szCs w:val="20"/>
                <w14:textFill>
                  <w14:solidFill>
                    <w14:schemeClr w14:val="tx1"/>
                  </w14:solidFill>
                </w14:textFill>
              </w:rPr>
              <w:t>新建、改扩建火力发电、化工等高耗水工业项目禁止取用地下水，城市园林绿化鼓励使用再生水、疏干水等非常规水源，严禁取用地下水用于城市水景观、水上娱乐和人工造雪项目等。</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公用事业服务中心</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jc w:val="center"/>
        </w:trPr>
        <w:tc>
          <w:tcPr>
            <w:tcW w:w="115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930"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61.完善市政再生水管网等基础设施。加强城镇老旧供水管网更新改造。按照水源地保护工作“属地管理、政府主导、部门联动”原则，切实加强饮用水水源地保护，确保水质安全。持续推进县域节水型社会建设，到2025年，完成县域节水型社会创建达标。</w:t>
            </w:r>
          </w:p>
        </w:tc>
        <w:tc>
          <w:tcPr>
            <w:tcW w:w="20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HAnsi" w:hAnsiTheme="minorHAnsi" w:eastAsiaTheme="minorEastAsia" w:cstheme="minorBidi"/>
                <w:color w:val="000000" w:themeColor="text1"/>
                <w:kern w:val="2"/>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财政局</w:t>
            </w:r>
            <w:r>
              <w:rPr>
                <w:rFonts w:ascii="Times New Roman" w:hAnsi="Times New Roman" w:eastAsia="宋体" w:cs="Times New Roman"/>
                <w:color w:val="000000" w:themeColor="text1"/>
                <w:kern w:val="0"/>
                <w:sz w:val="20"/>
                <w:szCs w:val="20"/>
                <w14:textFill>
                  <w14:solidFill>
                    <w14:schemeClr w14:val="tx1"/>
                  </w14:solidFill>
                </w14:textFill>
              </w:rPr>
              <w:t xml:space="preserve">  </w:t>
            </w:r>
            <w:r>
              <w:rPr>
                <w:rFonts w:hint="eastAsia" w:ascii="Times New Roman" w:hAnsi="Times New Roman" w:eastAsia="宋体" w:cs="Times New Roman"/>
                <w:color w:val="000000" w:themeColor="text1"/>
                <w:kern w:val="0"/>
                <w:sz w:val="20"/>
                <w:szCs w:val="20"/>
                <w14:textFill>
                  <w14:solidFill>
                    <w14:schemeClr w14:val="tx1"/>
                  </w14:solidFill>
                </w14:textFill>
              </w:rPr>
              <w:t>水利局</w:t>
            </w:r>
          </w:p>
          <w:p>
            <w:pPr>
              <w:adjustRightInd w:val="0"/>
              <w:snapToGrid w:val="0"/>
              <w:jc w:val="center"/>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3"/>
                <w:kern w:val="0"/>
                <w:sz w:val="20"/>
                <w:szCs w:val="20"/>
                <w14:textFill>
                  <w14:solidFill>
                    <w14:schemeClr w14:val="tx1"/>
                  </w14:solidFill>
                </w14:textFill>
              </w:rPr>
              <w:t>生态环境局</w:t>
            </w:r>
          </w:p>
          <w:p>
            <w:pPr>
              <w:adjustRightInd w:val="0"/>
              <w:snapToGrid w:val="0"/>
              <w:spacing w:before="2"/>
              <w:jc w:val="center"/>
              <w:rPr>
                <w:rFonts w:ascii="宋体" w:hAnsi="宋体" w:eastAsia="宋体" w:cs="宋体"/>
                <w:color w:val="000000" w:themeColor="text1"/>
                <w:spacing w:val="4"/>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 xml:space="preserve">自然资源局  </w:t>
            </w:r>
            <w:r>
              <w:rPr>
                <w:rFonts w:hint="eastAsia" w:ascii="宋体" w:hAnsi="宋体" w:eastAsia="宋体" w:cs="宋体"/>
                <w:color w:val="000000" w:themeColor="text1"/>
                <w:spacing w:val="4"/>
                <w:kern w:val="0"/>
                <w:sz w:val="20"/>
                <w:szCs w:val="20"/>
                <w14:textFill>
                  <w14:solidFill>
                    <w14:schemeClr w14:val="tx1"/>
                  </w14:solidFill>
                </w14:textFill>
              </w:rPr>
              <w:t>建设局</w:t>
            </w:r>
          </w:p>
        </w:tc>
      </w:tr>
    </w:tbl>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p>
      <w:pPr>
        <w:adjustRightInd w:val="0"/>
        <w:snapToGrid w:val="0"/>
        <w:rPr>
          <w:rFonts w:hint="eastAsia"/>
          <w:color w:val="000000" w:themeColor="text1"/>
          <w14:textFill>
            <w14:solidFill>
              <w14:schemeClr w14:val="tx1"/>
            </w14:solidFill>
          </w14:textFill>
        </w:r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2"/>
        <w:gridCol w:w="1668"/>
        <w:gridCol w:w="8073"/>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110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474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03" w:type="dxa"/>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76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8" w:hRule="atLeast"/>
          <w:jc w:val="center"/>
        </w:trPr>
        <w:tc>
          <w:tcPr>
            <w:tcW w:w="1362"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2"/>
              <w:ind w:left="64"/>
              <w:rPr>
                <w:rFonts w:ascii="宋体" w:hAnsi="宋体" w:eastAsia="宋体" w:cs="宋体"/>
                <w:color w:val="000000" w:themeColor="text1"/>
                <w:spacing w:val="8"/>
                <w:kern w:val="0"/>
                <w:sz w:val="19"/>
                <w:szCs w:val="19"/>
                <w14:textFill>
                  <w14:solidFill>
                    <w14:schemeClr w14:val="tx1"/>
                  </w14:solidFill>
                </w14:textFill>
              </w:rPr>
            </w:pPr>
          </w:p>
          <w:p>
            <w:pPr>
              <w:adjustRightInd w:val="0"/>
              <w:snapToGrid w:val="0"/>
              <w:spacing w:before="62"/>
              <w:ind w:left="64"/>
              <w:rPr>
                <w:rFonts w:ascii="宋体" w:hAnsi="宋体" w:eastAsia="宋体" w:cs="宋体"/>
                <w:color w:val="000000" w:themeColor="text1"/>
                <w:kern w:val="2"/>
                <w:sz w:val="19"/>
                <w:szCs w:val="19"/>
                <w14:textFill>
                  <w14:solidFill>
                    <w14:schemeClr w14:val="tx1"/>
                  </w14:solidFill>
                </w14:textFill>
              </w:rPr>
            </w:pPr>
            <w:r>
              <w:rPr>
                <w:rFonts w:hint="eastAsia" w:ascii="宋体" w:hAnsi="宋体" w:eastAsia="宋体" w:cs="宋体"/>
                <w:color w:val="000000" w:themeColor="text1"/>
                <w:spacing w:val="8"/>
                <w:kern w:val="0"/>
                <w:sz w:val="19"/>
                <w:szCs w:val="19"/>
                <w14:textFill>
                  <w14:solidFill>
                    <w14:schemeClr w14:val="tx1"/>
                  </w14:solidFill>
                </w14:textFill>
              </w:rPr>
              <w:t>六、开展粮食</w:t>
            </w:r>
            <w:r>
              <w:rPr>
                <w:rFonts w:hint="eastAsia" w:ascii="宋体" w:hAnsi="宋体" w:eastAsia="宋体" w:cs="宋体"/>
                <w:color w:val="000000" w:themeColor="text1"/>
                <w:kern w:val="0"/>
                <w:sz w:val="19"/>
                <w:szCs w:val="19"/>
                <w14:textFill>
                  <w14:solidFill>
                    <w14:schemeClr w14:val="tx1"/>
                  </w14:solidFill>
                </w14:textFill>
              </w:rPr>
              <w:t xml:space="preserve"> </w:t>
            </w:r>
            <w:r>
              <w:rPr>
                <w:rFonts w:hint="eastAsia" w:ascii="宋体" w:hAnsi="宋体" w:eastAsia="宋体" w:cs="宋体"/>
                <w:color w:val="000000" w:themeColor="text1"/>
                <w:spacing w:val="13"/>
                <w:kern w:val="0"/>
                <w:sz w:val="19"/>
                <w:szCs w:val="19"/>
                <w14:textFill>
                  <w14:solidFill>
                    <w14:schemeClr w14:val="tx1"/>
                  </w14:solidFill>
                </w14:textFill>
              </w:rPr>
              <w:t>节约行动</w:t>
            </w:r>
          </w:p>
        </w:tc>
        <w:tc>
          <w:tcPr>
            <w:tcW w:w="1668"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5"/>
              <w:ind w:left="80" w:right="240"/>
              <w:rPr>
                <w:rFonts w:ascii="宋体" w:hAnsi="宋体" w:eastAsia="宋体" w:cs="宋体"/>
                <w:color w:val="000000" w:themeColor="text1"/>
                <w:spacing w:val="-3"/>
                <w:kern w:val="0"/>
                <w:sz w:val="20"/>
                <w:szCs w:val="20"/>
                <w14:textFill>
                  <w14:solidFill>
                    <w14:schemeClr w14:val="tx1"/>
                  </w14:solidFill>
                </w14:textFill>
              </w:rPr>
            </w:pPr>
          </w:p>
          <w:p>
            <w:pPr>
              <w:adjustRightInd w:val="0"/>
              <w:snapToGrid w:val="0"/>
              <w:spacing w:before="65"/>
              <w:ind w:left="80" w:right="24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(十</w:t>
            </w:r>
            <w:r>
              <w:rPr>
                <w:rFonts w:hint="eastAsia" w:ascii="宋体" w:hAnsi="宋体" w:eastAsia="宋体" w:cs="宋体"/>
                <w:color w:val="000000" w:themeColor="text1"/>
                <w:spacing w:val="-71"/>
                <w:kern w:val="0"/>
                <w:sz w:val="20"/>
                <w:szCs w:val="20"/>
                <w14:textFill>
                  <w14:solidFill>
                    <w14:schemeClr w14:val="tx1"/>
                  </w14:solidFill>
                </w14:textFill>
              </w:rPr>
              <w:t xml:space="preserve">一      </w:t>
            </w:r>
            <w:r>
              <w:rPr>
                <w:rFonts w:hint="eastAsia" w:ascii="宋体" w:hAnsi="宋体" w:eastAsia="宋体" w:cs="宋体"/>
                <w:color w:val="000000" w:themeColor="text1"/>
                <w:spacing w:val="-3"/>
                <w:kern w:val="0"/>
                <w:sz w:val="20"/>
                <w:szCs w:val="20"/>
                <w14:textFill>
                  <w14:solidFill>
                    <w14:schemeClr w14:val="tx1"/>
                  </w14:solidFill>
                </w14:textFill>
              </w:rPr>
              <w:t>)构建全</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链条节约减损</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spacing w:val="9"/>
                <w:kern w:val="0"/>
                <w:sz w:val="20"/>
                <w:szCs w:val="20"/>
                <w14:textFill>
                  <w14:solidFill>
                    <w14:schemeClr w14:val="tx1"/>
                  </w14:solidFill>
                </w14:textFill>
              </w:rPr>
              <w:t>体系</w:t>
            </w: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122"/>
              <w:ind w:left="52" w:right="4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62.全面落实国家农机购置与应用补贴政策措施，引进推广精量播种机和高效收获机械，推广机收减损技术，确保主要粮食作物机收平均损失率达到国家农机作业质量标准。到2025年全旗农作物耕种收综合机械化率提高到88%以上，到2030年达到90%以上。</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农机服务中心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84"/>
              <w:ind w:right="6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63.加强粮食储存环节减损能力建设，开展绿色仓储提升行动，推广节约高效便捷的储粮装具。</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362" w:type="dxa"/>
            <w:vMerge w:val="restart"/>
            <w:tcBorders>
              <w:top w:val="single" w:color="auto" w:sz="4" w:space="0"/>
              <w:left w:val="single" w:color="auto" w:sz="4" w:space="0"/>
              <w:bottom w:val="single" w:color="auto" w:sz="4" w:space="0"/>
              <w:right w:val="single" w:color="auto" w:sz="4" w:space="0"/>
            </w:tcBorders>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pPr>
          </w:p>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六、开展粮食</w:t>
            </w: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节约行动</w:t>
            </w:r>
          </w:p>
        </w:tc>
        <w:tc>
          <w:tcPr>
            <w:tcW w:w="1668"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Theme="minorEastAsia" w:hAnsiTheme="minorEastAsia" w:eastAsiaTheme="minorEastAsia" w:cstheme="minorEastAsia"/>
                <w:color w:val="000000" w:themeColor="text1"/>
                <w:spacing w:val="1"/>
                <w:kern w:val="2"/>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pPr>
          </w:p>
          <w:p>
            <w:pPr>
              <w:adjustRightInd w:val="0"/>
              <w:snapToGrid w:val="0"/>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pPr>
          </w:p>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 xml:space="preserve">(十一)构建全 </w:t>
            </w: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链条节约减损</w:t>
            </w: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9"/>
                <w:kern w:val="0"/>
                <w:sz w:val="20"/>
                <w:szCs w:val="20"/>
                <w14:textFill>
                  <w14:solidFill>
                    <w14:schemeClr w14:val="tx1"/>
                  </w14:solidFill>
                </w14:textFill>
              </w:rPr>
              <w:t>体系</w:t>
            </w: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8"/>
                <w:kern w:val="0"/>
                <w:sz w:val="20"/>
                <w:szCs w:val="20"/>
                <w14:textFill>
                  <w14:solidFill>
                    <w14:schemeClr w14:val="tx1"/>
                  </w14:solidFill>
                </w14:textFill>
              </w:rPr>
              <w:t>64.</w:t>
            </w:r>
            <w:r>
              <w:rPr>
                <w:rFonts w:hint="eastAsia" w:eastAsia="宋体" w:asciiTheme="minorEastAsia" w:hAnsiTheme="minorEastAsia" w:cstheme="minorEastAsia"/>
                <w:color w:val="000000" w:themeColor="text1"/>
                <w:kern w:val="0"/>
                <w:sz w:val="20"/>
                <w:szCs w:val="20"/>
                <w14:textFill>
                  <w14:solidFill>
                    <w14:schemeClr w14:val="tx1"/>
                  </w14:solidFill>
                </w14:textFill>
              </w:rPr>
              <w:t>支持粮食运输基础设施建设，减少粮食运输环节损失。</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8"/>
              <w:jc w:val="center"/>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 xml:space="preserve">交通局 </w:t>
            </w: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铁舫中心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68"/>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65.</w:t>
            </w:r>
            <w:r>
              <w:rPr>
                <w:rFonts w:hint="eastAsia" w:eastAsia="宋体" w:asciiTheme="minorEastAsia" w:hAnsiTheme="minorEastAsia" w:cstheme="minorEastAsia"/>
                <w:color w:val="000000" w:themeColor="text1"/>
                <w:kern w:val="0"/>
                <w:sz w:val="20"/>
                <w:szCs w:val="20"/>
                <w14:textFill>
                  <w14:solidFill>
                    <w14:schemeClr w14:val="tx1"/>
                  </w14:solidFill>
                </w14:textFill>
              </w:rPr>
              <w:t>推动粮油加工设备更新，提高粮食有效转化率。</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210"/>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6"/>
                <w:kern w:val="0"/>
                <w:sz w:val="20"/>
                <w:szCs w:val="20"/>
                <w14:textFill>
                  <w14:solidFill>
                    <w14:schemeClr w14:val="tx1"/>
                  </w14:solidFill>
                </w14:textFill>
              </w:rPr>
              <w:t>66.</w:t>
            </w:r>
            <w:r>
              <w:rPr>
                <w:rFonts w:hint="eastAsia" w:eastAsia="宋体" w:asciiTheme="minorEastAsia" w:hAnsiTheme="minorEastAsia" w:cstheme="minorEastAsia"/>
                <w:color w:val="000000" w:themeColor="text1"/>
                <w:kern w:val="0"/>
                <w:sz w:val="20"/>
                <w:szCs w:val="20"/>
                <w14:textFill>
                  <w14:solidFill>
                    <w14:schemeClr w14:val="tx1"/>
                  </w14:solidFill>
                </w14:textFill>
              </w:rPr>
              <w:t>加强餐饮行业经营行为管理，推进“光盘行动”常态化。</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spacing w:val="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p>
            <w:pPr>
              <w:adjustRightInd w:val="0"/>
              <w:snapToGrid w:val="0"/>
              <w:jc w:val="center"/>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99"/>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6"/>
                <w:kern w:val="0"/>
                <w:sz w:val="20"/>
                <w:szCs w:val="20"/>
                <w14:textFill>
                  <w14:solidFill>
                    <w14:schemeClr w14:val="tx1"/>
                  </w14:solidFill>
                </w14:textFill>
              </w:rPr>
              <w:t>67.在单位内部及商务行业领域发出“厉行节约、反对浪费”倡议书，引导广大群众文明用餐、节约用餐，切实培养节约习惯，要营造浪费可耻、节约为荣的氛围。</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19"/>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机关事务服务中心</w:t>
            </w:r>
          </w:p>
          <w:p>
            <w:pPr>
              <w:adjustRightInd w:val="0"/>
              <w:snapToGrid w:val="0"/>
              <w:jc w:val="cente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p>
            <w:pPr>
              <w:adjustRightInd w:val="0"/>
              <w:snapToGrid w:val="0"/>
              <w:jc w:val="center"/>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16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Theme="minorHAnsi" w:eastAsiaTheme="minorEastAsia" w:cstheme="minorBidi"/>
                <w:color w:val="000000" w:themeColor="text1"/>
                <w:kern w:val="2"/>
                <w:sz w:val="21"/>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6"/>
                <w:kern w:val="0"/>
                <w:sz w:val="20"/>
                <w:szCs w:val="20"/>
                <w14:textFill>
                  <w14:solidFill>
                    <w14:schemeClr w14:val="tx1"/>
                  </w14:solidFill>
                </w14:textFill>
              </w:rPr>
              <w:t>68.</w:t>
            </w:r>
            <w:r>
              <w:rPr>
                <w:rFonts w:hint="eastAsia" w:eastAsia="宋体" w:asciiTheme="minorEastAsia" w:hAnsiTheme="minorEastAsia" w:cstheme="minorEastAsia"/>
                <w:color w:val="000000" w:themeColor="text1"/>
                <w:spacing w:val="8"/>
                <w:kern w:val="0"/>
                <w:sz w:val="20"/>
                <w:szCs w:val="20"/>
                <w14:textFill>
                  <w14:solidFill>
                    <w14:schemeClr w14:val="tx1"/>
                  </w14:solidFill>
                </w14:textFill>
              </w:rPr>
              <w:t>充分发挥新媒体平台作用，营造节约粮食良好氛围。</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spacing w:val="4"/>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宣传部</w:t>
            </w:r>
          </w:p>
          <w:p>
            <w:pPr>
              <w:adjustRightInd w:val="0"/>
              <w:snapToGrid w:val="0"/>
              <w:jc w:val="center"/>
              <w:rPr>
                <w:rFonts w:asciiTheme="minorEastAsia" w:hAnsiTheme="minorEastAsia" w:eastAsiaTheme="minorEastAsia" w:cstheme="minorEastAsia"/>
                <w:snapToGrid w:val="0"/>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融媒体中心</w:t>
            </w:r>
          </w:p>
        </w:tc>
      </w:tr>
    </w:tbl>
    <w:p>
      <w:pPr>
        <w:adjustRightInd w:val="0"/>
        <w:snapToGrid w:val="0"/>
        <w:rPr>
          <w:color w:val="000000" w:themeColor="text1"/>
          <w14:textFill>
            <w14:solidFill>
              <w14:schemeClr w14:val="tx1"/>
            </w14:solidFill>
          </w14:textFill>
        </w:rPr>
      </w:pPr>
    </w:p>
    <w:p>
      <w:pPr>
        <w:adjustRightInd w:val="0"/>
        <w:snapToGrid w:val="0"/>
        <w:rPr>
          <w:color w:val="000000" w:themeColor="text1"/>
          <w14:textFill>
            <w14:solidFill>
              <w14:schemeClr w14:val="tx1"/>
            </w14:solidFill>
          </w14:textFill>
        </w:rPr>
      </w:pPr>
    </w:p>
    <w:p>
      <w:pPr>
        <w:adjustRightInd w:val="0"/>
        <w:snapToGrid w:val="0"/>
        <w:rPr>
          <w:color w:val="000000" w:themeColor="text1"/>
          <w14:textFill>
            <w14:solidFill>
              <w14:schemeClr w14:val="tx1"/>
            </w14:solidFill>
          </w14:textFill>
        </w:rPr>
      </w:pPr>
    </w:p>
    <w:p>
      <w:pPr>
        <w:adjustRightInd w:val="0"/>
        <w:snapToGrid w:val="0"/>
        <w:rPr>
          <w:rFonts w:ascii="Arial"/>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658"/>
        <w:gridCol w:w="8334"/>
        <w:gridCol w:w="2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1367"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ind w:left="4747"/>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b/>
                <w:bCs/>
                <w:color w:val="000000" w:themeColor="text1"/>
                <w:spacing w:val="-4"/>
                <w:kern w:val="0"/>
                <w:sz w:val="20"/>
                <w:szCs w:val="20"/>
                <w14:textFill>
                  <w14:solidFill>
                    <w14:schemeClr w14:val="tx1"/>
                  </w14:solidFill>
                </w14:textFill>
              </w:rPr>
              <w:t>重点任务</w:t>
            </w: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0"/>
              <w:ind w:firstLine="572" w:firstLineChars="300"/>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spacing w:before="65"/>
              <w:ind w:left="54" w:right="5"/>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七、推进资源</w:t>
            </w: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全面循环利</w:t>
            </w:r>
          </w:p>
          <w:p>
            <w:pPr>
              <w:adjustRightInd w:val="0"/>
              <w:snapToGrid w:val="0"/>
              <w:spacing w:before="23"/>
              <w:ind w:left="65"/>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用</w:t>
            </w:r>
          </w:p>
        </w:tc>
        <w:tc>
          <w:tcPr>
            <w:tcW w:w="1658"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p>
          <w:p>
            <w:pPr>
              <w:adjustRightInd w:val="0"/>
              <w:snapToGrid w:val="0"/>
              <w:spacing w:before="65"/>
              <w:ind w:left="80" w:right="233"/>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(十二)提高资</w:t>
            </w:r>
            <w:r>
              <w:rPr>
                <w:rFonts w:hint="eastAsia" w:eastAsia="宋体" w:asciiTheme="minorEastAsia" w:hAnsiTheme="minorEastAsia" w:cstheme="minorEastAsia"/>
                <w:color w:val="000000" w:themeColor="text1"/>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源循环利用效</w:t>
            </w: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 xml:space="preserve"> </w:t>
            </w:r>
            <w:r>
              <w:rPr>
                <w:rFonts w:hint="eastAsia" w:eastAsia="宋体" w:asciiTheme="minorEastAsia" w:hAnsiTheme="minorEastAsia" w:cstheme="minorEastAsia"/>
                <w:color w:val="000000" w:themeColor="text1"/>
                <w:kern w:val="0"/>
                <w:sz w:val="20"/>
                <w:szCs w:val="20"/>
                <w14:textFill>
                  <w14:solidFill>
                    <w14:schemeClr w14:val="tx1"/>
                  </w14:solidFill>
                </w14:textFill>
              </w:rPr>
              <w:t>率</w:t>
            </w:r>
          </w:p>
        </w:tc>
        <w:tc>
          <w:tcPr>
            <w:tcW w:w="8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8"/>
                <w:kern w:val="0"/>
                <w:sz w:val="20"/>
                <w:szCs w:val="20"/>
                <w14:textFill>
                  <w14:solidFill>
                    <w14:schemeClr w14:val="tx1"/>
                  </w14:solidFill>
                </w14:textFill>
              </w:rPr>
              <w:t>69.全面推行清洁生产。</w:t>
            </w: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工信和科技局  环保局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13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8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70.</w:t>
            </w:r>
            <w:r>
              <w:rPr>
                <w:rFonts w:hint="eastAsia" w:eastAsia="宋体" w:asciiTheme="minorEastAsia" w:hAnsiTheme="minorEastAsia" w:cstheme="minorEastAsia"/>
                <w:color w:val="000000" w:themeColor="text1"/>
                <w:spacing w:val="8"/>
                <w:kern w:val="0"/>
                <w:sz w:val="20"/>
                <w:szCs w:val="20"/>
                <w14:textFill>
                  <w14:solidFill>
                    <w14:schemeClr w14:val="tx1"/>
                  </w14:solidFill>
                </w14:textFill>
              </w:rPr>
              <w:t>实施重点行业清洁生产改造提升计划，着力推进“双超双有”高耗能重点企业强制性清洁生产审核。</w:t>
            </w: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发改委</w:t>
            </w:r>
          </w:p>
          <w:p>
            <w:pPr>
              <w:adjustRightInd w:val="0"/>
              <w:snapToGrid w:val="0"/>
              <w:spacing w:before="22"/>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工信和科技局  环保局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4" w:hRule="atLeast"/>
          <w:jc w:val="center"/>
        </w:trPr>
        <w:tc>
          <w:tcPr>
            <w:tcW w:w="113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8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05"/>
              <w:ind w:right="23"/>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sz w:val="20"/>
                <w:szCs w:val="20"/>
                <w14:textFill>
                  <w14:solidFill>
                    <w14:schemeClr w14:val="tx1"/>
                  </w14:solidFill>
                </w14:textFill>
              </w:rPr>
              <w:t>71.加大重化工企业循环化改造力度，实现能源梯级利用、水资源循环利用、废物交换利用、余热余压废水废气废液资源回收利用。到2025年，全旗规模以上工业用水重复利用率达到95%。</w:t>
            </w: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spacing w:val="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113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8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86"/>
              <w:ind w:right="63"/>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7"/>
                <w:kern w:val="0"/>
                <w:sz w:val="20"/>
                <w:szCs w:val="20"/>
                <w14:textFill>
                  <w14:solidFill>
                    <w14:schemeClr w14:val="tx1"/>
                  </w14:solidFill>
                </w14:textFill>
              </w:rPr>
              <w:t>72.大力推行工业产品绿色设计和全生命周期绿色管理，鼓励使用再生原料，开发推广绿色低碳产品，降低产品全流程资源消耗。</w:t>
            </w: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1" w:hRule="atLeast"/>
          <w:jc w:val="center"/>
        </w:trPr>
        <w:tc>
          <w:tcPr>
            <w:tcW w:w="113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8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58"/>
              <w:ind w:right="23"/>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1"/>
                <w:kern w:val="0"/>
                <w:sz w:val="20"/>
                <w:szCs w:val="20"/>
                <w14:textFill>
                  <w14:solidFill>
                    <w14:schemeClr w14:val="tx1"/>
                  </w14:solidFill>
                </w14:textFill>
              </w:rPr>
              <w:t>73.推进农作物秸秆“五化”利用，逐步完善秸秆收储运体系建设。以玉米秸秆综合利用为重点，兼顾向日葵、水稻等其他作物秸秆，以饲料化、肥料化、燃料化利用为主要方向，合理引导秸秆基料化、原料化等利用，以提高秸秆综合利用率为目标，全面推进秸秆转化利用，通过政府扶持引导，调动全社会参与积极性，探索形成适应市场需求的利益链接机制，推动秸秆综合利用持续、健康发展。到2025年，全旗农作物秸秆综合利用率稳定在90%以上。开展农膜回收行动，结合地膜科学使用回收试点工作，推广使用新标准的加厚高强度地膜，地膜厚度标准由0.01mm提高到0.015mm，逐步实现加厚地膜、全生物降解地膜全面替代普通PE地膜。加强地膜生产、销售监管，严禁生产、销售和使用不合格地膜，及时配套地膜捡拾机械化作业机具，持续推进地膜回收监测常态化。大力推广干清粪工艺，推动养殖过程清洁化、粪污处理资源化、产品利用生态化。到2025年，全旗畜禽粪污综合利用率达到95%。</w:t>
            </w: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spacing w:val="3"/>
                <w:kern w:val="2"/>
                <w:position w:val="4"/>
                <w:sz w:val="20"/>
                <w:szCs w:val="20"/>
                <w14:textFill>
                  <w14:solidFill>
                    <w14:schemeClr w14:val="tx1"/>
                  </w14:solidFill>
                </w14:textFill>
              </w:rPr>
            </w:pPr>
            <w:r>
              <w:rPr>
                <w:rFonts w:hint="eastAsia" w:eastAsia="宋体" w:asciiTheme="minorEastAsia" w:hAnsiTheme="minorEastAsia" w:cstheme="minorEastAsia"/>
                <w:color w:val="000000" w:themeColor="text1"/>
                <w:spacing w:val="3"/>
                <w:kern w:val="0"/>
                <w:position w:val="4"/>
                <w:sz w:val="20"/>
                <w:szCs w:val="20"/>
                <w14:textFill>
                  <w14:solidFill>
                    <w14:schemeClr w14:val="tx1"/>
                  </w14:solidFill>
                </w14:textFill>
              </w:rPr>
              <w:t>自然资源局</w:t>
            </w:r>
          </w:p>
          <w:p>
            <w:pPr>
              <w:adjustRightInd w:val="0"/>
              <w:snapToGrid w:val="0"/>
              <w:spacing w:before="65"/>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4"/>
                <w:kern w:val="0"/>
                <w:sz w:val="20"/>
                <w:szCs w:val="20"/>
                <w14:textFill>
                  <w14:solidFill>
                    <w14:schemeClr w14:val="tx1"/>
                  </w14:solidFill>
                </w14:textFill>
              </w:rPr>
              <w:t>农牧局</w:t>
            </w:r>
          </w:p>
          <w:p>
            <w:pPr>
              <w:adjustRightInd w:val="0"/>
              <w:snapToGrid w:val="0"/>
              <w:spacing w:before="11"/>
              <w:jc w:val="cente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供销社</w:t>
            </w:r>
          </w:p>
          <w:p>
            <w:pPr>
              <w:adjustRightInd w:val="0"/>
              <w:snapToGrid w:val="0"/>
              <w:spacing w:before="11"/>
              <w:jc w:val="center"/>
              <w:rPr>
                <w:rFonts w:hint="eastAsia" w:eastAsia="宋体" w:asciiTheme="minorEastAsia" w:hAnsiTheme="minorEastAsia" w:cstheme="minorEastAsia"/>
                <w:color w:val="000000" w:themeColor="text1"/>
                <w:kern w:val="0"/>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市场监督管理局</w:t>
            </w:r>
          </w:p>
          <w:p>
            <w:pPr>
              <w:adjustRightInd w:val="0"/>
              <w:snapToGrid w:val="0"/>
              <w:spacing w:before="11"/>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kern w:val="0"/>
                <w:sz w:val="20"/>
                <w:szCs w:val="20"/>
                <w14:textFill>
                  <w14:solidFill>
                    <w14:schemeClr w14:val="tx1"/>
                  </w14:solidFill>
                </w14:textFill>
              </w:rPr>
              <w:t>农机服务中心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113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165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833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heme="minorEastAsia" w:hAnsiTheme="minorEastAsia" w:eastAsiaTheme="minorEastAsia" w:cstheme="minorEastAsia"/>
                <w:color w:val="000000" w:themeColor="text1"/>
                <w:spacing w:val="5"/>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5"/>
                <w:kern w:val="0"/>
                <w:sz w:val="20"/>
                <w:szCs w:val="20"/>
                <w14:textFill>
                  <w14:solidFill>
                    <w14:schemeClr w14:val="tx1"/>
                  </w14:solidFill>
                </w14:textFill>
              </w:rPr>
              <w:t>74.引导各类商品包装减量化，支持邮政快递企业推广应用可循环包装。</w:t>
            </w:r>
          </w:p>
          <w:p>
            <w:pPr>
              <w:adjustRightInd w:val="0"/>
              <w:snapToGrid w:val="0"/>
              <w:rPr>
                <w:rFonts w:asciiTheme="minorEastAsia" w:hAnsiTheme="minorEastAsia" w:eastAsiaTheme="minorEastAsia" w:cstheme="minorEastAsia"/>
                <w:color w:val="000000" w:themeColor="text1"/>
                <w:kern w:val="2"/>
                <w:sz w:val="20"/>
                <w:szCs w:val="20"/>
                <w14:textFill>
                  <w14:solidFill>
                    <w14:schemeClr w14:val="tx1"/>
                  </w14:solidFill>
                </w14:textFill>
              </w:rPr>
            </w:pPr>
          </w:p>
        </w:tc>
        <w:tc>
          <w:tcPr>
            <w:tcW w:w="224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heme="minorEastAsia" w:hAnsiTheme="minorEastAsia" w:eastAsiaTheme="minorEastAsia" w:cstheme="minorEastAsia"/>
                <w:color w:val="000000" w:themeColor="text1"/>
                <w:kern w:val="2"/>
                <w:sz w:val="20"/>
                <w:szCs w:val="20"/>
                <w14:textFill>
                  <w14:solidFill>
                    <w14:schemeClr w14:val="tx1"/>
                  </w14:solidFill>
                </w14:textFill>
              </w:rPr>
            </w:pPr>
            <w:r>
              <w:rPr>
                <w:rFonts w:hint="eastAsia" w:eastAsia="宋体" w:asciiTheme="minorEastAsia" w:hAnsiTheme="minorEastAsia" w:cstheme="minorEastAsia"/>
                <w:color w:val="000000" w:themeColor="text1"/>
                <w:spacing w:val="2"/>
                <w:kern w:val="0"/>
                <w:sz w:val="20"/>
                <w:szCs w:val="20"/>
                <w14:textFill>
                  <w14:solidFill>
                    <w14:schemeClr w14:val="tx1"/>
                  </w14:solidFill>
                </w14:textFill>
              </w:rPr>
              <w:t>供销社</w:t>
            </w:r>
          </w:p>
        </w:tc>
      </w:tr>
    </w:tbl>
    <w:p>
      <w:pPr>
        <w:adjustRightInd w:val="0"/>
        <w:snapToGrid w:val="0"/>
        <w:rPr>
          <w:color w:val="000000" w:themeColor="text1"/>
          <w14:textFill>
            <w14:solidFill>
              <w14:schemeClr w14:val="tx1"/>
            </w14:solidFill>
          </w14:textFill>
        </w:rPr>
      </w:pPr>
    </w:p>
    <w:p>
      <w:pPr>
        <w:adjustRightInd w:val="0"/>
        <w:snapToGrid w:val="0"/>
        <w:rPr>
          <w:rFonts w:ascii="Arial"/>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p>
      <w:pPr>
        <w:adjustRightInd w:val="0"/>
        <w:snapToGrid w:val="0"/>
        <w:rPr>
          <w:color w:val="000000" w:themeColor="text1"/>
          <w14:textFill>
            <w14:solidFill>
              <w14:schemeClr w14:val="tx1"/>
            </w14:solidFill>
          </w14:textFill>
        </w:rPr>
      </w:pPr>
    </w:p>
    <w:p>
      <w:pPr>
        <w:adjustRightInd w:val="0"/>
        <w:snapToGrid w:val="0"/>
        <w:rPr>
          <w:color w:val="000000" w:themeColor="text1"/>
          <w14:textFill>
            <w14:solidFill>
              <w14:schemeClr w14:val="tx1"/>
            </w14:solidFill>
          </w14:textFill>
        </w:r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657"/>
        <w:gridCol w:w="8073"/>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jc w:val="center"/>
        </w:trPr>
        <w:tc>
          <w:tcPr>
            <w:tcW w:w="1110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10"/>
              <w:ind w:left="472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03" w:type="dxa"/>
            <w:tcBorders>
              <w:top w:val="single" w:color="000000" w:sz="4" w:space="0"/>
              <w:left w:val="single" w:color="000000" w:sz="4" w:space="0"/>
              <w:bottom w:val="single" w:color="000000" w:sz="4" w:space="0"/>
              <w:right w:val="single" w:color="000000" w:sz="4" w:space="0"/>
            </w:tcBorders>
          </w:tcPr>
          <w:p>
            <w:pPr>
              <w:adjustRightInd w:val="0"/>
              <w:snapToGrid w:val="0"/>
              <w:spacing w:before="110"/>
              <w:ind w:left="74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6"/>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宋体" w:hAnsi="宋体" w:eastAsia="宋体" w:cs="宋体"/>
                <w:color w:val="000000" w:themeColor="text1"/>
                <w:kern w:val="2"/>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spacing w:before="69"/>
              <w:ind w:left="8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4"/>
                <w:kern w:val="0"/>
                <w:sz w:val="20"/>
                <w:szCs w:val="20"/>
                <w14:textFill>
                  <w14:solidFill>
                    <w14:schemeClr w14:val="tx1"/>
                  </w14:solidFill>
                </w14:textFill>
              </w:rPr>
              <w:t>七、推进资源</w:t>
            </w:r>
            <w:r>
              <w:rPr>
                <w:rFonts w:hint="eastAsia" w:ascii="宋体" w:hAnsi="宋体" w:eastAsia="宋体" w:cs="宋体"/>
                <w:color w:val="000000" w:themeColor="text1"/>
                <w:spacing w:val="1"/>
                <w:kern w:val="0"/>
                <w:sz w:val="20"/>
                <w:szCs w:val="20"/>
                <w14:textFill>
                  <w14:solidFill>
                    <w14:schemeClr w14:val="tx1"/>
                  </w14:solidFill>
                </w14:textFill>
              </w:rPr>
              <w:t xml:space="preserve"> </w:t>
            </w:r>
            <w:r>
              <w:rPr>
                <w:rFonts w:hint="eastAsia" w:ascii="宋体" w:hAnsi="宋体" w:eastAsia="宋体" w:cs="宋体"/>
                <w:color w:val="000000" w:themeColor="text1"/>
                <w:spacing w:val="3"/>
                <w:kern w:val="0"/>
                <w:sz w:val="20"/>
                <w:szCs w:val="20"/>
                <w14:textFill>
                  <w14:solidFill>
                    <w14:schemeClr w14:val="tx1"/>
                  </w14:solidFill>
                </w14:textFill>
              </w:rPr>
              <w:t>全面循环利</w:t>
            </w:r>
            <w:r>
              <w:rPr>
                <w:rFonts w:hint="eastAsia" w:ascii="宋体" w:hAnsi="宋体" w:eastAsia="宋体" w:cs="宋体"/>
                <w:color w:val="000000" w:themeColor="text1"/>
                <w:kern w:val="0"/>
                <w:sz w:val="20"/>
                <w:szCs w:val="20"/>
                <w14:textFill>
                  <w14:solidFill>
                    <w14:schemeClr w14:val="tx1"/>
                  </w14:solidFill>
                </w14:textFill>
              </w:rPr>
              <w:t xml:space="preserve">  用</w:t>
            </w:r>
          </w:p>
        </w:tc>
        <w:tc>
          <w:tcPr>
            <w:tcW w:w="1657"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宋体" w:hAnsi="宋体" w:eastAsia="宋体" w:cs="宋体"/>
                <w:color w:val="000000" w:themeColor="text1"/>
                <w:kern w:val="2"/>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spacing w:before="69"/>
              <w:ind w:left="90" w:right="16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(十三)构建资</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源循环利用体</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kern w:val="0"/>
                <w:sz w:val="20"/>
                <w:szCs w:val="20"/>
                <w14:textFill>
                  <w14:solidFill>
                    <w14:schemeClr w14:val="tx1"/>
                  </w14:solidFill>
                </w14:textFill>
              </w:rPr>
              <w:t>系</w:t>
            </w: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75.推进经济开发区产业横向耦合、纵向延伸、循环链接，到2025年达拉特经济开发区循环化改造完成。</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49"/>
              <w:jc w:val="center"/>
              <w:rPr>
                <w:rFonts w:asciiTheme="minorHAnsi" w:hAnsiTheme="minorHAnsi" w:eastAsiaTheme="minorEastAsia" w:cstheme="minorBidi"/>
                <w:color w:val="000000" w:themeColor="text1"/>
                <w:kern w:val="2"/>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发改委</w:t>
            </w:r>
          </w:p>
          <w:p>
            <w:pPr>
              <w:adjustRightInd w:val="0"/>
              <w:snapToGrid w:val="0"/>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工信和科技局</w:t>
            </w:r>
          </w:p>
          <w:p>
            <w:pPr>
              <w:pStyle w:val="12"/>
              <w:ind w:firstLine="0" w:firstLineChars="0"/>
              <w:rPr>
                <w:rFonts w:eastAsia="宋体"/>
                <w:color w:val="000000" w:themeColor="text1"/>
                <w:kern w:val="0"/>
                <w:sz w:val="20"/>
                <w:szCs w:val="20"/>
                <w14:textFill>
                  <w14:solidFill>
                    <w14:schemeClr w14:val="tx1"/>
                  </w14:solidFill>
                </w14:textFill>
              </w:rPr>
            </w:pPr>
            <w:r>
              <w:rPr>
                <w:rFonts w:hint="eastAsia" w:eastAsia="宋体" w:cs="宋体"/>
                <w:color w:val="000000" w:themeColor="text1"/>
                <w:spacing w:val="6"/>
                <w:kern w:val="0"/>
                <w:sz w:val="20"/>
                <w:szCs w:val="20"/>
                <w14:textFill>
                  <w14:solidFill>
                    <w14:schemeClr w14:val="tx1"/>
                  </w14:solidFill>
                </w14:textFill>
              </w:rPr>
              <w:t>达拉特</w:t>
            </w:r>
            <w:r>
              <w:rPr>
                <w:rFonts w:hint="eastAsia" w:eastAsia="宋体" w:cs="宋体"/>
                <w:color w:val="000000" w:themeColor="text1"/>
                <w:spacing w:val="9"/>
                <w:kern w:val="0"/>
                <w:sz w:val="20"/>
                <w:szCs w:val="20"/>
                <w14:textFill>
                  <w14:solidFill>
                    <w14:schemeClr w14:val="tx1"/>
                  </w14:solidFill>
                </w14:textFill>
              </w:rPr>
              <w:t>开发区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spacing w:val="7"/>
                <w:kern w:val="2"/>
                <w:sz w:val="20"/>
                <w:szCs w:val="20"/>
                <w14:textFill>
                  <w14:solidFill>
                    <w14:schemeClr w14:val="tx1"/>
                  </w14:solidFill>
                </w14:textFill>
              </w:rPr>
            </w:pPr>
            <w:r>
              <w:rPr>
                <w:rFonts w:hint="eastAsia" w:ascii="宋体" w:hAnsi="宋体" w:eastAsia="宋体" w:cs="宋体"/>
                <w:color w:val="000000" w:themeColor="text1"/>
                <w:spacing w:val="9"/>
                <w:kern w:val="0"/>
                <w:sz w:val="20"/>
                <w:szCs w:val="20"/>
                <w14:textFill>
                  <w14:solidFill>
                    <w14:schemeClr w14:val="tx1"/>
                  </w14:solidFill>
                </w14:textFill>
              </w:rPr>
              <w:t>76.加大大宗工业固废综合开发利用力度，到2025年全旗大</w:t>
            </w:r>
            <w:r>
              <w:rPr>
                <w:rFonts w:hint="eastAsia" w:ascii="宋体" w:hAnsi="宋体" w:eastAsia="宋体" w:cs="宋体"/>
                <w:color w:val="000000" w:themeColor="text1"/>
                <w:spacing w:val="8"/>
                <w:kern w:val="0"/>
                <w:sz w:val="20"/>
                <w:szCs w:val="20"/>
                <w14:textFill>
                  <w14:solidFill>
                    <w14:schemeClr w14:val="tx1"/>
                  </w14:solidFill>
                </w14:textFill>
              </w:rPr>
              <w:t>宗工业固废综合利用率</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6"/>
                <w:kern w:val="0"/>
                <w:sz w:val="20"/>
                <w:szCs w:val="20"/>
                <w14:textFill>
                  <w14:solidFill>
                    <w14:schemeClr w14:val="tx1"/>
                  </w14:solidFill>
                </w14:textFill>
              </w:rPr>
              <w:t>达到57%。</w:t>
            </w:r>
          </w:p>
          <w:p>
            <w:pPr>
              <w:adjustRightInd w:val="0"/>
              <w:snapToGrid w:val="0"/>
              <w:spacing w:before="65"/>
              <w:ind w:left="42"/>
              <w:rPr>
                <w:rFonts w:ascii="宋体" w:hAnsi="宋体" w:eastAsia="宋体" w:cs="宋体"/>
                <w:color w:val="000000" w:themeColor="text1"/>
                <w:kern w:val="2"/>
                <w:sz w:val="20"/>
                <w:szCs w:val="20"/>
                <w14:textFill>
                  <w14:solidFill>
                    <w14:schemeClr w14:val="tx1"/>
                  </w14:solidFill>
                </w14:textFill>
              </w:rPr>
            </w:pP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30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3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生态环境局</w:t>
            </w:r>
          </w:p>
          <w:p>
            <w:pPr>
              <w:adjustRightInd w:val="0"/>
              <w:snapToGrid w:val="0"/>
              <w:spacing w:before="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1"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77.</w:t>
            </w:r>
            <w:r>
              <w:rPr>
                <w:rFonts w:hint="eastAsia" w:ascii="宋体" w:hAnsi="宋体" w:eastAsia="宋体" w:cs="宋体"/>
                <w:color w:val="000000" w:themeColor="text1"/>
                <w:spacing w:val="9"/>
                <w:kern w:val="0"/>
                <w:sz w:val="20"/>
                <w:szCs w:val="20"/>
                <w14:textFill>
                  <w14:solidFill>
                    <w14:schemeClr w14:val="tx1"/>
                  </w14:solidFill>
                </w14:textFill>
              </w:rPr>
              <w:t>推进生活垃圾、污水污泥、建筑垃圾、危险废物、医疗废物等源头减量、分类收集、资源化利用和无害化处置。严格生活污水处理厂污泥处置监管，实现生活污水污泥无害化处置或资源化利用。大力发展装配式建筑，推行绿色施工和装配式装修，推进建筑垃圾全过程监管。推进危险废物规范化管理，有序开展环境管理评估和信息化管理，严格执行危险废物转移联单制度，规范危险废物贮存、转移、处理处置。开展医疗废物专项整治。到2025年，全旗城镇生活垃圾、污泥无害化处理率分别达到99％、100％以上。</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spacing w:before="68"/>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市发改委</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2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生态环境局</w:t>
            </w:r>
          </w:p>
          <w:p>
            <w:pPr>
              <w:adjustRightInd w:val="0"/>
              <w:snapToGrid w:val="0"/>
              <w:spacing w:before="1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卫健委</w:t>
            </w:r>
          </w:p>
          <w:p>
            <w:pPr>
              <w:adjustRightInd w:val="0"/>
              <w:snapToGrid w:val="0"/>
              <w:spacing w:before="2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3"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spacing w:val="13"/>
                <w:kern w:val="2"/>
                <w:sz w:val="20"/>
                <w:szCs w:val="20"/>
                <w14:textFill>
                  <w14:solidFill>
                    <w14:schemeClr w14:val="tx1"/>
                  </w14:solidFill>
                </w14:textFill>
              </w:rPr>
            </w:pPr>
            <w:r>
              <w:rPr>
                <w:rFonts w:hint="eastAsia" w:ascii="宋体" w:hAnsi="宋体" w:eastAsia="宋体" w:cs="宋体"/>
                <w:color w:val="000000" w:themeColor="text1"/>
                <w:spacing w:val="13"/>
                <w:kern w:val="0"/>
                <w:sz w:val="20"/>
                <w:szCs w:val="20"/>
                <w14:textFill>
                  <w14:solidFill>
                    <w14:schemeClr w14:val="tx1"/>
                  </w14:solidFill>
                </w14:textFill>
              </w:rPr>
              <w:t>78.开展再生资源综合利用企业建档登记工作。推进再生资源回收行业体系建设，打地一批再生资源分拣中心，根据需求建设专业型分拣中心。推动再生资源规模化、规范化、清洁化利用，形成集回收分拣、加工利用、商品交易、仓储配送等功能于一体，具备一定区域辐射能力和行业带动作用的再生资源产业聚集区。鼓励采用上门有偿回收方式，引导市民养成分类习惯。</w:t>
            </w:r>
          </w:p>
          <w:p>
            <w:pPr>
              <w:adjustRightInd w:val="0"/>
              <w:snapToGrid w:val="0"/>
              <w:rPr>
                <w:rFonts w:ascii="宋体" w:hAnsi="宋体" w:eastAsia="宋体" w:cs="宋体"/>
                <w:color w:val="000000" w:themeColor="text1"/>
                <w:kern w:val="2"/>
                <w:sz w:val="20"/>
                <w:szCs w:val="20"/>
                <w14:textFill>
                  <w14:solidFill>
                    <w14:schemeClr w14:val="tx1"/>
                  </w14:solidFill>
                </w14:textFill>
              </w:rPr>
            </w:pP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p>
          <w:p>
            <w:pPr>
              <w:adjustRightInd w:val="0"/>
              <w:snapToGrid w:val="0"/>
              <w:spacing w:before="69"/>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2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住建局</w:t>
            </w:r>
          </w:p>
          <w:p>
            <w:pPr>
              <w:adjustRightInd w:val="0"/>
              <w:snapToGrid w:val="0"/>
              <w:spacing w:before="10"/>
              <w:ind w:left="738"/>
              <w:jc w:val="center"/>
              <w:rPr>
                <w:rFonts w:ascii="宋体" w:hAnsi="宋体" w:eastAsia="宋体" w:cs="宋体"/>
                <w:color w:val="000000" w:themeColor="text1"/>
                <w:kern w:val="2"/>
                <w:sz w:val="20"/>
                <w:szCs w:val="20"/>
                <w14:textFill>
                  <w14:solidFill>
                    <w14:schemeClr w14:val="tx1"/>
                  </w14:solidFill>
                </w14:textFill>
              </w:rPr>
            </w:pPr>
          </w:p>
        </w:tc>
      </w:tr>
    </w:tbl>
    <w:p>
      <w:pPr>
        <w:adjustRightInd w:val="0"/>
        <w:snapToGrid w:val="0"/>
        <w:rPr>
          <w:color w:val="000000" w:themeColor="text1"/>
          <w14:textFill>
            <w14:solidFill>
              <w14:schemeClr w14:val="tx1"/>
            </w14:solidFill>
          </w14:textFill>
        </w:rPr>
      </w:pPr>
    </w:p>
    <w:p>
      <w:pPr>
        <w:adjustRightInd w:val="0"/>
        <w:snapToGrid w:val="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649"/>
        <w:gridCol w:w="8079"/>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1103"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474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05" w:type="dxa"/>
            <w:tcBorders>
              <w:top w:val="single" w:color="000000" w:sz="4" w:space="0"/>
              <w:left w:val="single" w:color="000000" w:sz="4" w:space="0"/>
              <w:bottom w:val="single" w:color="000000" w:sz="4" w:space="0"/>
              <w:right w:val="single" w:color="000000" w:sz="4" w:space="0"/>
            </w:tcBorders>
          </w:tcPr>
          <w:p>
            <w:pPr>
              <w:adjustRightInd w:val="0"/>
              <w:snapToGrid w:val="0"/>
              <w:spacing w:before="123"/>
              <w:ind w:left="75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1"/>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spacing w:before="65"/>
              <w:ind w:left="95"/>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八、推动社会</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资源全面节</w:t>
            </w:r>
            <w:r>
              <w:rPr>
                <w:rFonts w:hint="eastAsia" w:ascii="宋体" w:hAnsi="宋体" w:eastAsia="宋体" w:cs="宋体"/>
                <w:color w:val="000000" w:themeColor="text1"/>
                <w:kern w:val="0"/>
                <w:sz w:val="20"/>
                <w:szCs w:val="20"/>
                <w14:textFill>
                  <w14:solidFill>
                    <w14:schemeClr w14:val="tx1"/>
                  </w14:solidFill>
                </w14:textFill>
              </w:rPr>
              <w:t xml:space="preserve">  约</w:t>
            </w:r>
          </w:p>
        </w:tc>
        <w:tc>
          <w:tcPr>
            <w:tcW w:w="1649"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spacing w:before="65"/>
              <w:ind w:left="101" w:right="21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(十四)加强机</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3"/>
                <w:kern w:val="0"/>
                <w:sz w:val="20"/>
                <w:szCs w:val="20"/>
                <w14:textFill>
                  <w14:solidFill>
                    <w14:schemeClr w14:val="tx1"/>
                  </w14:solidFill>
                </w14:textFill>
              </w:rPr>
              <w:t>关厉行节约</w:t>
            </w: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79.不折不扣落实过紧日子要求，严控一般性支出。提</w:t>
            </w:r>
            <w:r>
              <w:rPr>
                <w:rFonts w:hint="eastAsia" w:ascii="宋体" w:hAnsi="宋体" w:eastAsia="宋体" w:cs="宋体"/>
                <w:color w:val="000000" w:themeColor="text1"/>
                <w:spacing w:val="7"/>
                <w:kern w:val="0"/>
                <w:sz w:val="20"/>
                <w:szCs w:val="20"/>
                <w14:textFill>
                  <w14:solidFill>
                    <w14:schemeClr w14:val="tx1"/>
                  </w14:solidFill>
                </w14:textFill>
              </w:rPr>
              <w:t>高财政资源配置效率和使用</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6"/>
                <w:kern w:val="0"/>
                <w:sz w:val="20"/>
                <w:szCs w:val="20"/>
                <w14:textFill>
                  <w14:solidFill>
                    <w14:schemeClr w14:val="tx1"/>
                  </w14:solidFill>
                </w14:textFill>
              </w:rPr>
              <w:t>效益。严禁肓目铺摊子、上项目。强化审计监督，加大违法违规问题查处力度</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87"/>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政府办公室</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spacing w:before="2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审计局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80.严格楼堂馆所建设管理。</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87"/>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机关事务服务中心</w:t>
            </w:r>
          </w:p>
          <w:p>
            <w:pPr>
              <w:adjustRightInd w:val="0"/>
              <w:snapToGrid w:val="0"/>
              <w:spacing w:before="2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4"/>
                <w:kern w:val="0"/>
                <w:sz w:val="20"/>
                <w:szCs w:val="20"/>
                <w14:textFill>
                  <w14:solidFill>
                    <w14:schemeClr w14:val="tx1"/>
                  </w14:solidFill>
                </w14:textFill>
              </w:rPr>
              <w:t>财政局 住建局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0"/>
              <w:ind w:right="34"/>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81.优化现有办公用房配置，推进办公用房信息化标准化建设</w:t>
            </w:r>
            <w:r>
              <w:rPr>
                <w:rFonts w:hint="eastAsia" w:ascii="宋体" w:hAnsi="宋体" w:eastAsia="宋体" w:cs="宋体"/>
                <w:color w:val="000000" w:themeColor="text1"/>
                <w:spacing w:val="7"/>
                <w:kern w:val="0"/>
                <w:sz w:val="20"/>
                <w:szCs w:val="20"/>
                <w14:textFill>
                  <w14:solidFill>
                    <w14:schemeClr w14:val="tx1"/>
                  </w14:solidFill>
                </w14:textFill>
              </w:rPr>
              <w:t>，整合利用零散闲置办公用房打造集中办公场所。</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79"/>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机关事务服务中心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82.杜绝不计成本规划设计建设面子工程、政绩工程，在节俭务实做好现有绿化亮 化维护保障基础上，科学合理建设相关工程。</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0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spacing w:before="4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p>
            <w:pPr>
              <w:adjustRightInd w:val="0"/>
              <w:snapToGrid w:val="0"/>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公用事业服务中心</w:t>
            </w:r>
          </w:p>
          <w:p>
            <w:pPr>
              <w:adjustRightInd w:val="0"/>
              <w:snapToGrid w:val="0"/>
              <w:spacing w:before="12"/>
              <w:ind w:firstLine="200" w:firstLineChars="100"/>
              <w:jc w:val="center"/>
              <w:rPr>
                <w:rFonts w:ascii="宋体" w:hAnsi="宋体" w:eastAsia="宋体" w:cs="宋体"/>
                <w:color w:val="000000" w:themeColor="text1"/>
                <w:kern w:val="2"/>
                <w:sz w:val="20"/>
                <w:szCs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szCs w:val="20"/>
                <w14:textFill>
                  <w14:solidFill>
                    <w14:schemeClr w14:val="tx1"/>
                  </w14:solidFill>
                </w14:textFill>
              </w:rPr>
            </w:pPr>
          </w:p>
          <w:p>
            <w:pPr>
              <w:adjustRightInd w:val="0"/>
              <w:snapToGrid w:val="0"/>
              <w:spacing w:before="65"/>
              <w:ind w:left="101" w:right="209"/>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(十五)优化配</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1"/>
                <w:kern w:val="0"/>
                <w:sz w:val="20"/>
                <w:szCs w:val="20"/>
                <w14:textFill>
                  <w14:solidFill>
                    <w14:schemeClr w14:val="tx1"/>
                  </w14:solidFill>
                </w14:textFill>
              </w:rPr>
              <w:t>置行政资源</w:t>
            </w: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spacing w:val="7"/>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83.开展机关事业单位机构编制执行情况和使用效益全面评价，科学配备国计民生、基础教育等重点领域机构编制资源，在核定机关事业单位编制数量和公立医院、公立幼儿园控制数的基础上，不再另行核定其他用于增加人员规模的事项。</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7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spacing w:val="7"/>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84.加强苏木乡镇间统筹调剂使用人员编制，盘活编制资源。</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8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position w:val="4"/>
                <w:sz w:val="20"/>
                <w:szCs w:val="20"/>
                <w14:textFill>
                  <w14:solidFill>
                    <w14:schemeClr w14:val="tx1"/>
                  </w14:solidFill>
                </w14:textFill>
              </w:rPr>
              <w:t>编办</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85.坚持开短会、发短文、讲短话，非必要不开会、不发文，提高会议发文质效，推进落实无纸化办公。统筹规范各类督查、检查、考核事项，减少督查层次和频次，解决督查泛化问题。</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83"/>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position w:val="4"/>
                <w:sz w:val="20"/>
                <w:szCs w:val="20"/>
                <w14:textFill>
                  <w14:solidFill>
                    <w14:schemeClr w14:val="tx1"/>
                  </w14:solidFill>
                </w14:textFill>
              </w:rPr>
              <w:t>旗委办公室</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旗政府办公室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86.统筹规范各类督查、检查、考核事项，减少督查层次和频次，解决督查泛化问题，</w:t>
            </w: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9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旗委办公室</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旗政府办公室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2" w:hRule="atLeast"/>
          <w:jc w:val="center"/>
        </w:trPr>
        <w:tc>
          <w:tcPr>
            <w:tcW w:w="1110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napToGrid w:val="0"/>
                <w:color w:val="000000" w:themeColor="text1"/>
                <w:spacing w:val="7"/>
                <w:kern w:val="0"/>
                <w:sz w:val="20"/>
                <w:szCs w:val="20"/>
                <w14:textFill>
                  <w14:solidFill>
                    <w14:schemeClr w14:val="tx1"/>
                  </w14:solidFill>
                </w14:textFill>
              </w:rPr>
            </w:pPr>
          </w:p>
          <w:p>
            <w:pPr>
              <w:rPr>
                <w:rFonts w:hint="eastAsia" w:ascii="仿宋_GB2312" w:hAnsi="仿宋_GB2312" w:eastAsia="仿宋_GB2312" w:cs="仿宋_GB2312"/>
                <w:color w:val="000000" w:themeColor="text1"/>
                <w:kern w:val="2"/>
                <w:sz w:val="32"/>
                <w:szCs w:val="32"/>
                <w:highlight w:val="yellow"/>
                <w14:textFill>
                  <w14:solidFill>
                    <w14:schemeClr w14:val="tx1"/>
                  </w14:solidFill>
                </w14:textFill>
              </w:rPr>
            </w:pPr>
            <w:r>
              <w:rPr>
                <w:rFonts w:hint="eastAsia" w:ascii="宋体" w:hAnsi="宋体" w:eastAsia="宋体" w:cs="宋体"/>
                <w:snapToGrid w:val="0"/>
                <w:color w:val="000000" w:themeColor="text1"/>
                <w:spacing w:val="7"/>
                <w:kern w:val="0"/>
                <w:sz w:val="20"/>
                <w:szCs w:val="20"/>
                <w14:textFill>
                  <w14:solidFill>
                    <w14:schemeClr w14:val="tx1"/>
                  </w14:solidFill>
                </w14:textFill>
              </w:rPr>
              <w:t>87.规范和促进互联网、大数据、人工智能、区块链等新信息技术手段在行政管理领域中的运用。推进商事制度改革，落实“一证（照）通”办理，完善综合受理窗口服务，大幅缩短企业和群众办事时间。加大信息化建设统筹力度，有序推进政务信息资源共享开放。</w:t>
            </w:r>
          </w:p>
          <w:p>
            <w:pPr>
              <w:adjustRightInd w:val="0"/>
              <w:snapToGrid w:val="0"/>
              <w:spacing w:before="65"/>
              <w:ind w:left="62" w:right="15"/>
              <w:rPr>
                <w:rFonts w:ascii="宋体" w:hAnsi="宋体" w:eastAsia="宋体" w:cs="宋体"/>
                <w:color w:val="000000" w:themeColor="text1"/>
                <w:kern w:val="2"/>
                <w:sz w:val="20"/>
                <w:szCs w:val="20"/>
                <w14:textFill>
                  <w14:solidFill>
                    <w14:schemeClr w14:val="tx1"/>
                  </w14:solidFill>
                </w14:textFill>
              </w:rPr>
            </w:pPr>
          </w:p>
        </w:tc>
        <w:tc>
          <w:tcPr>
            <w:tcW w:w="25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0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政府办公室</w:t>
            </w:r>
          </w:p>
          <w:p>
            <w:pPr>
              <w:adjustRightInd w:val="0"/>
              <w:snapToGrid w:val="0"/>
              <w:spacing w:before="24"/>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网信办</w:t>
            </w:r>
          </w:p>
          <w:p>
            <w:pPr>
              <w:adjustRightInd w:val="0"/>
              <w:snapToGrid w:val="0"/>
              <w:spacing w:before="3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53"/>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政务服务局</w:t>
            </w:r>
          </w:p>
          <w:p>
            <w:pPr>
              <w:adjustRightInd w:val="0"/>
              <w:snapToGrid w:val="0"/>
              <w:spacing w:before="33"/>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大数据中心</w:t>
            </w:r>
          </w:p>
        </w:tc>
      </w:tr>
    </w:tbl>
    <w:p>
      <w:pPr>
        <w:adjustRightInd w:val="0"/>
        <w:snapToGrid w:val="0"/>
        <w:spacing w:line="40" w:lineRule="exact"/>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p>
      <w:pPr>
        <w:adjustRightInd w:val="0"/>
        <w:snapToGrid w:val="0"/>
        <w:rPr>
          <w:color w:val="000000" w:themeColor="text1"/>
          <w14:textFill>
            <w14:solidFill>
              <w14:schemeClr w14:val="tx1"/>
            </w14:solidFill>
          </w14:textFill>
        </w:r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657"/>
        <w:gridCol w:w="8073"/>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110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474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03" w:type="dxa"/>
            <w:tcBorders>
              <w:top w:val="single" w:color="000000" w:sz="4" w:space="0"/>
              <w:left w:val="single" w:color="000000" w:sz="4" w:space="0"/>
              <w:bottom w:val="single" w:color="000000" w:sz="4" w:space="0"/>
              <w:right w:val="single" w:color="000000" w:sz="4" w:space="0"/>
            </w:tcBorders>
          </w:tcPr>
          <w:p>
            <w:pPr>
              <w:adjustRightInd w:val="0"/>
              <w:snapToGrid w:val="0"/>
              <w:spacing w:before="123"/>
              <w:ind w:left="759"/>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1"/>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3" w:hRule="atLeast"/>
          <w:jc w:val="center"/>
        </w:trPr>
        <w:tc>
          <w:tcPr>
            <w:tcW w:w="1373" w:type="dxa"/>
            <w:vMerge w:val="restart"/>
            <w:tcBorders>
              <w:top w:val="nil"/>
              <w:left w:val="single" w:color="000000" w:sz="4" w:space="0"/>
              <w:bottom w:val="single" w:color="000000" w:sz="4" w:space="0"/>
              <w:right w:val="single" w:color="000000" w:sz="4" w:space="0"/>
            </w:tcBorders>
          </w:tcPr>
          <w:p>
            <w:pPr>
              <w:adjustRightInd w:val="0"/>
              <w:snapToGrid w:val="0"/>
              <w:rPr>
                <w:rFonts w:ascii="宋体" w:hAnsi="宋体" w:eastAsia="宋体" w:cs="宋体"/>
                <w:color w:val="000000" w:themeColor="text1"/>
                <w:kern w:val="2"/>
                <w:sz w:val="20"/>
                <w:szCs w:val="20"/>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宋体" w:hAnsi="宋体" w:eastAsia="宋体" w:cs="宋体"/>
                <w:color w:val="000000" w:themeColor="text1"/>
                <w:kern w:val="2"/>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kern w:val="0"/>
                <w:sz w:val="20"/>
                <w:szCs w:val="20"/>
                <w14:textFill>
                  <w14:solidFill>
                    <w14:schemeClr w14:val="tx1"/>
                  </w14:solidFill>
                </w14:textFill>
              </w:rPr>
            </w:pPr>
          </w:p>
          <w:p>
            <w:pPr>
              <w:adjustRightInd w:val="0"/>
              <w:snapToGrid w:val="0"/>
              <w:spacing w:before="65"/>
              <w:ind w:left="61" w:right="25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(十六)集约利</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用公共资源</w:t>
            </w: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88.提升党政机关、学校、医院等公共机构资源节约能效，积极开展节约型公共机构示范单位和节约型机关创建。推进节能技术改造，积极探索合同能源管理方式和分布式光伏项目，充分发挥公共机构的示范带头作用。</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机关事务服务中心</w:t>
            </w:r>
          </w:p>
          <w:p>
            <w:pPr>
              <w:adjustRightInd w:val="0"/>
              <w:snapToGrid w:val="0"/>
              <w:spacing w:before="33"/>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4"/>
                <w:kern w:val="0"/>
                <w:sz w:val="20"/>
                <w:szCs w:val="20"/>
                <w14:textFill>
                  <w14:solidFill>
                    <w14:schemeClr w14:val="tx1"/>
                  </w14:solidFill>
                </w14:textFill>
              </w:rPr>
              <w:t>教体局</w:t>
            </w:r>
          </w:p>
          <w:p>
            <w:pPr>
              <w:adjustRightInd w:val="0"/>
              <w:snapToGrid w:val="0"/>
              <w:spacing w:before="2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 xml:space="preserve">财政局  </w:t>
            </w:r>
            <w:r>
              <w:rPr>
                <w:rFonts w:hint="eastAsia" w:ascii="宋体" w:hAnsi="宋体" w:eastAsia="宋体" w:cs="宋体"/>
                <w:color w:val="000000" w:themeColor="text1"/>
                <w:spacing w:val="2"/>
                <w:kern w:val="0"/>
                <w:sz w:val="20"/>
                <w:szCs w:val="20"/>
                <w14:textFill>
                  <w14:solidFill>
                    <w14:schemeClr w14:val="tx1"/>
                  </w14:solidFill>
                </w14:textFill>
              </w:rPr>
              <w:t>卫健委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jc w:val="center"/>
        </w:trPr>
        <w:tc>
          <w:tcPr>
            <w:tcW w:w="111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89.科学规划、适度超前建设各类市政公用设施，鼓励多元化主体参与城市公共服务体系建设运营和管理维护，提升公共设施资源利用效率。</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机关事务服务中心</w:t>
            </w:r>
          </w:p>
          <w:p>
            <w:pPr>
              <w:adjustRightInd w:val="0"/>
              <w:snapToGrid w:val="0"/>
              <w:spacing w:before="33"/>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position w:val="5"/>
                <w:sz w:val="20"/>
                <w:szCs w:val="20"/>
                <w14:textFill>
                  <w14:solidFill>
                    <w14:schemeClr w14:val="tx1"/>
                  </w14:solidFill>
                </w14:textFill>
              </w:rPr>
              <w:t>发改委</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spacing w:before="12"/>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住建局</w:t>
            </w:r>
          </w:p>
          <w:p>
            <w:pPr>
              <w:adjustRightInd w:val="0"/>
              <w:snapToGrid w:val="0"/>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公用事业服务中心</w:t>
            </w:r>
          </w:p>
          <w:p>
            <w:pPr>
              <w:adjustRightInd w:val="0"/>
              <w:snapToGrid w:val="0"/>
              <w:spacing w:before="33"/>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交通局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111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90.科学合理确定农村牧区公共基础设施配置标准。</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p>
            <w:pPr>
              <w:adjustRightInd w:val="0"/>
              <w:snapToGrid w:val="0"/>
              <w:spacing w:before="11"/>
              <w:jc w:val="center"/>
              <w:rPr>
                <w:rFonts w:hint="eastAsia" w:ascii="宋体" w:hAnsi="宋体" w:eastAsia="宋体" w:cs="宋体"/>
                <w:color w:val="000000" w:themeColor="text1"/>
                <w:spacing w:val="3"/>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乡村振兴局</w:t>
            </w:r>
          </w:p>
          <w:p>
            <w:pPr>
              <w:adjustRightInd w:val="0"/>
              <w:snapToGrid w:val="0"/>
              <w:spacing w:before="1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111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9"/>
                <w:kern w:val="0"/>
                <w:sz w:val="20"/>
                <w:szCs w:val="20"/>
                <w14:textFill>
                  <w14:solidFill>
                    <w14:schemeClr w14:val="tx1"/>
                  </w14:solidFill>
                </w14:textFill>
              </w:rPr>
              <w:t>91.深入实施农村牧区人居环境整治提升五年行动。因地制宜、科学选择户厕改造模式，持续推进生活污水治理，积极探索农村牧区垃圾无害化处理模式，推动现有垃圾无害化处理设施提质增效。</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生态环境局</w:t>
            </w:r>
          </w:p>
          <w:p>
            <w:pPr>
              <w:adjustRightInd w:val="0"/>
              <w:snapToGrid w:val="0"/>
              <w:spacing w:before="2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住建局</w:t>
            </w:r>
          </w:p>
          <w:p>
            <w:pPr>
              <w:adjustRightInd w:val="0"/>
              <w:snapToGrid w:val="0"/>
              <w:spacing w:before="4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w:t>
            </w:r>
          </w:p>
          <w:p>
            <w:pPr>
              <w:adjustRightInd w:val="0"/>
              <w:snapToGrid w:val="0"/>
              <w:spacing w:before="2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乡村振兴局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jc w:val="center"/>
        </w:trPr>
        <w:tc>
          <w:tcPr>
            <w:tcW w:w="1110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themeColor="text1"/>
                <w:spacing w:val="5"/>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92.依托内蒙古政务服务网，完善达拉特旗上线政务服务功能，打造“15分钟政务服务圈”。建立以旗政务服务中心为主体、苏木镇（街道）便民服务中心为基础、嘎查村（社区）便民服务点为延伸的三级政务服务体系。</w:t>
            </w:r>
          </w:p>
          <w:p>
            <w:pPr>
              <w:rPr>
                <w:rFonts w:ascii="宋体" w:hAnsi="宋体" w:eastAsia="宋体" w:cs="宋体"/>
                <w:color w:val="000000" w:themeColor="text1"/>
                <w:kern w:val="2"/>
                <w:sz w:val="20"/>
                <w:szCs w:val="20"/>
                <w14:textFill>
                  <w14:solidFill>
                    <w14:schemeClr w14:val="tx1"/>
                  </w14:solidFill>
                </w14:textFill>
              </w:rPr>
            </w:pP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政务服务局</w:t>
            </w:r>
          </w:p>
        </w:tc>
      </w:tr>
    </w:tbl>
    <w:p>
      <w:pPr>
        <w:adjustRightInd w:val="0"/>
        <w:snapToGrid w:val="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6840" w:h="11907" w:orient="landscape"/>
          <w:pgMar w:top="1418" w:right="1701" w:bottom="1134" w:left="1701" w:header="0" w:footer="1418" w:gutter="0"/>
          <w:pgNumType w:fmt="numberInDash"/>
          <w:cols w:space="720" w:num="1"/>
        </w:sect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646"/>
        <w:gridCol w:w="8084"/>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jc w:val="center"/>
        </w:trPr>
        <w:tc>
          <w:tcPr>
            <w:tcW w:w="1110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474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03" w:type="dxa"/>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76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ind w:left="9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6"/>
                <w:kern w:val="0"/>
                <w:sz w:val="20"/>
                <w:szCs w:val="20"/>
                <w14:textFill>
                  <w14:solidFill>
                    <w14:schemeClr w14:val="tx1"/>
                  </w14:solidFill>
                </w14:textFill>
              </w:rPr>
              <w:t>八、推动社会</w:t>
            </w:r>
            <w:r>
              <w:rPr>
                <w:rFonts w:hint="eastAsia" w:ascii="宋体" w:hAnsi="宋体" w:eastAsia="宋体" w:cs="宋体"/>
                <w:color w:val="000000" w:themeColor="text1"/>
                <w:spacing w:val="3"/>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资源全面节</w:t>
            </w:r>
            <w:r>
              <w:rPr>
                <w:rFonts w:hint="eastAsia" w:ascii="宋体" w:hAnsi="宋体" w:eastAsia="宋体" w:cs="宋体"/>
                <w:color w:val="000000" w:themeColor="text1"/>
                <w:kern w:val="0"/>
                <w:sz w:val="20"/>
                <w:szCs w:val="20"/>
                <w14:textFill>
                  <w14:solidFill>
                    <w14:schemeClr w14:val="tx1"/>
                  </w14:solidFill>
                </w14:textFill>
              </w:rPr>
              <w:t xml:space="preserve">  约</w:t>
            </w:r>
          </w:p>
        </w:tc>
        <w:tc>
          <w:tcPr>
            <w:tcW w:w="1646"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ind w:left="90" w:right="218"/>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(十七)促进人</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力资源质量提</w:t>
            </w:r>
            <w:r>
              <w:rPr>
                <w:rFonts w:hint="eastAsia" w:ascii="宋体" w:hAnsi="宋体" w:eastAsia="宋体" w:cs="宋体"/>
                <w:color w:val="000000" w:themeColor="text1"/>
                <w:kern w:val="0"/>
                <w:sz w:val="20"/>
                <w:szCs w:val="20"/>
                <w14:textFill>
                  <w14:solidFill>
                    <w14:schemeClr w14:val="tx1"/>
                  </w14:solidFill>
                </w14:textFill>
              </w:rPr>
              <w:t xml:space="preserve"> 升</w:t>
            </w: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spacing w:before="13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93.建立健全人力资源需求分析与预测机制，增强人力资源发展规划计划前瞻性。</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spacing w:before="217"/>
              <w:ind w:right="4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0"/>
                <w:kern w:val="0"/>
                <w:sz w:val="20"/>
                <w:szCs w:val="20"/>
                <w14:textFill>
                  <w14:solidFill>
                    <w14:schemeClr w14:val="tx1"/>
                  </w14:solidFill>
                </w14:textFill>
              </w:rPr>
              <w:t>94.支持重点产业链相关企业引进培育高层次人才，对企业人才引育工作给予科研经费支持。兑现好相关奖补政策，最大限度留住高端人才。</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组织部</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2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3"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spacing w:before="65"/>
              <w:ind w:right="16"/>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0"/>
                <w:kern w:val="0"/>
                <w:sz w:val="20"/>
                <w:szCs w:val="20"/>
                <w14:textFill>
                  <w14:solidFill>
                    <w14:schemeClr w14:val="tx1"/>
                  </w14:solidFill>
                </w14:textFill>
              </w:rPr>
              <w:t>95.强化本土科技领军人才培养，选拔培育一批对我旗产业发展能够发挥重要支撑作用的高层次科技创新人才。推动人力资源服务产业园建设，打造优质人力资源服务集聚辐射基地。定期开展人才需求调查，做好人力资源领域应用研究。</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教体局</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2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spacing w:before="221"/>
              <w:ind w:right="4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96.推动“人才新政30条”、人才和科技创新驱动三年行动落实落细。</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position w:val="5"/>
                <w:sz w:val="20"/>
                <w:szCs w:val="20"/>
                <w14:textFill>
                  <w14:solidFill>
                    <w14:schemeClr w14:val="tx1"/>
                  </w14:solidFill>
                </w14:textFill>
              </w:rPr>
              <w:t>组织部</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1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spacing w:before="65"/>
              <w:ind w:right="2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97.统筹抓好重点人才队伍建设，强化职业教育发展，加大高层次人才培养力度，支持柔性引进经济社会发展急需紧缺高层次人才。</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教体局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spacing w:before="222"/>
              <w:ind w:right="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98.加强职业教育培训能力建设，推动各类社会培训资源统一纳入职业院校实施。落实“技能内蒙古行动”,持续加强技能人才培养。</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教体局</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人社局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5"/>
              <w:ind w:left="90" w:right="212"/>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(十八)引导全 </w:t>
            </w:r>
            <w:r>
              <w:rPr>
                <w:rFonts w:hint="eastAsia" w:ascii="宋体" w:hAnsi="宋体" w:eastAsia="宋体" w:cs="宋体"/>
                <w:color w:val="000000" w:themeColor="text1"/>
                <w:spacing w:val="2"/>
                <w:kern w:val="0"/>
                <w:sz w:val="20"/>
                <w:szCs w:val="20"/>
                <w14:textFill>
                  <w14:solidFill>
                    <w14:schemeClr w14:val="tx1"/>
                  </w14:solidFill>
                </w14:textFill>
              </w:rPr>
              <w:t>民树立正确资</w:t>
            </w:r>
            <w:r>
              <w:rPr>
                <w:rFonts w:hint="eastAsia" w:ascii="宋体" w:hAnsi="宋体" w:eastAsia="宋体" w:cs="宋体"/>
                <w:color w:val="000000" w:themeColor="text1"/>
                <w:spacing w:val="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源节约观</w:t>
            </w: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spacing w:before="224"/>
              <w:ind w:right="2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99.倡导简约适度、绿色低碳的生活方式，鼓励消费再生资源产品，推动形成珍惜资源、节约资源的社会风尚。</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宣传部及其他有关</w:t>
            </w:r>
            <w:r>
              <w:rPr>
                <w:rFonts w:hint="eastAsia" w:ascii="宋体" w:hAnsi="宋体" w:eastAsia="宋体" w:cs="宋体"/>
                <w:color w:val="000000" w:themeColor="text1"/>
                <w:spacing w:val="11"/>
                <w:kern w:val="0"/>
                <w:sz w:val="20"/>
                <w:szCs w:val="20"/>
                <w14:textFill>
                  <w14:solidFill>
                    <w14:schemeClr w14:val="tx1"/>
                  </w14:solidFill>
                </w14:textFill>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111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86" w:type="dxa"/>
            <w:tcBorders>
              <w:top w:val="single" w:color="000000" w:sz="4" w:space="0"/>
              <w:left w:val="single" w:color="000000" w:sz="4" w:space="0"/>
              <w:bottom w:val="single" w:color="000000" w:sz="4" w:space="0"/>
              <w:right w:val="single" w:color="000000" w:sz="4" w:space="0"/>
            </w:tcBorders>
          </w:tcPr>
          <w:p>
            <w:pPr>
              <w:adjustRightInd w:val="0"/>
              <w:snapToGrid w:val="0"/>
              <w:spacing w:before="236"/>
              <w:ind w:right="2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100.通过节能宣传周、节水宣传周、全国土地日、世界环境日等活动，加强媒体宣传引导，加大资源节约政策和常识宣传，增强全民节约主动意识和社会责任。</w:t>
            </w:r>
          </w:p>
          <w:p>
            <w:pPr>
              <w:adjustRightInd w:val="0"/>
              <w:snapToGrid w:val="0"/>
              <w:spacing w:before="236"/>
              <w:ind w:left="62" w:right="21"/>
              <w:rPr>
                <w:rFonts w:ascii="宋体" w:hAnsi="宋体" w:eastAsia="宋体" w:cs="宋体"/>
                <w:color w:val="000000" w:themeColor="text1"/>
                <w:kern w:val="2"/>
                <w:sz w:val="20"/>
                <w:szCs w:val="20"/>
                <w14:textFill>
                  <w14:solidFill>
                    <w14:schemeClr w14:val="tx1"/>
                  </w14:solidFill>
                </w14:textFill>
              </w:rPr>
            </w:pP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宣传部及其他有关</w:t>
            </w:r>
            <w:r>
              <w:rPr>
                <w:rFonts w:hint="eastAsia" w:ascii="宋体" w:hAnsi="宋体" w:eastAsia="宋体" w:cs="宋体"/>
                <w:color w:val="000000" w:themeColor="text1"/>
                <w:spacing w:val="11"/>
                <w:kern w:val="0"/>
                <w:sz w:val="20"/>
                <w:szCs w:val="20"/>
                <w14:textFill>
                  <w14:solidFill>
                    <w14:schemeClr w14:val="tx1"/>
                  </w14:solidFill>
                </w14:textFill>
              </w:rPr>
              <w:t>部门</w:t>
            </w:r>
          </w:p>
        </w:tc>
      </w:tr>
    </w:tbl>
    <w:p>
      <w:pPr>
        <w:adjustRightInd w:val="0"/>
        <w:snapToGrid w:val="0"/>
        <w:rPr>
          <w:color w:val="000000" w:themeColor="text1"/>
          <w14:textFill>
            <w14:solidFill>
              <w14:schemeClr w14:val="tx1"/>
            </w14:solidFill>
          </w14:textFill>
        </w:rPr>
      </w:pPr>
    </w:p>
    <w:p>
      <w:pPr>
        <w:adjustRightInd w:val="0"/>
        <w:snapToGrid w:val="0"/>
        <w:rPr>
          <w:rFonts w:ascii="Arial"/>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6840" w:h="11900"/>
          <w:pgMar w:top="1077" w:right="1009" w:bottom="1077" w:left="1009" w:header="0" w:footer="1418" w:gutter="0"/>
          <w:pgNumType w:fmt="numberInDash"/>
          <w:cols w:space="720" w:num="1"/>
        </w:sectPr>
      </w:pPr>
    </w:p>
    <w:p>
      <w:pPr>
        <w:adjustRightInd w:val="0"/>
        <w:snapToGrid w:val="0"/>
        <w:rPr>
          <w:color w:val="000000" w:themeColor="text1"/>
          <w14:textFill>
            <w14:solidFill>
              <w14:schemeClr w14:val="tx1"/>
            </w14:solidFill>
          </w14:textFill>
        </w:r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657"/>
        <w:gridCol w:w="8062"/>
        <w:gridCol w:w="2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1094"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474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14" w:type="dxa"/>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76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1373"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2"/>
              <w:ind w:left="84"/>
              <w:rPr>
                <w:rFonts w:ascii="宋体" w:hAnsi="宋体" w:eastAsia="宋体" w:cs="宋体"/>
                <w:color w:val="000000" w:themeColor="text1"/>
                <w:kern w:val="2"/>
                <w:sz w:val="19"/>
                <w:szCs w:val="19"/>
                <w14:textFill>
                  <w14:solidFill>
                    <w14:schemeClr w14:val="tx1"/>
                  </w14:solidFill>
                </w14:textFill>
              </w:rPr>
            </w:pPr>
            <w:r>
              <w:rPr>
                <w:rFonts w:hint="eastAsia" w:ascii="宋体" w:hAnsi="宋体" w:eastAsia="宋体" w:cs="宋体"/>
                <w:color w:val="000000" w:themeColor="text1"/>
                <w:spacing w:val="6"/>
                <w:kern w:val="0"/>
                <w:sz w:val="19"/>
                <w:szCs w:val="19"/>
                <w14:textFill>
                  <w14:solidFill>
                    <w14:schemeClr w14:val="tx1"/>
                  </w14:solidFill>
                </w14:textFill>
              </w:rPr>
              <w:t>九、加强政策</w:t>
            </w:r>
            <w:r>
              <w:rPr>
                <w:rFonts w:hint="eastAsia" w:ascii="宋体" w:hAnsi="宋体" w:eastAsia="宋体" w:cs="宋体"/>
                <w:color w:val="000000" w:themeColor="text1"/>
                <w:spacing w:val="2"/>
                <w:kern w:val="0"/>
                <w:sz w:val="19"/>
                <w:szCs w:val="19"/>
                <w14:textFill>
                  <w14:solidFill>
                    <w14:schemeClr w14:val="tx1"/>
                  </w14:solidFill>
                </w14:textFill>
              </w:rPr>
              <w:t xml:space="preserve"> </w:t>
            </w:r>
            <w:r>
              <w:rPr>
                <w:rFonts w:hint="eastAsia" w:ascii="宋体" w:hAnsi="宋体" w:eastAsia="宋体" w:cs="宋体"/>
                <w:color w:val="000000" w:themeColor="text1"/>
                <w:spacing w:val="11"/>
                <w:kern w:val="0"/>
                <w:sz w:val="19"/>
                <w:szCs w:val="19"/>
                <w14:textFill>
                  <w14:solidFill>
                    <w14:schemeClr w14:val="tx1"/>
                  </w14:solidFill>
                </w14:textFill>
              </w:rPr>
              <w:t>引导和工作</w:t>
            </w:r>
            <w:r>
              <w:rPr>
                <w:rFonts w:hint="eastAsia" w:ascii="宋体" w:hAnsi="宋体" w:eastAsia="宋体" w:cs="宋体"/>
                <w:color w:val="000000" w:themeColor="text1"/>
                <w:kern w:val="0"/>
                <w:sz w:val="19"/>
                <w:szCs w:val="19"/>
                <w14:textFill>
                  <w14:solidFill>
                    <w14:schemeClr w14:val="tx1"/>
                  </w14:solidFill>
                </w14:textFill>
              </w:rPr>
              <w:t xml:space="preserve">   </w:t>
            </w:r>
            <w:r>
              <w:rPr>
                <w:rFonts w:hint="eastAsia" w:ascii="宋体" w:hAnsi="宋体" w:eastAsia="宋体" w:cs="宋体"/>
                <w:color w:val="000000" w:themeColor="text1"/>
                <w:spacing w:val="3"/>
                <w:kern w:val="0"/>
                <w:sz w:val="19"/>
                <w:szCs w:val="19"/>
                <w14:textFill>
                  <w14:solidFill>
                    <w14:schemeClr w14:val="tx1"/>
                  </w14:solidFill>
                </w14:textFill>
              </w:rPr>
              <w:t>落实</w:t>
            </w:r>
          </w:p>
        </w:tc>
        <w:tc>
          <w:tcPr>
            <w:tcW w:w="1657"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5"/>
              <w:ind w:left="71" w:right="24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(十九)加大政</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策支持力度</w:t>
            </w: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166"/>
              <w:ind w:right="7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101.加大资金统筹力度，发挥财政资金撬动作用。按照集中财力办大事的原则，集中财力引导市场主体参与资源节约集约利用项目实施、技术研发和产业化示范等重点工程。</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28"/>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position w:val="6"/>
                <w:sz w:val="20"/>
                <w:szCs w:val="20"/>
                <w14:textFill>
                  <w14:solidFill>
                    <w14:schemeClr w14:val="tx1"/>
                  </w14:solidFill>
                </w14:textFill>
              </w:rPr>
              <w:t>发改委</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14"/>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工信局</w:t>
            </w:r>
          </w:p>
          <w:p>
            <w:pPr>
              <w:adjustRightInd w:val="0"/>
              <w:snapToGrid w:val="0"/>
              <w:spacing w:before="3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5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102.健全充分反映稀缺程度和供求状况的资源性产品价格机制。</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59"/>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spacing w:before="65"/>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9"/>
                <w:kern w:val="0"/>
                <w:sz w:val="20"/>
                <w:szCs w:val="20"/>
                <w14:textFill>
                  <w14:solidFill>
                    <w14:schemeClr w14:val="tx1"/>
                  </w14:solidFill>
                </w14:textFill>
              </w:rPr>
              <w:t>103.执行市级制定的健全资源开发生态补偿机制。</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39"/>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spacing w:before="3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spacing w:before="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65"/>
              <w:ind w:left="52" w:right="60"/>
              <w:rPr>
                <w:rFonts w:ascii="宋体" w:hAnsi="宋体" w:eastAsia="宋体" w:cs="宋体"/>
                <w:color w:val="000000" w:themeColor="text1"/>
                <w:spacing w:val="15"/>
                <w:kern w:val="2"/>
                <w:sz w:val="20"/>
                <w:szCs w:val="20"/>
                <w14:textFill>
                  <w14:solidFill>
                    <w14:schemeClr w14:val="tx1"/>
                  </w14:solidFill>
                </w14:textFill>
              </w:rPr>
            </w:pPr>
          </w:p>
          <w:p>
            <w:pPr>
              <w:adjustRightInd w:val="0"/>
              <w:snapToGrid w:val="0"/>
              <w:spacing w:before="65"/>
              <w:ind w:right="6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5"/>
                <w:kern w:val="0"/>
                <w:sz w:val="20"/>
                <w:szCs w:val="20"/>
                <w14:textFill>
                  <w14:solidFill>
                    <w14:schemeClr w14:val="tx1"/>
                  </w14:solidFill>
                </w14:textFill>
              </w:rPr>
              <w:t>104.充分利用我市绿色信贷、绿色债券、碳金融等支持经济向绿色化转型的重要金融工具，引导资金用于清洁能源、基础设施绿色升级与节能环保产业。</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3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财政局</w:t>
            </w:r>
          </w:p>
          <w:p>
            <w:pPr>
              <w:adjustRightInd w:val="0"/>
              <w:snapToGrid w:val="0"/>
              <w:spacing w:before="5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金融服务中心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8"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5"/>
              <w:ind w:right="6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5"/>
                <w:kern w:val="0"/>
                <w:sz w:val="20"/>
                <w:szCs w:val="20"/>
                <w14:textFill>
                  <w14:solidFill>
                    <w14:schemeClr w14:val="tx1"/>
                  </w14:solidFill>
                </w14:textFill>
              </w:rPr>
              <w:t>105.协调推动金融机构用好碳减排支持工具和支持煤炭清洁高效利用专项再贷款，支持清洁能源快速发展、工业领域能效提升、传统煤炭高效利用。</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5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spacing w:before="12"/>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spacing w:before="1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能源局</w:t>
            </w:r>
          </w:p>
          <w:p>
            <w:pPr>
              <w:adjustRightInd w:val="0"/>
              <w:snapToGrid w:val="0"/>
              <w:spacing w:before="44"/>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人民银行</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达拉特旗银保监分局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303"/>
              <w:ind w:right="6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5"/>
                <w:kern w:val="0"/>
                <w:sz w:val="20"/>
                <w:szCs w:val="20"/>
                <w14:textFill>
                  <w14:solidFill>
                    <w14:schemeClr w14:val="tx1"/>
                  </w14:solidFill>
                </w14:textFill>
              </w:rPr>
              <w:t>106.运用好市场化机制，深化资源使用权交易改革。持续开展水环境生态考核补偿。</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4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spacing w:before="3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p>
            <w:pPr>
              <w:adjustRightInd w:val="0"/>
              <w:snapToGrid w:val="0"/>
              <w:spacing w:before="2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生态环境局</w:t>
            </w:r>
          </w:p>
          <w:p>
            <w:pPr>
              <w:adjustRightInd w:val="0"/>
              <w:snapToGrid w:val="0"/>
              <w:spacing w:before="3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水利局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restart"/>
            <w:tcBorders>
              <w:top w:val="single" w:color="000000" w:sz="4" w:space="0"/>
              <w:left w:val="single" w:color="000000" w:sz="4" w:space="0"/>
              <w:bottom w:val="single" w:color="000000" w:sz="4" w:space="0"/>
              <w:right w:val="single" w:color="000000"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5"/>
              <w:ind w:left="71" w:right="24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(二十)提高监</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1"/>
                <w:kern w:val="0"/>
                <w:sz w:val="20"/>
                <w:szCs w:val="20"/>
                <w14:textFill>
                  <w14:solidFill>
                    <w14:schemeClr w14:val="tx1"/>
                  </w14:solidFill>
                </w14:textFill>
              </w:rPr>
              <w:t>管能力水平</w:t>
            </w: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195"/>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9"/>
                <w:kern w:val="0"/>
                <w:sz w:val="20"/>
                <w:szCs w:val="20"/>
                <w14:textFill>
                  <w14:solidFill>
                    <w14:schemeClr w14:val="tx1"/>
                  </w14:solidFill>
                </w14:textFill>
              </w:rPr>
              <w:t>107.健全重要资源节约集约利用制度</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55"/>
              <w:ind w:right="254"/>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发改委及其他有关</w:t>
            </w:r>
            <w:r>
              <w:rPr>
                <w:rFonts w:hint="eastAsia" w:ascii="宋体" w:hAnsi="宋体" w:eastAsia="宋体" w:cs="宋体"/>
                <w:color w:val="000000" w:themeColor="text1"/>
                <w:spacing w:val="11"/>
                <w:kern w:val="0"/>
                <w:sz w:val="20"/>
                <w:szCs w:val="20"/>
                <w14:textFill>
                  <w14:solidFill>
                    <w14:schemeClr w14:val="tx1"/>
                  </w14:solidFill>
                </w14:textFill>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52"/>
              <w:ind w:right="5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7"/>
                <w:kern w:val="0"/>
                <w:sz w:val="20"/>
                <w:szCs w:val="20"/>
                <w14:textFill>
                  <w14:solidFill>
                    <w14:schemeClr w14:val="tx1"/>
                  </w14:solidFill>
                </w14:textFill>
              </w:rPr>
              <w:t>108.严格贯彻落实《内蒙古自治区投资负面清单(2022年版)》,铺张浪费的事一律不准干，形象工程、面子工程一律禁止上马。</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109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19"/>
                <w:szCs w:val="19"/>
                <w14:textFill>
                  <w14:solidFill>
                    <w14:schemeClr w14:val="tx1"/>
                  </w14:solidFill>
                </w14:textFill>
              </w:rPr>
            </w:pPr>
          </w:p>
        </w:tc>
        <w:tc>
          <w:tcPr>
            <w:tcW w:w="165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64" w:type="dxa"/>
            <w:tcBorders>
              <w:top w:val="single" w:color="000000" w:sz="4" w:space="0"/>
              <w:left w:val="single" w:color="000000" w:sz="4" w:space="0"/>
              <w:bottom w:val="single" w:color="000000" w:sz="4" w:space="0"/>
              <w:right w:val="single" w:color="000000" w:sz="4" w:space="0"/>
            </w:tcBorders>
          </w:tcPr>
          <w:p>
            <w:pPr>
              <w:adjustRightInd w:val="0"/>
              <w:snapToGrid w:val="0"/>
              <w:spacing w:before="185"/>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109.鼓励引导支持企事业单位、社会团队和科研机构参与研究节约资源相关标准。</w:t>
            </w:r>
          </w:p>
        </w:tc>
        <w:tc>
          <w:tcPr>
            <w:tcW w:w="25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7"/>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spacing w:before="12"/>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市场监管局</w:t>
            </w:r>
          </w:p>
        </w:tc>
      </w:tr>
    </w:tbl>
    <w:p>
      <w:pPr>
        <w:adjustRightInd w:val="0"/>
        <w:snapToGrid w:val="0"/>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sectPr>
          <w:pgSz w:w="17070" w:h="12220"/>
          <w:pgMar w:top="1077" w:right="1009" w:bottom="1077" w:left="1009" w:header="0" w:footer="1418" w:gutter="0"/>
          <w:pgNumType w:fmt="numberInDash"/>
          <w:cols w:space="720" w:num="1"/>
        </w:sectPr>
      </w:pPr>
    </w:p>
    <w:p>
      <w:pPr>
        <w:adjustRightInd w:val="0"/>
        <w:snapToGrid w:val="0"/>
        <w:rPr>
          <w:color w:val="000000" w:themeColor="text1"/>
          <w14:textFill>
            <w14:solidFill>
              <w14:schemeClr w14:val="tx1"/>
            </w14:solidFill>
          </w14:textFill>
        </w:r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3"/>
        <w:gridCol w:w="1657"/>
        <w:gridCol w:w="8073"/>
        <w:gridCol w:w="2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1105"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4747"/>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503" w:type="dxa"/>
            <w:tcBorders>
              <w:top w:val="single" w:color="000000" w:sz="4" w:space="0"/>
              <w:left w:val="single" w:color="000000" w:sz="4" w:space="0"/>
              <w:bottom w:val="single" w:color="000000" w:sz="4" w:space="0"/>
              <w:right w:val="single" w:color="000000" w:sz="4" w:space="0"/>
            </w:tcBorders>
          </w:tcPr>
          <w:p>
            <w:pPr>
              <w:adjustRightInd w:val="0"/>
              <w:snapToGrid w:val="0"/>
              <w:spacing w:before="120"/>
              <w:ind w:left="761"/>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2" w:hRule="atLeast"/>
          <w:jc w:val="center"/>
        </w:trPr>
        <w:tc>
          <w:tcPr>
            <w:tcW w:w="1373"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6"/>
              <w:ind w:left="54" w:right="1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九、加强政策 </w:t>
            </w:r>
            <w:r>
              <w:rPr>
                <w:rFonts w:hint="eastAsia" w:ascii="宋体" w:hAnsi="宋体" w:eastAsia="宋体" w:cs="宋体"/>
                <w:color w:val="000000" w:themeColor="text1"/>
                <w:spacing w:val="8"/>
                <w:kern w:val="0"/>
                <w:sz w:val="20"/>
                <w:szCs w:val="20"/>
                <w14:textFill>
                  <w14:solidFill>
                    <w14:schemeClr w14:val="tx1"/>
                  </w14:solidFill>
                </w14:textFill>
              </w:rPr>
              <w:t>引导和工作</w:t>
            </w:r>
            <w:r>
              <w:rPr>
                <w:rFonts w:hint="eastAsia" w:ascii="宋体" w:hAnsi="宋体" w:eastAsia="宋体" w:cs="宋体"/>
                <w:color w:val="000000" w:themeColor="text1"/>
                <w:spacing w:val="1"/>
                <w:kern w:val="0"/>
                <w:sz w:val="20"/>
                <w:szCs w:val="20"/>
                <w14:textFill>
                  <w14:solidFill>
                    <w14:schemeClr w14:val="tx1"/>
                  </w14:solidFill>
                </w14:textFill>
              </w:rPr>
              <w:t xml:space="preserve">  </w:t>
            </w:r>
            <w:r>
              <w:rPr>
                <w:rFonts w:hint="eastAsia" w:ascii="宋体" w:hAnsi="宋体" w:eastAsia="宋体" w:cs="宋体"/>
                <w:color w:val="000000" w:themeColor="text1"/>
                <w:spacing w:val="-3"/>
                <w:kern w:val="0"/>
                <w:sz w:val="20"/>
                <w:szCs w:val="20"/>
                <w14:textFill>
                  <w14:solidFill>
                    <w14:schemeClr w14:val="tx1"/>
                  </w14:solidFill>
                </w14:textFill>
              </w:rPr>
              <w:t>落实</w:t>
            </w:r>
          </w:p>
        </w:tc>
        <w:tc>
          <w:tcPr>
            <w:tcW w:w="1657"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rPr>
                <w:rFonts w:ascii="Arial" w:hAnsi="Times New Roman" w:eastAsia="宋体" w:cs="Times New Roman"/>
                <w:color w:val="000000" w:themeColor="text1"/>
                <w:kern w:val="0"/>
                <w:sz w:val="20"/>
                <w14:textFill>
                  <w14:solidFill>
                    <w14:schemeClr w14:val="tx1"/>
                  </w14:solidFill>
                </w14:textFill>
              </w:rPr>
            </w:pPr>
          </w:p>
          <w:p>
            <w:pPr>
              <w:adjustRightInd w:val="0"/>
              <w:snapToGrid w:val="0"/>
              <w:spacing w:before="65"/>
              <w:ind w:left="100" w:right="218"/>
              <w:rPr>
                <w:rFonts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8"/>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8"/>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8"/>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(二十)提高监管能力水平</w:t>
            </w: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rPr>
                <w:rFonts w:ascii="Arial" w:hAnsiTheme="minorHAnsi" w:eastAsiaTheme="minorEastAsia" w:cstheme="minorBidi"/>
                <w:color w:val="000000" w:themeColor="text1"/>
                <w:kern w:val="2"/>
                <w:sz w:val="21"/>
                <w14:textFill>
                  <w14:solidFill>
                    <w14:schemeClr w14:val="tx1"/>
                  </w14:solidFill>
                </w14:textFill>
              </w:rPr>
            </w:pPr>
          </w:p>
          <w:p>
            <w:pPr>
              <w:rPr>
                <w:rFonts w:ascii="宋体" w:hAnsi="宋体" w:eastAsia="宋体" w:cs="宋体"/>
                <w:color w:val="000000" w:themeColor="text1"/>
                <w:spacing w:val="15"/>
                <w:kern w:val="0"/>
                <w:sz w:val="20"/>
                <w:szCs w:val="20"/>
                <w14:textFill>
                  <w14:solidFill>
                    <w14:schemeClr w14:val="tx1"/>
                  </w14:solidFill>
                </w14:textFill>
              </w:rPr>
            </w:pPr>
            <w:r>
              <w:rPr>
                <w:rFonts w:hint="eastAsia" w:ascii="宋体" w:hAnsi="宋体" w:eastAsia="宋体" w:cs="宋体"/>
                <w:color w:val="000000" w:themeColor="text1"/>
                <w:spacing w:val="10"/>
                <w:kern w:val="0"/>
                <w:sz w:val="20"/>
                <w:szCs w:val="20"/>
                <w14:textFill>
                  <w14:solidFill>
                    <w14:schemeClr w14:val="tx1"/>
                  </w14:solidFill>
                </w14:textFill>
              </w:rPr>
              <w:t>110.加强资源节约利用的协同监管和社会监督，依托国家企业信用信息公示系统(内蒙古)部门协同监管平台和市、旗两级公共信用信息平台，将各部门对市场主体资源浪费行为的行政处罚信息归集到市场主体名下并公示。</w:t>
            </w:r>
          </w:p>
          <w:p>
            <w:pPr>
              <w:adjustRightInd w:val="0"/>
              <w:snapToGrid w:val="0"/>
              <w:spacing w:before="65"/>
              <w:ind w:left="62" w:right="51"/>
              <w:rPr>
                <w:rFonts w:ascii="宋体" w:hAnsi="宋体" w:eastAsia="宋体" w:cs="宋体"/>
                <w:color w:val="000000" w:themeColor="text1"/>
                <w:kern w:val="2"/>
                <w:sz w:val="20"/>
                <w:szCs w:val="20"/>
                <w14:textFill>
                  <w14:solidFill>
                    <w14:schemeClr w14:val="tx1"/>
                  </w14:solidFill>
                </w14:textFill>
              </w:rPr>
            </w:pP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28"/>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position w:val="4"/>
                <w:sz w:val="20"/>
                <w:szCs w:val="20"/>
                <w14:textFill>
                  <w14:solidFill>
                    <w14:schemeClr w14:val="tx1"/>
                  </w14:solidFill>
                </w14:textFill>
              </w:rPr>
              <w:t>自然资源局</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生态环境居</w:t>
            </w:r>
          </w:p>
          <w:p>
            <w:pPr>
              <w:adjustRightInd w:val="0"/>
              <w:snapToGrid w:val="0"/>
              <w:spacing w:before="42"/>
              <w:ind w:right="137"/>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市场监管局</w:t>
            </w:r>
          </w:p>
          <w:p>
            <w:pPr>
              <w:adjustRightInd w:val="0"/>
              <w:snapToGrid w:val="0"/>
              <w:spacing w:before="42"/>
              <w:ind w:right="137"/>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及其他相</w:t>
            </w:r>
            <w:r>
              <w:rPr>
                <w:rFonts w:hint="eastAsia" w:ascii="宋体" w:hAnsi="宋体" w:eastAsia="宋体" w:cs="宋体"/>
                <w:color w:val="000000" w:themeColor="text1"/>
                <w:spacing w:val="7"/>
                <w:kern w:val="0"/>
                <w:sz w:val="20"/>
                <w:szCs w:val="20"/>
                <w14:textFill>
                  <w14:solidFill>
                    <w14:schemeClr w14:val="tx1"/>
                  </w14:solidFill>
                </w14:textFill>
              </w:rPr>
              <w:t>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宋体"/>
                <w:color w:val="000000" w:themeColor="text1"/>
                <w:kern w:val="2"/>
                <w:sz w:val="19"/>
                <w:szCs w:val="19"/>
                <w14:textFill>
                  <w14:solidFill>
                    <w14:schemeClr w14:val="tx1"/>
                  </w14:solidFill>
                </w14:textFill>
              </w:rPr>
            </w:pPr>
            <w:r>
              <w:rPr>
                <w:rFonts w:hint="eastAsia" w:ascii="宋体" w:hAnsi="宋体" w:eastAsia="宋体" w:cs="宋体"/>
                <w:color w:val="000000" w:themeColor="text1"/>
                <w:spacing w:val="15"/>
                <w:kern w:val="0"/>
                <w:sz w:val="20"/>
                <w:szCs w:val="20"/>
                <w14:textFill>
                  <w14:solidFill>
                    <w14:schemeClr w14:val="tx1"/>
                  </w14:solidFill>
                </w14:textFill>
              </w:rPr>
              <w:t>111.严格落实自然资源综合行政执法制度，理顺和完善自然资源执法监察体制，强化执法队伍建设，加强耕地保护督察和卫片执法检查等督察整改工作，依法打击滥开乱采、乱占自然资源等各类土地、矿产违法行为。坚决遏制新增违法用地，完善“早发现、早制止、严查处”的工作机制，对自然资源领域违法违规行为快速查办、依法追责问责，有效遏制新增违法行为。</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spacing w:val="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自然资源局</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旗城市管理综合</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行政执法局</w:t>
            </w:r>
          </w:p>
          <w:p>
            <w:pPr>
              <w:adjustRightInd w:val="0"/>
              <w:snapToGrid w:val="0"/>
              <w:jc w:val="center"/>
              <w:rPr>
                <w:rFonts w:hint="eastAsia" w:ascii="宋体" w:hAnsi="宋体" w:eastAsia="宋体" w:cs="宋体"/>
                <w:color w:val="000000" w:themeColor="text1"/>
                <w:spacing w:val="1"/>
                <w:kern w:val="0"/>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各苏木镇人民政府</w:t>
            </w:r>
          </w:p>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市林草局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71"/>
              <w:ind w:right="7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112.积极通过引入卫星遥感等先进技术手段，推动建设智慧监管平台，逐步建立健全科技立体化的高水平预警监管体系，切实提高自然资源监测监管能力。</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4" w:hRule="atLeast"/>
          <w:jc w:val="center"/>
        </w:trPr>
        <w:tc>
          <w:tcPr>
            <w:tcW w:w="111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16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8075"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before="110"/>
              <w:ind w:right="29"/>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113.加大林草生态系统保护力度，全面推行林长制，压实属地主体责任和部门监管责任，构建林草网格化监管体系。严格执行基本草原保护和草畜平衡、禁牧休牧等制度，加强部门联动，强化行刑街接，依法打击乱开滥垦、乱采乱占等破坏林草资源的违法犯罪行为。</w:t>
            </w:r>
          </w:p>
        </w:tc>
        <w:tc>
          <w:tcPr>
            <w:tcW w:w="25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6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林草局</w:t>
            </w:r>
          </w:p>
        </w:tc>
      </w:tr>
    </w:tbl>
    <w:p>
      <w:pPr>
        <w:adjustRightInd w:val="0"/>
        <w:snapToGrid w:val="0"/>
        <w:spacing w:before="111"/>
        <w:ind w:left="62" w:right="11"/>
        <w:jc w:val="center"/>
        <w:rPr>
          <w:rFonts w:ascii="宋体" w:hAnsi="宋体" w:eastAsia="宋体" w:cs="宋体"/>
          <w:b/>
          <w:bCs/>
          <w:color w:val="000000" w:themeColor="text1"/>
          <w:spacing w:val="-4"/>
          <w:sz w:val="20"/>
          <w:szCs w:val="20"/>
          <w14:textFill>
            <w14:solidFill>
              <w14:schemeClr w14:val="tx1"/>
            </w14:solidFill>
          </w14:textFill>
        </w:rPr>
      </w:pPr>
    </w:p>
    <w:p>
      <w:pPr>
        <w:adjustRightInd w:val="0"/>
        <w:snapToGrid w:val="0"/>
        <w:spacing w:before="65"/>
        <w:ind w:left="758"/>
        <w:rPr>
          <w:rFonts w:hint="eastAsia" w:ascii="宋体" w:hAnsi="宋体" w:eastAsia="宋体" w:cs="宋体"/>
          <w:b/>
          <w:bCs/>
          <w:color w:val="000000" w:themeColor="text1"/>
          <w:spacing w:val="-5"/>
          <w:sz w:val="20"/>
          <w:szCs w:val="20"/>
          <w14:textFill>
            <w14:solidFill>
              <w14:schemeClr w14:val="tx1"/>
            </w14:solidFill>
          </w14:textFill>
        </w:rPr>
      </w:pPr>
    </w:p>
    <w:tbl>
      <w:tblPr>
        <w:tblStyle w:val="30"/>
        <w:tblW w:w="13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1623"/>
        <w:gridCol w:w="7908"/>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11156" w:type="dxa"/>
            <w:gridSpan w:val="3"/>
            <w:tcBorders>
              <w:top w:val="single" w:color="000000" w:sz="4" w:space="0"/>
              <w:left w:val="single" w:color="000000" w:sz="4" w:space="0"/>
              <w:bottom w:val="single" w:color="000000" w:sz="4" w:space="0"/>
              <w:right w:val="single" w:color="000000" w:sz="4" w:space="0"/>
            </w:tcBorders>
          </w:tcPr>
          <w:p>
            <w:pPr>
              <w:adjustRightInd w:val="0"/>
              <w:snapToGrid w:val="0"/>
              <w:spacing w:before="111"/>
              <w:ind w:left="62" w:right="1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b/>
                <w:bCs/>
                <w:color w:val="000000" w:themeColor="text1"/>
                <w:spacing w:val="-4"/>
                <w:kern w:val="0"/>
                <w:sz w:val="20"/>
                <w:szCs w:val="20"/>
                <w14:textFill>
                  <w14:solidFill>
                    <w14:schemeClr w14:val="tx1"/>
                  </w14:solidFill>
                </w14:textFill>
              </w:rPr>
              <w:t>重点任务</w:t>
            </w:r>
          </w:p>
        </w:tc>
        <w:tc>
          <w:tcPr>
            <w:tcW w:w="2452" w:type="dxa"/>
            <w:tcBorders>
              <w:top w:val="single" w:color="000000" w:sz="4" w:space="0"/>
              <w:left w:val="single" w:color="000000" w:sz="4" w:space="0"/>
              <w:bottom w:val="single" w:color="000000" w:sz="4" w:space="0"/>
              <w:right w:val="single" w:color="000000" w:sz="4" w:space="0"/>
            </w:tcBorders>
          </w:tcPr>
          <w:p>
            <w:pPr>
              <w:adjustRightInd w:val="0"/>
              <w:snapToGrid w:val="0"/>
              <w:spacing w:before="65"/>
              <w:ind w:left="758"/>
              <w:rPr>
                <w:rFonts w:ascii="宋体" w:hAnsi="宋体" w:eastAsia="宋体" w:cs="宋体"/>
                <w:color w:val="000000" w:themeColor="text1"/>
                <w:spacing w:val="1"/>
                <w:kern w:val="2"/>
                <w:sz w:val="20"/>
                <w:szCs w:val="20"/>
                <w14:textFill>
                  <w14:solidFill>
                    <w14:schemeClr w14:val="tx1"/>
                  </w14:solidFill>
                </w14:textFill>
              </w:rPr>
            </w:pPr>
            <w:r>
              <w:rPr>
                <w:rFonts w:hint="eastAsia" w:ascii="宋体" w:hAnsi="宋体" w:eastAsia="宋体" w:cs="宋体"/>
                <w:b/>
                <w:bCs/>
                <w:color w:val="000000" w:themeColor="text1"/>
                <w:spacing w:val="-5"/>
                <w:kern w:val="0"/>
                <w:sz w:val="20"/>
                <w:szCs w:val="20"/>
                <w14:textFill>
                  <w14:solidFill>
                    <w14:schemeClr w14:val="tx1"/>
                  </w14:solidFill>
                </w14:textFill>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jc w:val="center"/>
        </w:trPr>
        <w:tc>
          <w:tcPr>
            <w:tcW w:w="1623" w:type="dxa"/>
            <w:vMerge w:val="restart"/>
            <w:tcBorders>
              <w:top w:val="single" w:color="000000" w:sz="4" w:space="0"/>
              <w:left w:val="single" w:color="000000" w:sz="4" w:space="0"/>
              <w:bottom w:val="single" w:color="000000" w:sz="4" w:space="0"/>
              <w:right w:val="single" w:color="auto" w:sz="4" w:space="0"/>
            </w:tcBorders>
          </w:tcPr>
          <w:p>
            <w:pPr>
              <w:adjustRightInd w:val="0"/>
              <w:snapToGrid w:val="0"/>
              <w:spacing w:before="65"/>
              <w:ind w:left="100" w:right="213"/>
              <w:rPr>
                <w:rFonts w:ascii="宋体" w:hAnsi="宋体" w:eastAsia="宋体" w:cs="宋体"/>
                <w:color w:val="000000" w:themeColor="text1"/>
                <w:spacing w:val="1"/>
                <w:kern w:val="2"/>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spacing w:before="65"/>
              <w:ind w:left="100" w:right="213"/>
              <w:rPr>
                <w:rFonts w:ascii="宋体" w:hAnsi="宋体" w:eastAsia="宋体" w:cs="宋体"/>
                <w:color w:val="000000" w:themeColor="text1"/>
                <w:spacing w:val="2"/>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 xml:space="preserve">九、加强政策 </w:t>
            </w:r>
            <w:r>
              <w:rPr>
                <w:rFonts w:hint="eastAsia" w:ascii="宋体" w:hAnsi="宋体" w:eastAsia="宋体" w:cs="宋体"/>
                <w:color w:val="000000" w:themeColor="text1"/>
                <w:spacing w:val="8"/>
                <w:kern w:val="0"/>
                <w:sz w:val="20"/>
                <w:szCs w:val="20"/>
                <w14:textFill>
                  <w14:solidFill>
                    <w14:schemeClr w14:val="tx1"/>
                  </w14:solidFill>
                </w14:textFill>
              </w:rPr>
              <w:t>引导和工作</w:t>
            </w:r>
            <w:r>
              <w:rPr>
                <w:rFonts w:hint="eastAsia" w:ascii="宋体" w:hAnsi="宋体" w:eastAsia="宋体" w:cs="宋体"/>
                <w:color w:val="000000" w:themeColor="text1"/>
                <w:spacing w:val="1"/>
                <w:kern w:val="0"/>
                <w:sz w:val="20"/>
                <w:szCs w:val="20"/>
                <w14:textFill>
                  <w14:solidFill>
                    <w14:schemeClr w14:val="tx1"/>
                  </w14:solidFill>
                </w14:textFill>
              </w:rPr>
              <w:t xml:space="preserve">  </w:t>
            </w:r>
            <w:r>
              <w:rPr>
                <w:rFonts w:hint="eastAsia" w:ascii="宋体" w:hAnsi="宋体" w:eastAsia="宋体" w:cs="宋体"/>
                <w:color w:val="000000" w:themeColor="text1"/>
                <w:spacing w:val="-3"/>
                <w:kern w:val="0"/>
                <w:sz w:val="20"/>
                <w:szCs w:val="20"/>
                <w14:textFill>
                  <w14:solidFill>
                    <w14:schemeClr w14:val="tx1"/>
                  </w14:solidFill>
                </w14:textFill>
              </w:rPr>
              <w:t>落实</w:t>
            </w:r>
          </w:p>
        </w:tc>
        <w:tc>
          <w:tcPr>
            <w:tcW w:w="1623"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eastAsia="宋体" w:cs="宋体"/>
                <w:color w:val="000000" w:themeColor="text1"/>
                <w:kern w:val="2"/>
                <w:sz w:val="20"/>
                <w:szCs w:val="20"/>
                <w14:textFill>
                  <w14:solidFill>
                    <w14:schemeClr w14:val="tx1"/>
                  </w14:solidFill>
                </w14:textFill>
              </w:rPr>
            </w:pPr>
          </w:p>
          <w:p>
            <w:pPr>
              <w:adjustRightInd w:val="0"/>
              <w:snapToGrid w:val="0"/>
              <w:spacing w:before="65"/>
              <w:ind w:right="213"/>
              <w:rPr>
                <w:rFonts w:hint="eastAsia" w:ascii="宋体" w:hAnsi="宋体" w:eastAsia="宋体" w:cs="宋体"/>
                <w:color w:val="000000" w:themeColor="text1"/>
                <w:spacing w:val="2"/>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2"/>
                <w:kern w:val="0"/>
                <w:sz w:val="20"/>
                <w:szCs w:val="20"/>
                <w14:textFill>
                  <w14:solidFill>
                    <w14:schemeClr w14:val="tx1"/>
                  </w14:solidFill>
                </w14:textFill>
              </w:rPr>
            </w:pPr>
          </w:p>
          <w:p>
            <w:pPr>
              <w:adjustRightInd w:val="0"/>
              <w:snapToGrid w:val="0"/>
              <w:spacing w:before="65"/>
              <w:ind w:left="100" w:right="213"/>
              <w:rPr>
                <w:rFonts w:hint="eastAsia" w:ascii="宋体" w:hAnsi="宋体" w:eastAsia="宋体" w:cs="宋体"/>
                <w:color w:val="000000" w:themeColor="text1"/>
                <w:spacing w:val="2"/>
                <w:kern w:val="0"/>
                <w:sz w:val="20"/>
                <w:szCs w:val="20"/>
                <w14:textFill>
                  <w14:solidFill>
                    <w14:schemeClr w14:val="tx1"/>
                  </w14:solidFill>
                </w14:textFill>
              </w:rPr>
            </w:pPr>
          </w:p>
          <w:p>
            <w:pPr>
              <w:adjustRightInd w:val="0"/>
              <w:snapToGrid w:val="0"/>
              <w:spacing w:before="65"/>
              <w:ind w:left="100" w:right="213"/>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(二十一)推动</w:t>
            </w:r>
            <w:r>
              <w:rPr>
                <w:rFonts w:hint="eastAsia" w:ascii="宋体" w:hAnsi="宋体" w:eastAsia="宋体" w:cs="宋体"/>
                <w:color w:val="000000" w:themeColor="text1"/>
                <w:kern w:val="0"/>
                <w:sz w:val="20"/>
                <w:szCs w:val="20"/>
                <w14:textFill>
                  <w14:solidFill>
                    <w14:schemeClr w14:val="tx1"/>
                  </w14:solidFill>
                </w14:textFill>
              </w:rPr>
              <w:t xml:space="preserve"> </w:t>
            </w:r>
            <w:r>
              <w:rPr>
                <w:rFonts w:hint="eastAsia" w:ascii="宋体" w:hAnsi="宋体" w:eastAsia="宋体" w:cs="宋体"/>
                <w:color w:val="000000" w:themeColor="text1"/>
                <w:spacing w:val="-2"/>
                <w:kern w:val="0"/>
                <w:sz w:val="20"/>
                <w:szCs w:val="20"/>
                <w14:textFill>
                  <w14:solidFill>
                    <w14:schemeClr w14:val="tx1"/>
                  </w14:solidFill>
                </w14:textFill>
              </w:rPr>
              <w:t>科技创新赋能</w:t>
            </w:r>
          </w:p>
        </w:tc>
        <w:tc>
          <w:tcPr>
            <w:tcW w:w="7910"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2"/>
                <w:w w:val="93"/>
                <w:kern w:val="0"/>
                <w:sz w:val="20"/>
                <w:szCs w:val="20"/>
                <w14:textFill>
                  <w14:solidFill>
                    <w14:schemeClr w14:val="tx1"/>
                  </w14:solidFill>
                </w14:textFill>
              </w:rPr>
              <w:t>114</w:t>
            </w:r>
            <w:r>
              <w:rPr>
                <w:rFonts w:hint="eastAsia" w:ascii="宋体" w:hAnsi="宋体" w:eastAsia="宋体" w:cs="宋体"/>
                <w:snapToGrid w:val="0"/>
                <w:color w:val="000000" w:themeColor="text1"/>
                <w:spacing w:val="10"/>
                <w:kern w:val="0"/>
                <w:sz w:val="20"/>
                <w:szCs w:val="20"/>
                <w14:textFill>
                  <w14:solidFill>
                    <w14:schemeClr w14:val="tx1"/>
                  </w14:solidFill>
                </w14:textFill>
              </w:rPr>
              <w:t>.全面推进科技新政“八大行动”和“1+N”政策体系落实，围绕资源节约集约技术，鼓励企业加大科技研发投入，实施规模以上工业企业“三清零”行动。</w:t>
            </w:r>
          </w:p>
        </w:tc>
        <w:tc>
          <w:tcPr>
            <w:tcW w:w="24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宋体" w:hAnsi="宋体" w:eastAsia="宋体" w:cs="宋体"/>
                <w:color w:val="000000" w:themeColor="text1"/>
                <w:kern w:val="2"/>
                <w:sz w:val="20"/>
                <w:szCs w:val="20"/>
                <w14:textFill>
                  <w14:solidFill>
                    <w14:schemeClr w14:val="tx1"/>
                  </w14:solidFill>
                </w14:textFill>
              </w:rPr>
            </w:pPr>
          </w:p>
          <w:p>
            <w:pPr>
              <w:adjustRightInd w:val="0"/>
              <w:snapToGrid w:val="0"/>
              <w:spacing w:before="6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111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themeColor="text1"/>
                <w:spacing w:val="2"/>
                <w:kern w:val="2"/>
                <w:sz w:val="20"/>
                <w:szCs w:val="20"/>
                <w14:textFill>
                  <w14:solidFill>
                    <w14:schemeClr w14:val="tx1"/>
                  </w14:solidFill>
                </w14:textFill>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7910"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5"/>
                <w:kern w:val="0"/>
                <w:sz w:val="20"/>
                <w:szCs w:val="20"/>
                <w14:textFill>
                  <w14:solidFill>
                    <w14:schemeClr w14:val="tx1"/>
                  </w14:solidFill>
                </w14:textFill>
              </w:rPr>
              <w:t>115.围绕清洁能源化工、新材料等重点产业推动全旗研发平台增点扩面。</w:t>
            </w:r>
          </w:p>
        </w:tc>
        <w:tc>
          <w:tcPr>
            <w:tcW w:w="24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firstLine="606" w:firstLineChars="30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工信和科技局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jc w:val="center"/>
        </w:trPr>
        <w:tc>
          <w:tcPr>
            <w:tcW w:w="111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themeColor="text1"/>
                <w:spacing w:val="2"/>
                <w:kern w:val="2"/>
                <w:sz w:val="20"/>
                <w:szCs w:val="20"/>
                <w14:textFill>
                  <w14:solidFill>
                    <w14:schemeClr w14:val="tx1"/>
                  </w14:solidFill>
                </w14:textFill>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7910" w:type="dxa"/>
            <w:tcBorders>
              <w:top w:val="single" w:color="000000" w:sz="4" w:space="0"/>
              <w:left w:val="single" w:color="auto" w:sz="4" w:space="0"/>
              <w:bottom w:val="single" w:color="000000" w:sz="4" w:space="0"/>
              <w:right w:val="single" w:color="000000" w:sz="4" w:space="0"/>
            </w:tcBorders>
            <w:vAlign w:val="center"/>
          </w:tcPr>
          <w:p>
            <w:pP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8"/>
                <w:kern w:val="0"/>
                <w:sz w:val="20"/>
                <w:szCs w:val="20"/>
                <w14:textFill>
                  <w14:solidFill>
                    <w14:schemeClr w14:val="tx1"/>
                  </w14:solidFill>
                </w14:textFill>
              </w:rPr>
              <w:t>116.</w:t>
            </w:r>
            <w:r>
              <w:rPr>
                <w:rFonts w:hint="eastAsia" w:ascii="宋体" w:hAnsi="宋体" w:eastAsia="宋体" w:cs="宋体"/>
                <w:snapToGrid w:val="0"/>
                <w:color w:val="000000" w:themeColor="text1"/>
                <w:spacing w:val="10"/>
                <w:kern w:val="0"/>
                <w:sz w:val="20"/>
                <w:szCs w:val="20"/>
                <w14:textFill>
                  <w14:solidFill>
                    <w14:schemeClr w14:val="tx1"/>
                  </w14:solidFill>
                </w14:textFill>
              </w:rPr>
              <w:t>加大科技创新型企业培育力度，加强科技成果转化利用，推动各类科技创新要素向企业集聚，认真落实高新技术企业和科技型中小企业培育“双倍增”任务。加强与资源节约集约先进地区交流，实施产学研对接专项行动，加大科技创新人才引育力度，引导企业联合4+8+N合作主体开展科技交流合作，提升产学研合作能力。</w:t>
            </w:r>
          </w:p>
        </w:tc>
        <w:tc>
          <w:tcPr>
            <w:tcW w:w="24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17"/>
              <w:jc w:val="center"/>
              <w:rPr>
                <w:rFonts w:asciiTheme="minorHAnsi" w:hAnsiTheme="minorHAnsi" w:eastAsiaTheme="minorEastAsia" w:cstheme="minorBidi"/>
                <w:color w:val="000000" w:themeColor="text1"/>
                <w:kern w:val="2"/>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发改委</w:t>
            </w:r>
          </w:p>
          <w:p>
            <w:pPr>
              <w:adjustRightInd w:val="0"/>
              <w:snapToGrid w:val="0"/>
              <w:jc w:val="center"/>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工信和科技局</w:t>
            </w:r>
          </w:p>
          <w:p>
            <w:pPr>
              <w:pStyle w:val="12"/>
              <w:ind w:firstLine="0" w:firstLineChars="0"/>
              <w:rPr>
                <w:rFonts w:eastAsia="宋体"/>
                <w:b w:val="0"/>
                <w:bCs w:val="0"/>
                <w:color w:val="000000" w:themeColor="text1"/>
                <w:kern w:val="0"/>
                <w:sz w:val="20"/>
                <w:szCs w:val="20"/>
                <w14:textFill>
                  <w14:solidFill>
                    <w14:schemeClr w14:val="tx1"/>
                  </w14:solidFill>
                </w14:textFill>
              </w:rPr>
            </w:pPr>
            <w:r>
              <w:rPr>
                <w:rFonts w:hint="eastAsia" w:eastAsia="宋体" w:cs="宋体"/>
                <w:b w:val="0"/>
                <w:bCs w:val="0"/>
                <w:color w:val="000000" w:themeColor="text1"/>
                <w:spacing w:val="2"/>
                <w:kern w:val="0"/>
                <w:sz w:val="20"/>
                <w:szCs w:val="20"/>
                <w14:textFill>
                  <w14:solidFill>
                    <w14:schemeClr w14:val="tx1"/>
                  </w14:solidFill>
                </w14:textFill>
              </w:rPr>
              <w:t>大数据中心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jc w:val="center"/>
        </w:trPr>
        <w:tc>
          <w:tcPr>
            <w:tcW w:w="111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themeColor="text1"/>
                <w:spacing w:val="2"/>
                <w:kern w:val="2"/>
                <w:sz w:val="20"/>
                <w:szCs w:val="20"/>
                <w14:textFill>
                  <w14:solidFill>
                    <w14:schemeClr w14:val="tx1"/>
                  </w14:solidFill>
                </w14:textFill>
              </w:rPr>
            </w:pPr>
          </w:p>
        </w:tc>
        <w:tc>
          <w:tcPr>
            <w:tcW w:w="1623" w:type="dxa"/>
            <w:vMerge w:val="restart"/>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eastAsia="宋体" w:cs="宋体"/>
                <w:color w:val="000000" w:themeColor="text1"/>
                <w:spacing w:val="1"/>
                <w:kern w:val="2"/>
                <w:sz w:val="20"/>
                <w:szCs w:val="20"/>
                <w14:textFill>
                  <w14:solidFill>
                    <w14:schemeClr w14:val="tx1"/>
                  </w14:solidFill>
                </w14:textFill>
              </w:rPr>
            </w:pPr>
          </w:p>
          <w:p>
            <w:pPr>
              <w:adjustRightInd w:val="0"/>
              <w:snapToGrid w:val="0"/>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rPr>
                <w:rFonts w:hint="eastAsia" w:ascii="宋体" w:hAnsi="宋体" w:eastAsia="宋体" w:cs="宋体"/>
                <w:color w:val="000000" w:themeColor="text1"/>
                <w:spacing w:val="1"/>
                <w:kern w:val="0"/>
                <w:sz w:val="20"/>
                <w:szCs w:val="20"/>
                <w14:textFill>
                  <w14:solidFill>
                    <w14:schemeClr w14:val="tx1"/>
                  </w14:solidFill>
                </w14:textFill>
              </w:rPr>
            </w:pPr>
          </w:p>
          <w:p>
            <w:pPr>
              <w:adjustRightInd w:val="0"/>
              <w:snapToGrid w:val="0"/>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(二十二)切实</w:t>
            </w:r>
            <w:r>
              <w:rPr>
                <w:rFonts w:hint="eastAsia" w:ascii="宋体" w:hAnsi="宋体" w:eastAsia="宋体" w:cs="宋体"/>
                <w:color w:val="000000" w:themeColor="text1"/>
                <w:spacing w:val="-2"/>
                <w:kern w:val="0"/>
                <w:sz w:val="20"/>
                <w:szCs w:val="20"/>
                <w14:textFill>
                  <w14:solidFill>
                    <w14:schemeClr w14:val="tx1"/>
                  </w14:solidFill>
                </w14:textFill>
              </w:rPr>
              <w:t>推动工作落实</w:t>
            </w:r>
          </w:p>
        </w:tc>
        <w:tc>
          <w:tcPr>
            <w:tcW w:w="7910" w:type="dxa"/>
            <w:tcBorders>
              <w:top w:val="single" w:color="000000" w:sz="4" w:space="0"/>
              <w:left w:val="single" w:color="auto" w:sz="4" w:space="0"/>
              <w:bottom w:val="single" w:color="000000" w:sz="4" w:space="0"/>
              <w:right w:val="single" w:color="000000" w:sz="4" w:space="0"/>
            </w:tcBorders>
            <w:vAlign w:val="center"/>
          </w:tcPr>
          <w:p>
            <w:pPr>
              <w:pStyle w:val="12"/>
              <w:adjustRightInd w:val="0"/>
              <w:snapToGrid w:val="0"/>
              <w:ind w:firstLine="0" w:firstLineChars="0"/>
              <w:jc w:val="both"/>
              <w:rPr>
                <w:rFonts w:eastAsia="宋体" w:cs="宋体"/>
                <w:b w:val="0"/>
                <w:bCs w:val="0"/>
                <w:color w:val="000000" w:themeColor="text1"/>
                <w:spacing w:val="5"/>
                <w:kern w:val="0"/>
                <w:sz w:val="20"/>
                <w:szCs w:val="20"/>
                <w14:textFill>
                  <w14:solidFill>
                    <w14:schemeClr w14:val="tx1"/>
                  </w14:solidFill>
                </w14:textFill>
              </w:rPr>
            </w:pPr>
            <w:r>
              <w:rPr>
                <w:rFonts w:hint="eastAsia" w:eastAsia="宋体" w:cs="宋体"/>
                <w:b w:val="0"/>
                <w:bCs w:val="0"/>
                <w:color w:val="000000" w:themeColor="text1"/>
                <w:spacing w:val="10"/>
                <w:kern w:val="0"/>
                <w:sz w:val="20"/>
                <w:szCs w:val="20"/>
                <w14:textFill>
                  <w14:solidFill>
                    <w14:schemeClr w14:val="tx1"/>
                  </w14:solidFill>
                </w14:textFill>
              </w:rPr>
              <w:t>117.成立推进全社会资源全面节约集约工作领导小组，及时研究解决工作中的重大问题，统筹推进任务落实。领导小组负责全社会资源全面节约集约工作的综合协调，组织制定年度工作要点，明确工作目标、具体举措和责任分工，强化工作考核。</w:t>
            </w:r>
          </w:p>
        </w:tc>
        <w:tc>
          <w:tcPr>
            <w:tcW w:w="24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4"/>
              <w:jc w:val="center"/>
              <w:rPr>
                <w:rFonts w:ascii="宋体" w:hAnsi="宋体" w:eastAsia="宋体" w:cs="宋体"/>
                <w:color w:val="000000" w:themeColor="text1"/>
                <w:spacing w:val="2"/>
                <w:kern w:val="2"/>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jc w:val="center"/>
        </w:trPr>
        <w:tc>
          <w:tcPr>
            <w:tcW w:w="111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themeColor="text1"/>
                <w:spacing w:val="2"/>
                <w:kern w:val="2"/>
                <w:sz w:val="20"/>
                <w:szCs w:val="20"/>
                <w14:textFill>
                  <w14:solidFill>
                    <w14:schemeClr w14:val="tx1"/>
                  </w14:solidFill>
                </w14:textFill>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7910" w:type="dxa"/>
            <w:tcBorders>
              <w:top w:val="single" w:color="000000" w:sz="4" w:space="0"/>
              <w:left w:val="single" w:color="auto" w:sz="4" w:space="0"/>
              <w:bottom w:val="single" w:color="000000" w:sz="4" w:space="0"/>
              <w:right w:val="single" w:color="000000" w:sz="4" w:space="0"/>
            </w:tcBorders>
            <w:vAlign w:val="center"/>
          </w:tcPr>
          <w:p>
            <w:pPr>
              <w:adjustRightInd w:val="0"/>
              <w:snapToGrid w:val="0"/>
              <w:rPr>
                <w:rFonts w:ascii="Arial" w:hAnsiTheme="minorHAnsi" w:eastAsiaTheme="minorEastAsia" w:cstheme="minorBidi"/>
                <w:color w:val="000000" w:themeColor="text1"/>
                <w:kern w:val="2"/>
                <w:sz w:val="20"/>
                <w:szCs w:val="20"/>
                <w14:textFill>
                  <w14:solidFill>
                    <w14:schemeClr w14:val="tx1"/>
                  </w14:solidFill>
                </w14:textFill>
              </w:rPr>
            </w:pPr>
          </w:p>
          <w:p>
            <w:pPr>
              <w:pStyle w:val="12"/>
              <w:adjustRightInd w:val="0"/>
              <w:snapToGrid w:val="0"/>
              <w:ind w:firstLine="0" w:firstLineChars="0"/>
              <w:jc w:val="both"/>
              <w:rPr>
                <w:rFonts w:eastAsia="宋体" w:cs="宋体"/>
                <w:b w:val="0"/>
                <w:bCs w:val="0"/>
                <w:color w:val="000000" w:themeColor="text1"/>
                <w:spacing w:val="5"/>
                <w:kern w:val="0"/>
                <w:sz w:val="20"/>
                <w:szCs w:val="20"/>
                <w14:textFill>
                  <w14:solidFill>
                    <w14:schemeClr w14:val="tx1"/>
                  </w14:solidFill>
                </w14:textFill>
              </w:rPr>
            </w:pPr>
            <w:r>
              <w:rPr>
                <w:rFonts w:hint="eastAsia" w:eastAsia="宋体" w:cs="宋体"/>
                <w:b w:val="0"/>
                <w:bCs w:val="0"/>
                <w:color w:val="000000" w:themeColor="text1"/>
                <w:spacing w:val="4"/>
                <w:kern w:val="0"/>
                <w:sz w:val="20"/>
                <w:szCs w:val="20"/>
                <w14:textFill>
                  <w14:solidFill>
                    <w14:schemeClr w14:val="tx1"/>
                  </w14:solidFill>
                </w14:textFill>
              </w:rPr>
              <w:t>118.旗直有关部门要量化资源细分品类节约集约目标，建立健全分行业、分领域资源节约集约绩效评估机制和指标统计核算制度，加大对资源节约集约工作的督导检查力度。</w:t>
            </w:r>
          </w:p>
        </w:tc>
        <w:tc>
          <w:tcPr>
            <w:tcW w:w="24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191"/>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1"/>
                <w:kern w:val="0"/>
                <w:sz w:val="20"/>
                <w:szCs w:val="20"/>
                <w14:textFill>
                  <w14:solidFill>
                    <w14:schemeClr w14:val="tx1"/>
                  </w14:solidFill>
                </w14:textFill>
              </w:rPr>
              <w:t>政府办公室</w:t>
            </w:r>
          </w:p>
          <w:p>
            <w:pPr>
              <w:adjustRightInd w:val="0"/>
              <w:snapToGrid w:val="0"/>
              <w:spacing w:before="14"/>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1"/>
                <w:kern w:val="0"/>
                <w:sz w:val="20"/>
                <w:szCs w:val="20"/>
                <w14:textFill>
                  <w14:solidFill>
                    <w14:schemeClr w14:val="tx1"/>
                  </w14:solidFill>
                </w14:textFill>
              </w:rPr>
              <w:t>工信和科技局</w:t>
            </w:r>
          </w:p>
          <w:p>
            <w:pPr>
              <w:adjustRightInd w:val="0"/>
              <w:snapToGrid w:val="0"/>
              <w:jc w:val="center"/>
              <w:rPr>
                <w:rFonts w:hint="eastAsia" w:ascii="宋体" w:hAnsi="宋体" w:eastAsia="宋体" w:cs="宋体"/>
                <w:color w:val="000000" w:themeColor="text1"/>
                <w:spacing w:val="4"/>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 xml:space="preserve">自然资源 </w:t>
            </w:r>
            <w:r>
              <w:rPr>
                <w:rFonts w:hint="eastAsia" w:ascii="宋体" w:hAnsi="宋体" w:eastAsia="宋体" w:cs="宋体"/>
                <w:color w:val="000000" w:themeColor="text1"/>
                <w:spacing w:val="4"/>
                <w:kern w:val="0"/>
                <w:sz w:val="20"/>
                <w:szCs w:val="20"/>
                <w14:textFill>
                  <w14:solidFill>
                    <w14:schemeClr w14:val="tx1"/>
                  </w14:solidFill>
                </w14:textFill>
              </w:rPr>
              <w:t>水利局</w:t>
            </w:r>
          </w:p>
          <w:p>
            <w:pPr>
              <w:adjustRightInd w:val="0"/>
              <w:snapToGrid w:val="0"/>
              <w:jc w:val="center"/>
              <w:rPr>
                <w:rFonts w:ascii="宋体" w:hAnsi="宋体" w:eastAsia="宋体" w:cs="宋体"/>
                <w:color w:val="000000" w:themeColor="text1"/>
                <w:spacing w:val="2"/>
                <w:kern w:val="2"/>
                <w:sz w:val="20"/>
                <w:szCs w:val="20"/>
                <w14:textFill>
                  <w14:solidFill>
                    <w14:schemeClr w14:val="tx1"/>
                  </w14:solidFill>
                </w14:textFill>
              </w:rPr>
            </w:pPr>
            <w:r>
              <w:rPr>
                <w:rFonts w:hint="eastAsia" w:ascii="宋体" w:hAnsi="宋体" w:eastAsia="宋体" w:cs="宋体"/>
                <w:color w:val="000000" w:themeColor="text1"/>
                <w:spacing w:val="4"/>
                <w:kern w:val="0"/>
                <w:sz w:val="20"/>
                <w:szCs w:val="20"/>
                <w14:textFill>
                  <w14:solidFill>
                    <w14:schemeClr w14:val="tx1"/>
                  </w14:solidFill>
                </w14:textFill>
              </w:rPr>
              <w:t>农牧局  能源局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jc w:val="center"/>
        </w:trPr>
        <w:tc>
          <w:tcPr>
            <w:tcW w:w="11156"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themeColor="text1"/>
                <w:spacing w:val="2"/>
                <w:kern w:val="2"/>
                <w:sz w:val="20"/>
                <w:szCs w:val="20"/>
                <w14:textFill>
                  <w14:solidFill>
                    <w14:schemeClr w14:val="tx1"/>
                  </w14:solidFill>
                </w14:textFill>
              </w:rPr>
            </w:pPr>
          </w:p>
        </w:tc>
        <w:tc>
          <w:tcPr>
            <w:tcW w:w="16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2"/>
                <w:sz w:val="20"/>
                <w:szCs w:val="20"/>
                <w14:textFill>
                  <w14:solidFill>
                    <w14:schemeClr w14:val="tx1"/>
                  </w14:solidFill>
                </w14:textFill>
              </w:rPr>
            </w:pPr>
          </w:p>
        </w:tc>
        <w:tc>
          <w:tcPr>
            <w:tcW w:w="7910" w:type="dxa"/>
            <w:tcBorders>
              <w:top w:val="single" w:color="000000" w:sz="4" w:space="0"/>
              <w:left w:val="single" w:color="auto" w:sz="4" w:space="0"/>
              <w:bottom w:val="single" w:color="000000" w:sz="4" w:space="0"/>
              <w:right w:val="single" w:color="000000" w:sz="4" w:space="0"/>
            </w:tcBorders>
            <w:vAlign w:val="center"/>
          </w:tcPr>
          <w:p>
            <w:pPr>
              <w:adjustRightInd w:val="0"/>
              <w:snapToGrid w:val="0"/>
              <w:rPr>
                <w:rFonts w:ascii="Arial" w:hAnsiTheme="minorHAnsi" w:eastAsiaTheme="minorEastAsia" w:cstheme="minorBidi"/>
                <w:color w:val="000000" w:themeColor="text1"/>
                <w:kern w:val="2"/>
                <w:sz w:val="20"/>
                <w:szCs w:val="20"/>
                <w14:textFill>
                  <w14:solidFill>
                    <w14:schemeClr w14:val="tx1"/>
                  </w14:solidFill>
                </w14:textFill>
              </w:rPr>
            </w:pPr>
          </w:p>
          <w:p>
            <w:pPr>
              <w:pStyle w:val="12"/>
              <w:adjustRightInd w:val="0"/>
              <w:snapToGrid w:val="0"/>
              <w:ind w:firstLine="0" w:firstLineChars="0"/>
              <w:jc w:val="both"/>
              <w:rPr>
                <w:rFonts w:eastAsia="宋体" w:cs="宋体"/>
                <w:b w:val="0"/>
                <w:bCs w:val="0"/>
                <w:color w:val="000000" w:themeColor="text1"/>
                <w:spacing w:val="9"/>
                <w:kern w:val="0"/>
                <w:sz w:val="20"/>
                <w:szCs w:val="20"/>
                <w14:textFill>
                  <w14:solidFill>
                    <w14:schemeClr w14:val="tx1"/>
                  </w14:solidFill>
                </w14:textFill>
              </w:rPr>
            </w:pPr>
            <w:r>
              <w:rPr>
                <w:rFonts w:hint="eastAsia" w:eastAsia="宋体" w:cs="宋体"/>
                <w:b w:val="0"/>
                <w:bCs w:val="0"/>
                <w:color w:val="000000" w:themeColor="text1"/>
                <w:spacing w:val="9"/>
                <w:kern w:val="0"/>
                <w:sz w:val="20"/>
                <w:szCs w:val="20"/>
                <w14:textFill>
                  <w14:solidFill>
                    <w14:schemeClr w14:val="tx1"/>
                  </w14:solidFill>
                </w14:textFill>
              </w:rPr>
              <w:t>119.按规定发布全社会资源节约集约报告，宣传节约集约先进典型。各行业主管部门要建立资源开发利用情况动态监测机制，及时跟进国家、自治区和市最新部署要求，及时调整政策措施，优化资源开发利用结构。</w:t>
            </w:r>
          </w:p>
          <w:p>
            <w:pPr>
              <w:pStyle w:val="12"/>
              <w:adjustRightInd w:val="0"/>
              <w:snapToGrid w:val="0"/>
              <w:ind w:firstLine="0" w:firstLineChars="0"/>
              <w:jc w:val="both"/>
              <w:rPr>
                <w:rFonts w:eastAsia="宋体" w:cs="宋体"/>
                <w:b w:val="0"/>
                <w:bCs w:val="0"/>
                <w:color w:val="000000" w:themeColor="text1"/>
                <w:spacing w:val="5"/>
                <w:kern w:val="0"/>
                <w:sz w:val="20"/>
                <w:szCs w:val="20"/>
                <w14:textFill>
                  <w14:solidFill>
                    <w14:schemeClr w14:val="tx1"/>
                  </w14:solidFill>
                </w14:textFill>
              </w:rPr>
            </w:pPr>
          </w:p>
        </w:tc>
        <w:tc>
          <w:tcPr>
            <w:tcW w:w="24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85"/>
              <w:jc w:val="center"/>
              <w:rPr>
                <w:rFonts w:ascii="宋体" w:hAnsi="宋体" w:eastAsia="宋体" w:cs="宋体"/>
                <w:color w:val="000000" w:themeColor="text1"/>
                <w:kern w:val="2"/>
                <w:sz w:val="20"/>
                <w:szCs w:val="20"/>
                <w14:textFill>
                  <w14:solidFill>
                    <w14:schemeClr w14:val="tx1"/>
                  </w14:solidFill>
                </w14:textFill>
              </w:rPr>
            </w:pPr>
            <w:r>
              <w:rPr>
                <w:rFonts w:hint="eastAsia" w:ascii="宋体" w:hAnsi="宋体" w:eastAsia="宋体" w:cs="宋体"/>
                <w:color w:val="000000" w:themeColor="text1"/>
                <w:spacing w:val="-2"/>
                <w:kern w:val="0"/>
                <w:position w:val="4"/>
                <w:sz w:val="20"/>
                <w:szCs w:val="20"/>
                <w14:textFill>
                  <w14:solidFill>
                    <w14:schemeClr w14:val="tx1"/>
                  </w14:solidFill>
                </w14:textFill>
              </w:rPr>
              <w:t>政府办公室</w:t>
            </w:r>
          </w:p>
          <w:p>
            <w:pPr>
              <w:adjustRightInd w:val="0"/>
              <w:snapToGrid w:val="0"/>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2"/>
                <w:kern w:val="0"/>
                <w:sz w:val="20"/>
                <w:szCs w:val="20"/>
                <w14:textFill>
                  <w14:solidFill>
                    <w14:schemeClr w14:val="tx1"/>
                  </w14:solidFill>
                </w14:textFill>
              </w:rPr>
              <w:t xml:space="preserve">发改委 </w:t>
            </w:r>
            <w:r>
              <w:rPr>
                <w:rFonts w:hint="eastAsia" w:ascii="宋体" w:hAnsi="宋体" w:eastAsia="宋体" w:cs="宋体"/>
                <w:color w:val="000000" w:themeColor="text1"/>
                <w:spacing w:val="4"/>
                <w:kern w:val="0"/>
                <w:sz w:val="20"/>
                <w:szCs w:val="20"/>
                <w14:textFill>
                  <w14:solidFill>
                    <w14:schemeClr w14:val="tx1"/>
                  </w14:solidFill>
                </w14:textFill>
              </w:rPr>
              <w:t>工信局</w:t>
            </w:r>
          </w:p>
          <w:p>
            <w:pPr>
              <w:adjustRightInd w:val="0"/>
              <w:snapToGrid w:val="0"/>
              <w:spacing w:before="32"/>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pacing w:val="3"/>
                <w:kern w:val="0"/>
                <w:sz w:val="20"/>
                <w:szCs w:val="20"/>
                <w14:textFill>
                  <w14:solidFill>
                    <w14:schemeClr w14:val="tx1"/>
                  </w14:solidFill>
                </w14:textFill>
              </w:rPr>
              <w:t xml:space="preserve">自然资源局 </w:t>
            </w:r>
            <w:r>
              <w:rPr>
                <w:rFonts w:hint="eastAsia" w:ascii="宋体" w:hAnsi="宋体" w:eastAsia="宋体" w:cs="宋体"/>
                <w:color w:val="000000" w:themeColor="text1"/>
                <w:spacing w:val="4"/>
                <w:kern w:val="0"/>
                <w:sz w:val="20"/>
                <w:szCs w:val="20"/>
                <w14:textFill>
                  <w14:solidFill>
                    <w14:schemeClr w14:val="tx1"/>
                  </w14:solidFill>
                </w14:textFill>
              </w:rPr>
              <w:t>水利局</w:t>
            </w:r>
          </w:p>
          <w:p>
            <w:pPr>
              <w:adjustRightInd w:val="0"/>
              <w:snapToGrid w:val="0"/>
              <w:spacing w:before="14"/>
              <w:jc w:val="center"/>
              <w:rPr>
                <w:rFonts w:ascii="宋体" w:hAnsi="宋体" w:eastAsia="宋体" w:cs="宋体"/>
                <w:color w:val="000000" w:themeColor="text1"/>
                <w:spacing w:val="2"/>
                <w:kern w:val="2"/>
                <w:sz w:val="20"/>
                <w:szCs w:val="20"/>
                <w14:textFill>
                  <w14:solidFill>
                    <w14:schemeClr w14:val="tx1"/>
                  </w14:solidFill>
                </w14:textFill>
              </w:rPr>
            </w:pPr>
            <w:r>
              <w:rPr>
                <w:rFonts w:hint="eastAsia" w:ascii="宋体" w:hAnsi="宋体" w:eastAsia="宋体" w:cs="宋体"/>
                <w:snapToGrid w:val="0"/>
                <w:color w:val="000000" w:themeColor="text1"/>
                <w:spacing w:val="9"/>
                <w:kern w:val="0"/>
                <w:sz w:val="20"/>
                <w:szCs w:val="20"/>
                <w14:textFill>
                  <w14:solidFill>
                    <w14:schemeClr w14:val="tx1"/>
                  </w14:solidFill>
                </w14:textFill>
              </w:rPr>
              <w:t>农牧局 能源局</w:t>
            </w:r>
          </w:p>
        </w:tc>
      </w:tr>
    </w:tbl>
    <w:p>
      <w:pPr>
        <w:widowControl/>
        <w:jc w:val="left"/>
        <w:rPr>
          <w:color w:val="000000" w:themeColor="text1"/>
          <w14:textFill>
            <w14:solidFill>
              <w14:schemeClr w14:val="tx1"/>
            </w14:solidFill>
          </w14:textFill>
        </w:rPr>
        <w:sectPr>
          <w:pgSz w:w="16838" w:h="11906" w:orient="landscape"/>
          <w:pgMar w:top="1587" w:right="2098" w:bottom="1474" w:left="1984" w:header="851" w:footer="1418" w:gutter="0"/>
          <w:pgNumType w:fmt="numberInDash"/>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31C8"/>
    <w:multiLevelType w:val="multilevel"/>
    <w:tmpl w:val="05EB31C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pStyle w:val="26"/>
      <w:lvlText w:val="%1.%2.%3."/>
      <w:lvlJc w:val="left"/>
      <w:pPr>
        <w:ind w:left="709" w:hanging="709"/>
      </w:pPr>
      <w:rPr>
        <w:rFonts w:hint="eastAsia" w:ascii="仿宋_GB2312" w:hAnsi="Arial Unicode MS" w:eastAsia="仿宋_GB2312" w:cs="Arial Unicode MS"/>
      </w:rPr>
    </w:lvl>
    <w:lvl w:ilvl="3" w:tentative="0">
      <w:start w:val="1"/>
      <w:numFmt w:val="decimal"/>
      <w:lvlText w:val="%1.%2.%3.%4."/>
      <w:lvlJc w:val="left"/>
      <w:pPr>
        <w:ind w:left="851" w:hanging="851"/>
      </w:pPr>
      <w:rPr>
        <w:rFonts w:hint="eastAsia" w:ascii="仿宋_GB2312" w:eastAsia="仿宋_GB2312"/>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A67A70"/>
    <w:rsid w:val="00A67A70"/>
    <w:rsid w:val="00B559F1"/>
    <w:rsid w:val="00C7399D"/>
    <w:rsid w:val="00CA373A"/>
    <w:rsid w:val="561D6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5"/>
    <w:qFormat/>
    <w:uiPriority w:val="0"/>
    <w:pPr>
      <w:keepNext/>
      <w:keepLines/>
      <w:spacing w:before="340" w:after="330" w:line="576" w:lineRule="auto"/>
      <w:outlineLvl w:val="0"/>
    </w:pPr>
    <w:rPr>
      <w:b/>
      <w:kern w:val="44"/>
      <w:sz w:val="4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7"/>
    <w:semiHidden/>
    <w:unhideWhenUsed/>
    <w:qFormat/>
    <w:uiPriority w:val="99"/>
    <w:pPr>
      <w:ind w:firstLine="420" w:firstLineChars="200"/>
    </w:pPr>
  </w:style>
  <w:style w:type="paragraph" w:styleId="3">
    <w:name w:val="Body Text Indent"/>
    <w:basedOn w:val="1"/>
    <w:link w:val="16"/>
    <w:semiHidden/>
    <w:unhideWhenUsed/>
    <w:qFormat/>
    <w:uiPriority w:val="99"/>
    <w:pPr>
      <w:spacing w:after="120"/>
      <w:ind w:left="420" w:leftChars="200"/>
    </w:pPr>
  </w:style>
  <w:style w:type="paragraph" w:styleId="5">
    <w:name w:val="Body Text"/>
    <w:basedOn w:val="1"/>
    <w:next w:val="1"/>
    <w:link w:val="21"/>
    <w:semiHidden/>
    <w:unhideWhenUsed/>
    <w:qFormat/>
    <w:uiPriority w:val="0"/>
    <w:pPr>
      <w:jc w:val="center"/>
    </w:pPr>
    <w:rPr>
      <w:rFonts w:ascii="宋体" w:hAnsi="宋体" w:cs="Times New Roman"/>
      <w:b/>
      <w:bCs/>
      <w:sz w:val="44"/>
    </w:rPr>
  </w:style>
  <w:style w:type="paragraph" w:styleId="6">
    <w:name w:val="Plain Text"/>
    <w:basedOn w:val="1"/>
    <w:link w:val="23"/>
    <w:unhideWhenUsed/>
    <w:qFormat/>
    <w:uiPriority w:val="0"/>
    <w:rPr>
      <w:rFonts w:hAnsi="Courier New" w:cs="Courier New" w:asciiTheme="minorEastAsia"/>
    </w:rPr>
  </w:style>
  <w:style w:type="paragraph" w:styleId="7">
    <w:name w:val="footer"/>
    <w:basedOn w:val="1"/>
    <w:link w:val="19"/>
    <w:semiHidden/>
    <w:unhideWhenUsed/>
    <w:qFormat/>
    <w:uiPriority w:val="99"/>
    <w:pPr>
      <w:tabs>
        <w:tab w:val="center" w:pos="4153"/>
        <w:tab w:val="right" w:pos="8306"/>
      </w:tabs>
      <w:snapToGrid w:val="0"/>
      <w:jc w:val="left"/>
    </w:pPr>
    <w:rPr>
      <w:sz w:val="18"/>
    </w:rPr>
  </w:style>
  <w:style w:type="paragraph" w:styleId="8">
    <w:name w:val="header"/>
    <w:basedOn w:val="1"/>
    <w:link w:val="18"/>
    <w:semiHidden/>
    <w:unhideWhenUsed/>
    <w:qFormat/>
    <w:uiPriority w:val="0"/>
    <w:pPr>
      <w:tabs>
        <w:tab w:val="center" w:pos="4153"/>
        <w:tab w:val="right" w:pos="8306"/>
      </w:tabs>
      <w:snapToGrid w:val="0"/>
    </w:pPr>
    <w:rPr>
      <w:sz w:val="18"/>
    </w:rPr>
  </w:style>
  <w:style w:type="paragraph" w:styleId="9">
    <w:name w:val="toc 2"/>
    <w:basedOn w:val="1"/>
    <w:next w:val="1"/>
    <w:autoRedefine/>
    <w:semiHidden/>
    <w:unhideWhenUsed/>
    <w:qFormat/>
    <w:uiPriority w:val="0"/>
    <w:pPr>
      <w:ind w:left="420" w:leftChars="200"/>
    </w:pPr>
    <w:rPr>
      <w:rFonts w:ascii="Times New Roman" w:hAnsi="Times New Roman" w:eastAsia="宋体" w:cs="Times New Roman"/>
    </w:rPr>
  </w:style>
  <w:style w:type="paragraph" w:styleId="10">
    <w:name w:val="Normal (Web)"/>
    <w:basedOn w:val="1"/>
    <w:semiHidden/>
    <w:unhideWhenUsed/>
    <w:qFormat/>
    <w:uiPriority w:val="0"/>
    <w:pPr>
      <w:jc w:val="left"/>
    </w:pPr>
    <w:rPr>
      <w:rFonts w:ascii="Calibri" w:hAnsi="Calibri"/>
      <w:kern w:val="0"/>
      <w:sz w:val="24"/>
    </w:rPr>
  </w:style>
  <w:style w:type="paragraph" w:styleId="11">
    <w:name w:val="Title"/>
    <w:basedOn w:val="1"/>
    <w:next w:val="1"/>
    <w:link w:val="20"/>
    <w:qFormat/>
    <w:uiPriority w:val="10"/>
    <w:pPr>
      <w:spacing w:before="240" w:after="60"/>
      <w:ind w:left="640" w:leftChars="200"/>
      <w:outlineLvl w:val="0"/>
    </w:pPr>
    <w:rPr>
      <w:rFonts w:ascii="Arial" w:hAnsi="Arial"/>
      <w:b/>
    </w:rPr>
  </w:style>
  <w:style w:type="paragraph" w:styleId="12">
    <w:name w:val="Body Text First Indent"/>
    <w:basedOn w:val="5"/>
    <w:next w:val="2"/>
    <w:link w:val="22"/>
    <w:unhideWhenUsed/>
    <w:qFormat/>
    <w:uiPriority w:val="99"/>
    <w:pPr>
      <w:ind w:firstLine="560" w:firstLineChars="200"/>
    </w:pPr>
  </w:style>
  <w:style w:type="character" w:customStyle="1" w:styleId="15">
    <w:name w:val="标题 1 Char"/>
    <w:basedOn w:val="14"/>
    <w:link w:val="4"/>
    <w:qFormat/>
    <w:uiPriority w:val="0"/>
    <w:rPr>
      <w:b/>
      <w:kern w:val="44"/>
      <w:sz w:val="44"/>
      <w:szCs w:val="24"/>
    </w:rPr>
  </w:style>
  <w:style w:type="character" w:customStyle="1" w:styleId="16">
    <w:name w:val="正文文本缩进 Char"/>
    <w:basedOn w:val="14"/>
    <w:link w:val="3"/>
    <w:semiHidden/>
    <w:uiPriority w:val="99"/>
    <w:rPr>
      <w:szCs w:val="24"/>
    </w:rPr>
  </w:style>
  <w:style w:type="character" w:customStyle="1" w:styleId="17">
    <w:name w:val="正文首行缩进 2 Char"/>
    <w:basedOn w:val="16"/>
    <w:link w:val="2"/>
    <w:semiHidden/>
    <w:uiPriority w:val="99"/>
    <w:rPr>
      <w:szCs w:val="24"/>
    </w:rPr>
  </w:style>
  <w:style w:type="character" w:customStyle="1" w:styleId="18">
    <w:name w:val="页眉 Char"/>
    <w:basedOn w:val="14"/>
    <w:link w:val="8"/>
    <w:semiHidden/>
    <w:uiPriority w:val="0"/>
    <w:rPr>
      <w:sz w:val="18"/>
      <w:szCs w:val="24"/>
    </w:rPr>
  </w:style>
  <w:style w:type="character" w:customStyle="1" w:styleId="19">
    <w:name w:val="页脚 Char"/>
    <w:basedOn w:val="14"/>
    <w:link w:val="7"/>
    <w:semiHidden/>
    <w:qFormat/>
    <w:uiPriority w:val="99"/>
    <w:rPr>
      <w:sz w:val="18"/>
      <w:szCs w:val="24"/>
    </w:rPr>
  </w:style>
  <w:style w:type="character" w:customStyle="1" w:styleId="20">
    <w:name w:val="标题 Char"/>
    <w:basedOn w:val="14"/>
    <w:link w:val="11"/>
    <w:uiPriority w:val="10"/>
    <w:rPr>
      <w:rFonts w:ascii="Arial" w:hAnsi="Arial"/>
      <w:b/>
      <w:szCs w:val="24"/>
    </w:rPr>
  </w:style>
  <w:style w:type="character" w:customStyle="1" w:styleId="21">
    <w:name w:val="正文文本 Char"/>
    <w:basedOn w:val="14"/>
    <w:link w:val="5"/>
    <w:semiHidden/>
    <w:uiPriority w:val="0"/>
    <w:rPr>
      <w:rFonts w:ascii="宋体" w:hAnsi="宋体" w:cs="Times New Roman"/>
      <w:b/>
      <w:bCs/>
      <w:sz w:val="44"/>
      <w:szCs w:val="24"/>
    </w:rPr>
  </w:style>
  <w:style w:type="character" w:customStyle="1" w:styleId="22">
    <w:name w:val="正文首行缩进 Char"/>
    <w:basedOn w:val="21"/>
    <w:link w:val="12"/>
    <w:uiPriority w:val="99"/>
    <w:rPr>
      <w:rFonts w:ascii="宋体" w:hAnsi="宋体" w:cs="Times New Roman"/>
      <w:sz w:val="44"/>
      <w:szCs w:val="24"/>
    </w:rPr>
  </w:style>
  <w:style w:type="character" w:customStyle="1" w:styleId="23">
    <w:name w:val="纯文本 Char"/>
    <w:basedOn w:val="14"/>
    <w:link w:val="6"/>
    <w:uiPriority w:val="0"/>
    <w:rPr>
      <w:rFonts w:hAnsi="Courier New" w:cs="Courier New" w:asciiTheme="minorEastAsia"/>
      <w:szCs w:val="24"/>
    </w:rPr>
  </w:style>
  <w:style w:type="paragraph" w:customStyle="1" w:styleId="24">
    <w:name w:val="正文样式"/>
    <w:basedOn w:val="1"/>
    <w:qFormat/>
    <w:uiPriority w:val="0"/>
    <w:pPr>
      <w:adjustRightInd w:val="0"/>
      <w:snapToGrid w:val="0"/>
      <w:spacing w:beforeLines="50" w:line="312" w:lineRule="auto"/>
      <w:ind w:firstLine="480" w:firstLineChars="200"/>
    </w:pPr>
    <w:rPr>
      <w:rFonts w:cs="宋体"/>
    </w:rPr>
  </w:style>
  <w:style w:type="paragraph" w:customStyle="1" w:styleId="25">
    <w:name w:val="Normal Indent1"/>
    <w:basedOn w:val="1"/>
    <w:qFormat/>
    <w:uiPriority w:val="0"/>
    <w:pPr>
      <w:ind w:firstLine="567"/>
    </w:pPr>
  </w:style>
  <w:style w:type="paragraph" w:customStyle="1" w:styleId="26">
    <w:name w:val="样式1"/>
    <w:basedOn w:val="11"/>
    <w:semiHidden/>
    <w:qFormat/>
    <w:uiPriority w:val="0"/>
    <w:pPr>
      <w:numPr>
        <w:ilvl w:val="2"/>
        <w:numId w:val="1"/>
      </w:numPr>
    </w:pPr>
    <w:rPr>
      <w:kern w:val="0"/>
      <w:sz w:val="20"/>
      <w:szCs w:val="20"/>
    </w:rPr>
  </w:style>
  <w:style w:type="character" w:customStyle="1" w:styleId="27">
    <w:name w:val="fontstyle31"/>
    <w:basedOn w:val="14"/>
    <w:qFormat/>
    <w:uiPriority w:val="0"/>
    <w:rPr>
      <w:rFonts w:hint="eastAsia" w:ascii="黑体" w:hAnsi="宋体" w:eastAsia="黑体" w:cs="黑体"/>
      <w:color w:val="000000"/>
      <w:sz w:val="32"/>
      <w:szCs w:val="32"/>
    </w:rPr>
  </w:style>
  <w:style w:type="character" w:customStyle="1" w:styleId="28">
    <w:name w:val="UserStyle_8"/>
    <w:qFormat/>
    <w:uiPriority w:val="0"/>
    <w:rPr>
      <w:rFonts w:hint="default" w:ascii="Calibri" w:hAnsi="Calibri"/>
    </w:rPr>
  </w:style>
  <w:style w:type="character" w:customStyle="1" w:styleId="29">
    <w:name w:val="NormalCharacter"/>
    <w:basedOn w:val="14"/>
    <w:qFormat/>
    <w:uiPriority w:val="0"/>
  </w:style>
  <w:style w:type="table" w:customStyle="1" w:styleId="30">
    <w:name w:val="Table Normal"/>
    <w:semiHidden/>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3132</Words>
  <Characters>17854</Characters>
  <Lines>148</Lines>
  <Paragraphs>41</Paragraphs>
  <TotalTime>2</TotalTime>
  <ScaleCrop>false</ScaleCrop>
  <LinksUpToDate>false</LinksUpToDate>
  <CharactersWithSpaces>20945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2024-01-02T07:59:00Z</dcterms:created>
  <dc:creator>演示人</dc:creator>
  <cp:lastModifiedBy>Lenovo</cp:lastModifiedBy>
  <cp:lastPrinted>2024-01-02T08:00:00Z</cp:lastPrinted>
  <dcterms:modified xsi:type="dcterms:W3CDTF">2024-01-29T06:21:46Z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38E5F3E518CE45D79E9CF9B51346FCE6_12</vt:lpwstr>
  </property>
</Properties>
</file>