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A5" w:rsidRDefault="009F1DA5" w:rsidP="009F1DA5">
      <w:pPr>
        <w:widowControl/>
        <w:spacing w:line="360" w:lineRule="atLeast"/>
        <w:jc w:val="left"/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</w:pPr>
    </w:p>
    <w:p w:rsidR="009F1DA5" w:rsidRDefault="009F1DA5" w:rsidP="009F1DA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达拉</w:t>
      </w:r>
      <w:proofErr w:type="gramStart"/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特</w:t>
      </w:r>
      <w:proofErr w:type="gramEnd"/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旗人民政府关于印发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旗关于</w:t>
      </w:r>
    </w:p>
    <w:p w:rsidR="009F1DA5" w:rsidRDefault="009F1DA5" w:rsidP="009F1DA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支持产业转型升级创新发展若干举措</w:t>
      </w:r>
    </w:p>
    <w:p w:rsidR="009F1DA5" w:rsidRDefault="009F1DA5" w:rsidP="009F1DA5">
      <w:pPr>
        <w:spacing w:line="520" w:lineRule="exact"/>
        <w:jc w:val="center"/>
        <w:rPr>
          <w:rFonts w:ascii="方正小标宋简体" w:eastAsia="方正小标宋简体" w:hAnsi="黑体" w:cs="仿宋_GB2312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（试行）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的通知</w:t>
      </w:r>
    </w:p>
    <w:p w:rsidR="009F1DA5" w:rsidRDefault="009F1DA5" w:rsidP="009F1DA5">
      <w:pPr>
        <w:suppressAutoHyphens/>
        <w:adjustRightInd w:val="0"/>
        <w:snapToGrid w:val="0"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1DA5" w:rsidRDefault="009F1DA5" w:rsidP="009F1DA5">
      <w:pPr>
        <w:spacing w:line="520" w:lineRule="exact"/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 w:val="32"/>
          <w:szCs w:val="32"/>
        </w:rPr>
        <w:t>各苏木镇人民政府，各街道办事处，旗直各有关部门，各开发区（园区）管委会，各直属单位，各企事业单位：</w:t>
      </w:r>
    </w:p>
    <w:p w:rsidR="009F1DA5" w:rsidRDefault="009F1DA5" w:rsidP="009F1DA5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《达拉特旗关于支持产业转型升级创新发展若干举措（试行）》已经旗人民政府2023年第12次常务会议审议通过，请结合实际，认真抓好贯彻落实。</w:t>
      </w:r>
    </w:p>
    <w:p w:rsidR="009F1DA5" w:rsidRDefault="009F1DA5" w:rsidP="009F1DA5">
      <w:pPr>
        <w:widowControl/>
        <w:spacing w:line="520" w:lineRule="exact"/>
        <w:ind w:firstLineChars="1700" w:firstLine="5270"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达拉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特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旗人民政府　　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　　</w:t>
      </w:r>
      <w:proofErr w:type="gramEnd"/>
    </w:p>
    <w:p w:rsidR="009F1DA5" w:rsidRDefault="009F1DA5" w:rsidP="009F1DA5">
      <w:pPr>
        <w:widowControl/>
        <w:spacing w:line="520" w:lineRule="exact"/>
        <w:ind w:firstLineChars="1761" w:firstLine="5459"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2024年1月2日</w:t>
      </w: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  <w:r>
        <w:rPr>
          <w:rFonts w:hint="eastAsia"/>
          <w:lang w:bidi="ar"/>
        </w:rPr>
        <w:br/>
      </w: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pStyle w:val="a0"/>
        <w:rPr>
          <w:rFonts w:hint="eastAsia"/>
          <w:lang w:bidi="ar"/>
        </w:rPr>
      </w:pPr>
    </w:p>
    <w:p w:rsidR="009F1DA5" w:rsidRPr="009F1DA5" w:rsidRDefault="009F1DA5" w:rsidP="009F1DA5">
      <w:pPr>
        <w:pStyle w:val="a0"/>
        <w:rPr>
          <w:rFonts w:hint="eastAsia"/>
          <w:lang w:bidi="ar"/>
        </w:rPr>
      </w:pPr>
    </w:p>
    <w:p w:rsidR="009F1DA5" w:rsidRDefault="009F1DA5" w:rsidP="009F1DA5">
      <w:pPr>
        <w:spacing w:line="560" w:lineRule="exact"/>
        <w:jc w:val="center"/>
        <w:rPr>
          <w:rFonts w:ascii="方正小标宋简体" w:eastAsia="方正小标宋简体" w:hAnsi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lastRenderedPageBreak/>
        <w:t>达拉特</w:t>
      </w:r>
      <w:proofErr w:type="gramStart"/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旗关于</w:t>
      </w:r>
      <w:proofErr w:type="gramEnd"/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支持产业转型升级创新发展</w:t>
      </w:r>
    </w:p>
    <w:p w:rsidR="009F1DA5" w:rsidRDefault="009F1DA5" w:rsidP="009F1DA5">
      <w:pPr>
        <w:spacing w:line="560" w:lineRule="exact"/>
        <w:jc w:val="center"/>
        <w:rPr>
          <w:rFonts w:ascii="方正小标宋简体" w:eastAsia="方正小标宋简体" w:hAnsi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若干举措（试行）</w:t>
      </w:r>
    </w:p>
    <w:p w:rsidR="009F1DA5" w:rsidRDefault="009F1DA5" w:rsidP="009F1DA5">
      <w:pPr>
        <w:spacing w:line="560" w:lineRule="exact"/>
        <w:rPr>
          <w:rFonts w:ascii="楷体_GB2312" w:eastAsia="楷体_GB2312" w:hAnsi="楷体_GB2312" w:hint="eastAsia"/>
          <w:color w:val="000000"/>
          <w:sz w:val="32"/>
          <w:szCs w:val="32"/>
        </w:rPr>
      </w:pP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仿宋_GB2312" w:eastAsia="仿宋_GB2312" w:hAnsi="仿宋_GB2312" w:hint="eastAsia"/>
          <w:spacing w:val="6"/>
          <w:sz w:val="32"/>
          <w:szCs w:val="32"/>
        </w:rPr>
        <w:t>为全面贯彻党的二十大精神和《中共中央 国务院关于促进民营经济发展壮大的意见》精神，落实好自治区党委十一届五次全会暨全区经济工作会议、市委五届五次全会暨经济工作会议部署要求，在稳中求进的基础上，突出投资强度、科技高度、链条长度、环保程度、能耗水耗限度，推动经济社会实现高质量发展，结合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我旗实际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制定如下措施。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一、支持灯塔工厂梯队培育。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鼓励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规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上企业开展信息化智能化建设，对引进或改造数字化车间、智能工厂、机器换人等数字化智能化项目，对实际完成关键信息化设备软硬件进行评估，采取梯队培育、以奖代补的方式，将首次纳入全旗灯塔工厂、标杆工厂、智能工厂、数字车间的企业，分别给予40万元、30万元、20万元、10万元奖励。（牵头部门：旗工信和科技局；责任部门：达拉特经济开发区、旗财政局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二、支持亩均效益提质增效。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对旗区（园区）新引进的投资超5000万元的制造业企业（项目），实施“亩均效益”评价。在本政策执行期内，亩均实际固定资产投资超过300万元，且亩均产值营业收入超过500万元，亩均税收超过20万元的企业,亩均效益高于达拉特经济开发区平均水平评价指标50%、80%的企业，分别给予一次性200万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lastRenderedPageBreak/>
        <w:t>元、300万元奖励。（牵头部门：达拉特经济开发区；责任部门：旗工信和科技局、旗财政局、国家税务总局达拉特旗税务局）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三、支持节能节水技改提档升级。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新引进招商引资先进项目或通过实施技术改造降低能耗的，对单位产品综合能耗达到国家先进值、标杆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值且年节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能量2000吨标准煤以上（含2000吨标准煤）的节能技术改造项目，在争取自治区、市级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奖励奖补资金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的基础上，旗财政再安排专项资金，高于先进值每节约1吨标准煤追加给予50元奖励，单个项目奖励不超过200万元；高于标杆值每节约1吨标准煤追加给予80元奖励，单个项目奖励不超过300万元。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仿宋_GB2312" w:eastAsia="仿宋_GB2312" w:hAnsi="仿宋_GB2312" w:hint="eastAsia"/>
          <w:spacing w:val="6"/>
          <w:sz w:val="32"/>
          <w:szCs w:val="32"/>
        </w:rPr>
        <w:t>对新招引高耗水项目直接实施节水措施、污水循环利用的企业，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且单位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产品水耗达到国家先进值，对备案的节水项目装置设施给予30%的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设备固投奖励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奖补单个项目奖补不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超过300万元。通过节水技术改造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且单位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产品水耗达到国家先进值的节水技术改造项目，比照上一年度用水每节约5万吨，给予10万元奖励；（牵头部门：旗工信和科技局；责任部门：达拉特经济开发区、旗财政局、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旗发改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委、旗水利局）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四、支持一般工业固废资源化综合利用。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在争取自治区、市级固废综合利用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奖励奖补资金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的基础上，旗财政再安排专项资金，对新建一般工业固废（不含煤泥、煤矸石发电，全部为旗内固废资源）资源综合利用量1万吨／年以上的采用先进技术进行工业固废和再生资源高端化、绿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lastRenderedPageBreak/>
        <w:t>色化、循环化利用项目，每综合利用1吨给予3元奖励，单个项目奖励不超过300万元；对2022年前已建成的固废综合利用项目（全部为旗内固废资源），超额完成原核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定处理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能力的，每超额完成综合利用1吨给予2元奖励，单个项目奖励不超过100万元。（牵头部门：旗工信和科技局；责任部门：达拉特经济开发区、旗财政局）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五、支持县域商业发展。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支持首店经济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发展。对新引进知名商业综合体、现代物流、仓储配送（包括网络货运企业），签订2年以上入驻协议或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自持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物业开设独立法人性质的企业，分别给予50万元、40万元、30万元落户奖励；对国际、国内品牌企业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在我旗与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引进方签订2年以上入驻协议或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自持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物业开设独立法人性质的内蒙古首店、旗舰店，分别给予25万元、15万元落户奖励。（牵头部门：旗工信和科技局；责任部门：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旗市场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监督管理局、旗财政局）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六、支持科技创新。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对批准建设的国家级技术创新中心，国家重点实验室和工程研究中心、制造业创新中心、产业研究院、院士工作站，一次性给予100万元支持；对批准建设的自治区级技术创新中心、自治区级重点实验室和工程研究中心、制造业创新中心、产业研究院、博士（专家）工作站、专精特新创新平台、临床医学研究中心，一次性给予50万元补助。规模以上工业企业新认定的国家、自治区级企业技术（研发）中心分别一次性给予50万元和30万元奖补。对旗内拟实施的重要科技中试项目，采取揭榜挂帅的方式，进行专业论证，对符合旗内产业定位、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lastRenderedPageBreak/>
        <w:t>场前景好、有推广意义价值的科技项目或科研机构，进行200～1000万的“一事一议”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的奖补支持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。支持新装备新技术引进应用。对符合自治区、市和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我旗产业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发展规划和政策导向，“十四五”以来，自治区认定的首台（套）重大技术装备、关键零部件首批次产品、新材料首批次产品，根据评估技术的引领示范效应，在自治区、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市级奖补的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基础上，分三个等次给予一次性100万元、80万元、50万元追加奖励。对新引进的重点产业研发中试推广项目，给予一次性50万元奖励。（牵头部门：旗工信和科技局；责任部门：旗委组织部、旗财政局、旗农牧局、达拉特经济开发区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七、支持专精特新产业集群发展。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对新认定的国家级制造业单项冠军企业给予200万元一次性奖励；对新认定的国家级专精特新“小巨人”企业、“专精特新”示范中小企业、创新型中小企业分别给予150万元、100万元、50万元一次性奖励；对新认定的自治区级制造业单项冠军企业给予100万元一次性奖励；对新认定的自治区级细分领域专业化“小巨人”企业、“专精特新”示范中小企业、创新型中小企业分别给予100万元、50万元、30万元一次性奖励。支持产业集群发展，推进产业基础高级化和产业链现代化，引导中小企业特色化、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集群化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发展，5家以上产品关联、产业相近、互补配套的特色企业或产业园区可联合申请特色产业集群产业园，对新认定的国家级、自治区级特产产业集群分别一次性给予300万元、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200万元奖补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lastRenderedPageBreak/>
        <w:t>支持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。以上政策遵循填平补齐的原则，对已获得自治区级认定后又获得国家级认定的企业，按照填平补齐的原则，补齐奖励。（牵头部门：旗工信和科技局；责任部门：达拉特经济开发区、旗财政局、旗农牧局）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ascii="仿宋_GB2312" w:eastAsia="仿宋_GB2312" w:hAnsi="仿宋_GB2312" w:hint="eastAsia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八、支持招商引资。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t>项目引进前，与投资方、旗政府招商部门签订委托招商协议的企业、中介机构、商会、协会等法人机构和自然人（不包括各级党政机关、事业单位、国有企业及其工作人员），在项目建成落地后，经企业与招商部门共同认定，对引进固定资产投资额在5000万元（含）以上的项目，给予支持奖励。其中：现代农牧业项目固定资产投资额在5000万元以上、1亿元以上、10亿元以上的项目，分别给予10万元、20万元、30万元奖励；新型工业项目固定资产投资额在1亿元—10亿元、10亿元—30亿元、30亿元—50亿元、50亿元—100亿元及100亿元以上的项目分别给予10万元、30万元、50万元、80万元、100万元以上的奖励；现代服务业、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文旅和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城建项目固定资产投资额在5000万元以上、1亿元以上、10亿元以上的项目，分别给予10万元、20万元、30万元奖励。外资项目固定资产投资额在5000万元以上、1亿元以上、10亿元以上的项目，分别给予20万元、30万元、50万元奖励。在第一个完税年度后，对申请招商奖励的第三方（企业、中介机构、商会、协会等法人机构和自然人）进行专项评估，根据推动项目落地过程中做出的努力、对社会的贡献度、税收的贡献率、落地项目方的认可度等方面进行评估，</w:t>
      </w:r>
      <w:r>
        <w:rPr>
          <w:rFonts w:ascii="仿宋_GB2312" w:eastAsia="仿宋_GB2312" w:hAnsi="仿宋_GB2312" w:hint="eastAsia"/>
          <w:spacing w:val="6"/>
          <w:sz w:val="32"/>
          <w:szCs w:val="32"/>
        </w:rPr>
        <w:lastRenderedPageBreak/>
        <w:t>通过“一事一议”的方式进行奖励。（牵头部门：旗工信和科技局；责任部门：达拉特经济开发区、旗财政局、旗农牧局、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旗文旅局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）</w:t>
      </w:r>
    </w:p>
    <w:p w:rsidR="009F1DA5" w:rsidRDefault="009F1DA5" w:rsidP="009F1DA5">
      <w:pPr>
        <w:pStyle w:val="a0"/>
        <w:spacing w:after="0" w:line="560" w:lineRule="exact"/>
        <w:ind w:firstLineChars="200" w:firstLine="664"/>
        <w:rPr>
          <w:rFonts w:hint="eastAsia"/>
        </w:rPr>
      </w:pPr>
      <w:r>
        <w:rPr>
          <w:rFonts w:ascii="仿宋_GB2312" w:eastAsia="仿宋_GB2312" w:hAnsi="仿宋_GB2312" w:hint="eastAsia"/>
          <w:spacing w:val="6"/>
          <w:sz w:val="32"/>
          <w:szCs w:val="32"/>
        </w:rPr>
        <w:t>以上措施从印发之日起实施，试行期两年。由企业提出申报，主管部门审核验收后，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报旗人民政府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批复，旗财政予以兑付。符合</w:t>
      </w:r>
      <w:proofErr w:type="gramStart"/>
      <w:r>
        <w:rPr>
          <w:rFonts w:ascii="仿宋_GB2312" w:eastAsia="仿宋_GB2312" w:hAnsi="仿宋_GB2312" w:hint="eastAsia"/>
          <w:spacing w:val="6"/>
          <w:sz w:val="32"/>
          <w:szCs w:val="32"/>
        </w:rPr>
        <w:t>本措施</w:t>
      </w:r>
      <w:proofErr w:type="gramEnd"/>
      <w:r>
        <w:rPr>
          <w:rFonts w:ascii="仿宋_GB2312" w:eastAsia="仿宋_GB2312" w:hAnsi="仿宋_GB2312" w:hint="eastAsia"/>
          <w:spacing w:val="6"/>
          <w:sz w:val="32"/>
          <w:szCs w:val="32"/>
        </w:rPr>
        <w:t>支持条件，同时符合其他同类扶持措施的，按照“从高不重复”的原则予以支持，另有规定的除外。措施具体条款办法由牵头部门负责制定。在措施实施过程中，由牵头部门开展绩效评价，评价结果作为优化调整和资金安排的参考依据，遇有特殊情况，由牵头部门负责解释说明、优化完善。遇有措施调整，以最新措施规定为准。</w:t>
      </w:r>
    </w:p>
    <w:p w:rsidR="009F1DA5" w:rsidRDefault="009F1DA5" w:rsidP="009F1DA5">
      <w:pPr>
        <w:pStyle w:val="a4"/>
      </w:pPr>
    </w:p>
    <w:p w:rsidR="009F1DA5" w:rsidRDefault="009F1DA5" w:rsidP="009F1DA5"/>
    <w:p w:rsidR="009F1DA5" w:rsidRDefault="009F1DA5" w:rsidP="009F1DA5">
      <w:pPr>
        <w:pStyle w:val="a0"/>
      </w:pPr>
    </w:p>
    <w:p w:rsidR="009F1DA5" w:rsidRDefault="009F1DA5" w:rsidP="009F1DA5">
      <w:pPr>
        <w:pStyle w:val="a4"/>
      </w:pPr>
    </w:p>
    <w:p w:rsidR="009F1DA5" w:rsidRDefault="009F1DA5" w:rsidP="009F1DA5"/>
    <w:p w:rsidR="009F1DA5" w:rsidRDefault="009F1DA5" w:rsidP="009F1DA5">
      <w:pPr>
        <w:pStyle w:val="a0"/>
      </w:pPr>
    </w:p>
    <w:p w:rsidR="009F1DA5" w:rsidRDefault="009F1DA5" w:rsidP="009F1DA5">
      <w:pPr>
        <w:pStyle w:val="a4"/>
      </w:pPr>
    </w:p>
    <w:p w:rsidR="009F1DA5" w:rsidRDefault="009F1DA5" w:rsidP="009F1DA5"/>
    <w:p w:rsidR="009F1DA5" w:rsidRDefault="009F1DA5" w:rsidP="009F1DA5">
      <w:pPr>
        <w:pStyle w:val="a0"/>
      </w:pPr>
    </w:p>
    <w:p w:rsidR="009F1DA5" w:rsidRDefault="009F1DA5" w:rsidP="009F1DA5">
      <w:pPr>
        <w:pStyle w:val="a4"/>
      </w:pPr>
    </w:p>
    <w:p w:rsidR="009F1DA5" w:rsidRDefault="009F1DA5" w:rsidP="009F1DA5"/>
    <w:p w:rsidR="009F1DA5" w:rsidRDefault="009F1DA5" w:rsidP="009F1DA5"/>
    <w:p w:rsidR="009F1DA5" w:rsidRDefault="009F1DA5" w:rsidP="009F1DA5">
      <w:pPr>
        <w:pStyle w:val="a0"/>
      </w:pPr>
    </w:p>
    <w:p w:rsidR="009F1DA5" w:rsidRDefault="009F1DA5" w:rsidP="009F1DA5">
      <w:pPr>
        <w:pStyle w:val="a4"/>
      </w:pPr>
    </w:p>
    <w:p w:rsidR="009F1DA5" w:rsidRDefault="009F1DA5" w:rsidP="009F1DA5"/>
    <w:p w:rsidR="009F1DA5" w:rsidRDefault="009F1DA5" w:rsidP="009F1DA5">
      <w:pPr>
        <w:pStyle w:val="a0"/>
      </w:pPr>
    </w:p>
    <w:p w:rsidR="009F1DA5" w:rsidRDefault="009F1DA5" w:rsidP="009F1DA5">
      <w:pPr>
        <w:pStyle w:val="a4"/>
      </w:pPr>
    </w:p>
    <w:p w:rsidR="009F1DA5" w:rsidRDefault="009F1DA5" w:rsidP="009F1DA5">
      <w:bookmarkStart w:id="0" w:name="_GoBack"/>
      <w:bookmarkEnd w:id="0"/>
    </w:p>
    <w:p w:rsidR="009F1DA5" w:rsidRDefault="009F1DA5" w:rsidP="009F1DA5">
      <w:pPr>
        <w:pStyle w:val="a0"/>
      </w:pPr>
    </w:p>
    <w:p w:rsidR="009F1DA5" w:rsidRDefault="009F1DA5" w:rsidP="009F1DA5">
      <w:pPr>
        <w:pStyle w:val="a4"/>
      </w:pPr>
    </w:p>
    <w:p w:rsidR="009F1DA5" w:rsidRDefault="009F1DA5" w:rsidP="009F1DA5"/>
    <w:p w:rsidR="007E7CB9" w:rsidRDefault="007E7CB9"/>
    <w:sectPr w:rsidR="007E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9"/>
    <w:rsid w:val="006573B9"/>
    <w:rsid w:val="007E7CB9"/>
    <w:rsid w:val="009F1DA5"/>
    <w:rsid w:val="00B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F1DA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semiHidden/>
    <w:unhideWhenUsed/>
    <w:qFormat/>
    <w:rsid w:val="009F1DA5"/>
    <w:pPr>
      <w:spacing w:after="120"/>
    </w:pPr>
  </w:style>
  <w:style w:type="character" w:customStyle="1" w:styleId="Char">
    <w:name w:val="正文文本 Char"/>
    <w:basedOn w:val="a1"/>
    <w:link w:val="a0"/>
    <w:semiHidden/>
    <w:rsid w:val="009F1DA5"/>
    <w:rPr>
      <w:szCs w:val="24"/>
    </w:rPr>
  </w:style>
  <w:style w:type="paragraph" w:styleId="a4">
    <w:name w:val="footer"/>
    <w:basedOn w:val="a"/>
    <w:next w:val="a"/>
    <w:link w:val="Char0"/>
    <w:semiHidden/>
    <w:unhideWhenUsed/>
    <w:qFormat/>
    <w:rsid w:val="009F1D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semiHidden/>
    <w:rsid w:val="009F1DA5"/>
    <w:rPr>
      <w:sz w:val="18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1DA5"/>
    <w:pPr>
      <w:ind w:leftChars="2500" w:left="100"/>
    </w:pPr>
  </w:style>
  <w:style w:type="character" w:customStyle="1" w:styleId="Char1">
    <w:name w:val="日期 Char"/>
    <w:basedOn w:val="a1"/>
    <w:link w:val="a5"/>
    <w:uiPriority w:val="99"/>
    <w:semiHidden/>
    <w:rsid w:val="009F1DA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F1DA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semiHidden/>
    <w:unhideWhenUsed/>
    <w:qFormat/>
    <w:rsid w:val="009F1DA5"/>
    <w:pPr>
      <w:spacing w:after="120"/>
    </w:pPr>
  </w:style>
  <w:style w:type="character" w:customStyle="1" w:styleId="Char">
    <w:name w:val="正文文本 Char"/>
    <w:basedOn w:val="a1"/>
    <w:link w:val="a0"/>
    <w:semiHidden/>
    <w:rsid w:val="009F1DA5"/>
    <w:rPr>
      <w:szCs w:val="24"/>
    </w:rPr>
  </w:style>
  <w:style w:type="paragraph" w:styleId="a4">
    <w:name w:val="footer"/>
    <w:basedOn w:val="a"/>
    <w:next w:val="a"/>
    <w:link w:val="Char0"/>
    <w:semiHidden/>
    <w:unhideWhenUsed/>
    <w:qFormat/>
    <w:rsid w:val="009F1D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semiHidden/>
    <w:rsid w:val="009F1DA5"/>
    <w:rPr>
      <w:sz w:val="18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1DA5"/>
    <w:pPr>
      <w:ind w:leftChars="2500" w:left="100"/>
    </w:pPr>
  </w:style>
  <w:style w:type="character" w:customStyle="1" w:styleId="Char1">
    <w:name w:val="日期 Char"/>
    <w:basedOn w:val="a1"/>
    <w:link w:val="a5"/>
    <w:uiPriority w:val="99"/>
    <w:semiHidden/>
    <w:rsid w:val="009F1DA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>微软中国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演示人</cp:lastModifiedBy>
  <cp:revision>4</cp:revision>
  <cp:lastPrinted>2024-04-03T06:35:00Z</cp:lastPrinted>
  <dcterms:created xsi:type="dcterms:W3CDTF">2024-04-03T06:34:00Z</dcterms:created>
  <dcterms:modified xsi:type="dcterms:W3CDTF">2024-04-03T06:35:00Z</dcterms:modified>
</cp:coreProperties>
</file>