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718E7">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eastAsia="方正小标宋简体"/>
          <w:sz w:val="44"/>
          <w:szCs w:val="52"/>
        </w:rPr>
      </w:pPr>
      <w:r>
        <w:rPr>
          <w:rFonts w:ascii="Times New Roman" w:hAnsi="Times New Roman" w:eastAsia="方正小标宋简体"/>
          <w:sz w:val="44"/>
          <w:szCs w:val="52"/>
        </w:rPr>
        <w:t>达拉特旗人民政府办公室关于印发</w:t>
      </w:r>
    </w:p>
    <w:p w14:paraId="19E9F371">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2024年达拉特旗饮水型地方性砷、氟中毒</w:t>
      </w:r>
    </w:p>
    <w:p w14:paraId="0CC5DDF8">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监测全覆盖和生活饮用水水碘含量调查</w:t>
      </w:r>
    </w:p>
    <w:p w14:paraId="6551D26B">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eastAsia="方正小标宋简体"/>
          <w:sz w:val="44"/>
          <w:szCs w:val="52"/>
        </w:rPr>
      </w:pPr>
      <w:r>
        <w:rPr>
          <w:rFonts w:ascii="Times New Roman" w:hAnsi="Times New Roman" w:eastAsia="方正小标宋简体"/>
          <w:sz w:val="44"/>
          <w:szCs w:val="44"/>
        </w:rPr>
        <w:t>实施方案</w:t>
      </w:r>
      <w:r>
        <w:rPr>
          <w:rFonts w:ascii="Times New Roman" w:hAnsi="Times New Roman" w:eastAsia="方正小标宋简体"/>
          <w:sz w:val="44"/>
          <w:szCs w:val="52"/>
        </w:rPr>
        <w:t>的通知</w:t>
      </w:r>
    </w:p>
    <w:p w14:paraId="1C4BF1A5">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eastAsia="方正小标宋简体"/>
          <w:sz w:val="44"/>
          <w:szCs w:val="52"/>
        </w:rPr>
      </w:pPr>
    </w:p>
    <w:p w14:paraId="2E44A94B">
      <w:pPr>
        <w:keepNext w:val="0"/>
        <w:keepLines w:val="0"/>
        <w:pageBreakBefore w:val="0"/>
        <w:widowControl w:val="0"/>
        <w:kinsoku/>
        <w:wordWrap w:val="0"/>
        <w:overflowPunct/>
        <w:topLinePunct w:val="0"/>
        <w:bidi w:val="0"/>
        <w:spacing w:line="560" w:lineRule="exact"/>
        <w:textAlignment w:val="auto"/>
        <w:rPr>
          <w:rFonts w:ascii="Times New Roman" w:hAnsi="Times New Roman" w:eastAsia="仿宋_GB2312"/>
          <w:sz w:val="32"/>
          <w:szCs w:val="40"/>
        </w:rPr>
      </w:pPr>
      <w:r>
        <w:rPr>
          <w:rFonts w:ascii="Times New Roman" w:hAnsi="Times New Roman" w:eastAsia="仿宋_GB2312"/>
          <w:sz w:val="32"/>
          <w:szCs w:val="40"/>
        </w:rPr>
        <w:t>达拉特旗经济开发区管委会、恩格贝生态示范区管委会，各苏木镇人民政府</w:t>
      </w:r>
      <w:r>
        <w:rPr>
          <w:rFonts w:hint="eastAsia" w:ascii="Times New Roman" w:hAnsi="Times New Roman" w:eastAsia="仿宋_GB2312"/>
          <w:sz w:val="32"/>
          <w:szCs w:val="40"/>
        </w:rPr>
        <w:t>，各</w:t>
      </w:r>
      <w:r>
        <w:rPr>
          <w:rFonts w:ascii="Times New Roman" w:hAnsi="Times New Roman" w:eastAsia="仿宋_GB2312"/>
          <w:sz w:val="32"/>
          <w:szCs w:val="40"/>
        </w:rPr>
        <w:t>街道办事处，旗直各部门：</w:t>
      </w:r>
    </w:p>
    <w:p w14:paraId="3C9E2A2B">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40"/>
        </w:rPr>
      </w:pPr>
      <w:r>
        <w:rPr>
          <w:rFonts w:ascii="Times New Roman" w:hAnsi="Times New Roman" w:eastAsia="仿宋_GB2312"/>
          <w:sz w:val="32"/>
          <w:szCs w:val="40"/>
        </w:rPr>
        <w:t>现将《2024年达拉特旗饮水型地方性砷中毒监测全覆盖实施方案》《2024年达拉特旗饮水型地方性氟中毒监测全覆盖实施方案》《2024年达拉特旗生活饮用水水碘含量调查方案》印发给你们，请认真抓好贯彻落实。</w:t>
      </w:r>
    </w:p>
    <w:p w14:paraId="5F1803B5">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40"/>
        </w:rPr>
      </w:pPr>
    </w:p>
    <w:p w14:paraId="03A630A0">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40"/>
        </w:rPr>
      </w:pPr>
    </w:p>
    <w:p w14:paraId="4C5DA494">
      <w:pPr>
        <w:keepNext w:val="0"/>
        <w:keepLines w:val="0"/>
        <w:pageBreakBefore w:val="0"/>
        <w:widowControl w:val="0"/>
        <w:kinsoku/>
        <w:wordWrap w:val="0"/>
        <w:overflowPunct/>
        <w:topLinePunct w:val="0"/>
        <w:bidi w:val="0"/>
        <w:spacing w:line="560" w:lineRule="exact"/>
        <w:ind w:firstLine="4160" w:firstLineChars="1300"/>
        <w:textAlignment w:val="auto"/>
        <w:rPr>
          <w:rFonts w:ascii="Times New Roman" w:hAnsi="Times New Roman" w:eastAsia="仿宋_GB2312"/>
          <w:sz w:val="32"/>
          <w:szCs w:val="40"/>
        </w:rPr>
      </w:pPr>
      <w:r>
        <w:rPr>
          <w:rFonts w:ascii="Times New Roman" w:hAnsi="Times New Roman" w:eastAsia="仿宋_GB2312"/>
          <w:sz w:val="32"/>
          <w:szCs w:val="40"/>
        </w:rPr>
        <w:t>达拉特旗人民政府办公室</w:t>
      </w:r>
    </w:p>
    <w:p w14:paraId="7AF01B46">
      <w:pPr>
        <w:keepNext w:val="0"/>
        <w:keepLines w:val="0"/>
        <w:pageBreakBefore w:val="0"/>
        <w:widowControl w:val="0"/>
        <w:kinsoku/>
        <w:wordWrap w:val="0"/>
        <w:overflowPunct/>
        <w:topLinePunct w:val="0"/>
        <w:bidi w:val="0"/>
        <w:spacing w:line="560" w:lineRule="exact"/>
        <w:ind w:firstLine="4800" w:firstLineChars="1500"/>
        <w:textAlignment w:val="auto"/>
        <w:rPr>
          <w:rFonts w:ascii="Times New Roman" w:hAnsi="Times New Roman" w:eastAsia="仿宋_GB2312"/>
          <w:sz w:val="32"/>
          <w:szCs w:val="40"/>
        </w:rPr>
      </w:pPr>
      <w:r>
        <w:rPr>
          <w:rFonts w:ascii="Times New Roman" w:hAnsi="Times New Roman" w:eastAsia="仿宋_GB2312"/>
          <w:sz w:val="32"/>
          <w:szCs w:val="40"/>
        </w:rPr>
        <w:t>2024年6月4日</w:t>
      </w:r>
    </w:p>
    <w:p w14:paraId="47664CBD">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40"/>
        </w:rPr>
      </w:pPr>
    </w:p>
    <w:p w14:paraId="349A58BD">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40"/>
        </w:rPr>
      </w:pPr>
    </w:p>
    <w:p w14:paraId="05B6C1C0">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40"/>
        </w:rPr>
      </w:pPr>
    </w:p>
    <w:p w14:paraId="7A338C42">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40"/>
        </w:rPr>
      </w:pPr>
    </w:p>
    <w:p w14:paraId="2BE7D51A">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40"/>
        </w:rPr>
      </w:pPr>
    </w:p>
    <w:p w14:paraId="4DA4D4DA">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40"/>
        </w:rPr>
      </w:pPr>
    </w:p>
    <w:p w14:paraId="1D0E01BB">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40"/>
        </w:rPr>
      </w:pPr>
    </w:p>
    <w:p w14:paraId="1071124F">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eastAsia="方正小标宋简体"/>
          <w:sz w:val="44"/>
          <w:szCs w:val="44"/>
        </w:rPr>
      </w:pPr>
      <w:r>
        <w:rPr>
          <w:rFonts w:ascii="Times New Roman" w:hAnsi="Times New Roman" w:eastAsia="方正小标宋_GBK"/>
          <w:bCs/>
          <w:sz w:val="44"/>
          <w:szCs w:val="44"/>
        </w:rPr>
        <w:t xml:space="preserve"> </w:t>
      </w:r>
      <w:r>
        <w:rPr>
          <w:rFonts w:ascii="Times New Roman" w:hAnsi="Times New Roman" w:eastAsia="方正小标宋简体"/>
          <w:sz w:val="44"/>
          <w:szCs w:val="44"/>
        </w:rPr>
        <w:t>2024年达拉特旗饮水型地方性砷中毒</w:t>
      </w:r>
    </w:p>
    <w:p w14:paraId="7671BC09">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eastAsia="方正小标宋_GBK"/>
          <w:bCs/>
          <w:sz w:val="44"/>
          <w:szCs w:val="44"/>
        </w:rPr>
      </w:pPr>
      <w:r>
        <w:rPr>
          <w:rFonts w:ascii="Times New Roman" w:hAnsi="Times New Roman" w:eastAsia="方正小标宋简体"/>
          <w:sz w:val="44"/>
          <w:szCs w:val="44"/>
        </w:rPr>
        <w:t>监测全覆盖实施方案</w:t>
      </w:r>
    </w:p>
    <w:p w14:paraId="20DA9596">
      <w:pPr>
        <w:keepNext w:val="0"/>
        <w:keepLines w:val="0"/>
        <w:pageBreakBefore w:val="0"/>
        <w:widowControl w:val="0"/>
        <w:kinsoku/>
        <w:wordWrap w:val="0"/>
        <w:overflowPunct/>
        <w:topLinePunct w:val="0"/>
        <w:bidi w:val="0"/>
        <w:spacing w:line="560" w:lineRule="exact"/>
        <w:textAlignment w:val="auto"/>
        <w:rPr>
          <w:rFonts w:ascii="Times New Roman" w:hAnsi="Times New Roman"/>
        </w:rPr>
      </w:pPr>
    </w:p>
    <w:p w14:paraId="17DF8FD8">
      <w:pPr>
        <w:keepNext w:val="0"/>
        <w:keepLines w:val="0"/>
        <w:pageBreakBefore w:val="0"/>
        <w:widowControl w:val="0"/>
        <w:kinsoku/>
        <w:wordWrap w:val="0"/>
        <w:overflowPunct/>
        <w:topLinePunct w:val="0"/>
        <w:bidi w:val="0"/>
        <w:spacing w:line="560" w:lineRule="exact"/>
        <w:textAlignment w:val="auto"/>
        <w:rPr>
          <w:rFonts w:ascii="Times New Roman" w:hAnsi="Times New Roman" w:eastAsia="仿宋_GB2312"/>
          <w:bCs/>
          <w:sz w:val="32"/>
          <w:szCs w:val="32"/>
        </w:rPr>
      </w:pPr>
      <w:r>
        <w:rPr>
          <w:rFonts w:ascii="Times New Roman" w:hAnsi="Times New Roman" w:eastAsia="仿宋_GB2312"/>
          <w:color w:val="000000"/>
          <w:kern w:val="0"/>
          <w:sz w:val="32"/>
          <w:szCs w:val="32"/>
          <w:lang w:bidi="ar"/>
        </w:rPr>
        <w:t xml:space="preserve">    </w:t>
      </w:r>
      <w:r>
        <w:rPr>
          <w:rFonts w:ascii="Times New Roman" w:hAnsi="Times New Roman" w:eastAsia="仿宋_GB2312"/>
          <w:bCs/>
          <w:sz w:val="32"/>
          <w:szCs w:val="32"/>
        </w:rPr>
        <w:t>为持续推进健康内蒙古行动，巩固地方病防治成果，掌握全旗饮水型地方性砷中毒消除情况，根据《2024年内蒙古自治区饮水型地方性砷中毒监测全覆盖实施方案》总体要求，特制定本方案。</w:t>
      </w:r>
    </w:p>
    <w:p w14:paraId="182362F8">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一、目的</w:t>
      </w:r>
      <w:bookmarkStart w:id="0" w:name="OLE_LINK9"/>
    </w:p>
    <w:p w14:paraId="43376A7C">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以自然村为单位，动态评价病区改水进度、改水工程运行使用情况及水砷情况，掌握病区砷中毒病情变化趋势和患者随访管理情况，为饮水型地方性砷中毒防治策略制定和消除评价工作提供参考依据。</w:t>
      </w:r>
    </w:p>
    <w:bookmarkEnd w:id="0"/>
    <w:p w14:paraId="13500EDD">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二、内容与方法</w:t>
      </w:r>
    </w:p>
    <w:p w14:paraId="77173F14">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（一）监测范围。</w:t>
      </w:r>
    </w:p>
    <w:p w14:paraId="2C027786">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我旗全部饮水型地方性砷中毒病区村和高砷村，以及新发现的高砷地区，以自然村为单位开展工作。</w:t>
      </w:r>
    </w:p>
    <w:p w14:paraId="6CA16335">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（二）监测内容及方法。</w:t>
      </w:r>
    </w:p>
    <w:p w14:paraId="5B92B226">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1．监测我旗及村的基本情况。调查自然村的基本情况。包括旗、苏木镇、村、监测村经纬度、户籍人口数、常住户数、常住人口数、历史（改水前）水砷含量等（填写附件1）。</w:t>
      </w:r>
    </w:p>
    <w:p w14:paraId="269FE05C">
      <w:pPr>
        <w:keepNext w:val="0"/>
        <w:keepLines w:val="0"/>
        <w:pageBreakBefore w:val="0"/>
        <w:widowControl w:val="0"/>
        <w:kinsoku/>
        <w:wordWrap w:val="0"/>
        <w:overflowPunct/>
        <w:topLinePunct w:val="0"/>
        <w:autoSpaceDE w:val="0"/>
        <w:autoSpaceDN w:val="0"/>
        <w:bidi w:val="0"/>
        <w:adjustRightInd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2．生活饮用水砷监测。如果自然村（屯）已经改水，则调查改水工程有关情况，并采集1份水源水水样测定水砷含量（每份水样进行2次平行测定，计算平均值）。一个村有多个工程的，分别采集各个工程的水源水进行测定，备注中说明（填写附件2）。实施小型理化改水的自然村，需进行问卷调查，了解除砷装置的使用及维护服务情况（填写</w:t>
      </w:r>
      <w:r>
        <w:rPr>
          <w:rFonts w:hint="eastAsia" w:ascii="Times New Roman" w:hAnsi="Times New Roman" w:eastAsia="仿宋_GB2312"/>
          <w:color w:val="000000"/>
          <w:sz w:val="32"/>
          <w:szCs w:val="32"/>
        </w:rPr>
        <w:t>附件</w:t>
      </w:r>
      <w:r>
        <w:rPr>
          <w:rFonts w:ascii="Times New Roman" w:hAnsi="Times New Roman" w:eastAsia="仿宋_GB2312"/>
          <w:color w:val="000000"/>
          <w:sz w:val="32"/>
          <w:szCs w:val="32"/>
        </w:rPr>
        <w:t>3</w:t>
      </w:r>
      <w:r>
        <w:rPr>
          <w:rFonts w:ascii="Times New Roman" w:hAnsi="Times New Roman" w:eastAsia="仿宋_GB2312"/>
          <w:bCs/>
          <w:sz w:val="32"/>
          <w:szCs w:val="32"/>
        </w:rPr>
        <w:t>）。每个病区村的每种不同品牌型号批次的净水器均需要在5户家庭开展调查，填写净水器使用情况现场调查表。同时每个品牌批次的除砷装置需要随机在5户居民家庭各采集1份末梢水，共5份水样进行水砷检测。如果自然村未改水或采取分散式改水方式，在每户高砷暴露家庭逐一采集 1 份饮用水样，测定水砷含量（填写</w:t>
      </w:r>
      <w:r>
        <w:rPr>
          <w:rFonts w:hint="eastAsia" w:ascii="Times New Roman" w:hAnsi="Times New Roman" w:eastAsia="仿宋_GB2312"/>
          <w:bCs/>
          <w:sz w:val="32"/>
          <w:szCs w:val="32"/>
        </w:rPr>
        <w:t>附件</w:t>
      </w:r>
      <w:r>
        <w:rPr>
          <w:rFonts w:ascii="Times New Roman" w:hAnsi="Times New Roman" w:eastAsia="仿宋_GB2312"/>
          <w:bCs/>
          <w:sz w:val="32"/>
          <w:szCs w:val="32"/>
        </w:rPr>
        <w:t>4）。</w:t>
      </w:r>
    </w:p>
    <w:p w14:paraId="1890E879">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3．砷中毒病情和远期危害监测。对全村正在和（或）以往暴露过高砷水的常住人口进行体检，检查率不低于95%，查找砷中毒新发病例，登记砷中毒病人的增加和减少情况。同时，调查高砷暴露人群的癌症发生情况（填写</w:t>
      </w:r>
      <w:r>
        <w:rPr>
          <w:rFonts w:hint="eastAsia" w:ascii="Times New Roman" w:hAnsi="Times New Roman" w:eastAsia="仿宋_GB2312"/>
          <w:bCs/>
          <w:sz w:val="32"/>
          <w:szCs w:val="32"/>
        </w:rPr>
        <w:t>附件</w:t>
      </w:r>
      <w:r>
        <w:rPr>
          <w:rFonts w:ascii="Times New Roman" w:hAnsi="Times New Roman" w:eastAsia="仿宋_GB2312"/>
          <w:bCs/>
          <w:sz w:val="32"/>
          <w:szCs w:val="32"/>
        </w:rPr>
        <w:t>5）。</w:t>
      </w:r>
    </w:p>
    <w:p w14:paraId="511760B0">
      <w:pPr>
        <w:keepNext w:val="0"/>
        <w:keepLines w:val="0"/>
        <w:pageBreakBefore w:val="0"/>
        <w:widowControl w:val="0"/>
        <w:kinsoku/>
        <w:wordWrap w:val="0"/>
        <w:overflowPunct/>
        <w:topLinePunct w:val="0"/>
        <w:bidi w:val="0"/>
        <w:spacing w:line="560" w:lineRule="exact"/>
        <w:ind w:firstLine="598" w:firstLineChars="187"/>
        <w:textAlignment w:val="auto"/>
        <w:rPr>
          <w:rFonts w:ascii="Times New Roman" w:hAnsi="Times New Roman" w:eastAsia="仿宋_GB2312"/>
          <w:bCs/>
          <w:sz w:val="32"/>
          <w:szCs w:val="32"/>
        </w:rPr>
      </w:pPr>
      <w:r>
        <w:rPr>
          <w:rFonts w:ascii="Times New Roman" w:hAnsi="Times New Roman" w:eastAsia="仿宋_GB2312"/>
          <w:bCs/>
          <w:sz w:val="32"/>
          <w:szCs w:val="32"/>
        </w:rPr>
        <w:t>4.砷中毒患者随访管理。对全村确诊的砷中毒患者按照《地方病患者管理服务规范》开展健康随访管理工作，记录患者的体检和随访等情况（填写</w:t>
      </w:r>
      <w:r>
        <w:rPr>
          <w:rFonts w:hint="eastAsia" w:ascii="Times New Roman" w:hAnsi="Times New Roman" w:eastAsia="仿宋_GB2312"/>
          <w:bCs/>
          <w:sz w:val="32"/>
          <w:szCs w:val="32"/>
        </w:rPr>
        <w:t>附件</w:t>
      </w:r>
      <w:r>
        <w:rPr>
          <w:rFonts w:ascii="Times New Roman" w:hAnsi="Times New Roman" w:eastAsia="仿宋_GB2312"/>
          <w:bCs/>
          <w:sz w:val="32"/>
          <w:szCs w:val="32"/>
        </w:rPr>
        <w:t>6）。</w:t>
      </w:r>
    </w:p>
    <w:p w14:paraId="024D6737">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5.尿砷重点监测及问卷调查。选取5个行政村，每个行政村选取1个自然村开展尿砷监测（详见尿砷监测附表），每村至少选择30人采集即时尿样，测定尿砷。（采样原则:病区村所有病人全部采集尿样，病人不足30人的用可疑正常人补齐。并对尿砷采集对象进行问卷调查）。</w:t>
      </w:r>
    </w:p>
    <w:p w14:paraId="04615199">
      <w:pPr>
        <w:keepNext w:val="0"/>
        <w:keepLines w:val="0"/>
        <w:pageBreakBefore w:val="0"/>
        <w:widowControl w:val="0"/>
        <w:kinsoku/>
        <w:wordWrap w:val="0"/>
        <w:overflowPunct/>
        <w:topLinePunct w:val="0"/>
        <w:bidi w:val="0"/>
        <w:spacing w:line="560" w:lineRule="exact"/>
        <w:ind w:firstLine="598" w:firstLineChars="187"/>
        <w:jc w:val="center"/>
        <w:textAlignment w:val="auto"/>
        <w:rPr>
          <w:rFonts w:ascii="Times New Roman" w:hAnsi="Times New Roman" w:eastAsia="仿宋_GB2312"/>
          <w:bCs/>
          <w:sz w:val="32"/>
          <w:szCs w:val="32"/>
        </w:rPr>
      </w:pPr>
    </w:p>
    <w:p w14:paraId="0870DEA8">
      <w:pPr>
        <w:keepNext w:val="0"/>
        <w:keepLines w:val="0"/>
        <w:pageBreakBefore w:val="0"/>
        <w:widowControl w:val="0"/>
        <w:kinsoku/>
        <w:wordWrap w:val="0"/>
        <w:overflowPunct/>
        <w:topLinePunct w:val="0"/>
        <w:bidi w:val="0"/>
        <w:spacing w:line="560" w:lineRule="exact"/>
        <w:ind w:firstLine="598" w:firstLineChars="187"/>
        <w:jc w:val="center"/>
        <w:textAlignment w:val="auto"/>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尿砷监测附表</w:t>
      </w:r>
    </w:p>
    <w:tbl>
      <w:tblPr>
        <w:tblStyle w:val="5"/>
        <w:tblW w:w="10778"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0"/>
        <w:gridCol w:w="1359"/>
        <w:gridCol w:w="2055"/>
        <w:gridCol w:w="2692"/>
        <w:gridCol w:w="2692"/>
      </w:tblGrid>
      <w:tr w14:paraId="57AA328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980" w:type="dxa"/>
            <w:tcBorders>
              <w:top w:val="single" w:color="auto" w:sz="4" w:space="0"/>
              <w:bottom w:val="single" w:color="auto" w:sz="4" w:space="0"/>
            </w:tcBorders>
            <w:noWrap/>
            <w:vAlign w:val="center"/>
          </w:tcPr>
          <w:p w14:paraId="6F7EF3BE">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盟市</w:t>
            </w:r>
          </w:p>
        </w:tc>
        <w:tc>
          <w:tcPr>
            <w:tcW w:w="1359" w:type="dxa"/>
            <w:tcBorders>
              <w:top w:val="single" w:color="auto" w:sz="4" w:space="0"/>
              <w:bottom w:val="single" w:color="auto" w:sz="4" w:space="0"/>
            </w:tcBorders>
            <w:noWrap/>
            <w:vAlign w:val="center"/>
          </w:tcPr>
          <w:p w14:paraId="66D1FEC3">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旗县</w:t>
            </w:r>
          </w:p>
        </w:tc>
        <w:tc>
          <w:tcPr>
            <w:tcW w:w="2055" w:type="dxa"/>
            <w:tcBorders>
              <w:top w:val="single" w:color="auto" w:sz="4" w:space="0"/>
              <w:bottom w:val="single" w:color="auto" w:sz="4" w:space="0"/>
            </w:tcBorders>
            <w:noWrap/>
            <w:vAlign w:val="center"/>
          </w:tcPr>
          <w:p w14:paraId="5738FA7D">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乡镇（苏木）</w:t>
            </w:r>
          </w:p>
        </w:tc>
        <w:tc>
          <w:tcPr>
            <w:tcW w:w="2692" w:type="dxa"/>
            <w:tcBorders>
              <w:top w:val="single" w:color="auto" w:sz="4" w:space="0"/>
              <w:bottom w:val="single" w:color="auto" w:sz="4" w:space="0"/>
            </w:tcBorders>
            <w:noWrap/>
            <w:vAlign w:val="center"/>
          </w:tcPr>
          <w:p w14:paraId="1B5DE701">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行政村（嘎查）</w:t>
            </w:r>
          </w:p>
        </w:tc>
        <w:tc>
          <w:tcPr>
            <w:tcW w:w="2692" w:type="dxa"/>
            <w:tcBorders>
              <w:top w:val="single" w:color="auto" w:sz="4" w:space="0"/>
              <w:bottom w:val="single" w:color="auto" w:sz="4" w:space="0"/>
            </w:tcBorders>
            <w:noWrap/>
            <w:vAlign w:val="center"/>
          </w:tcPr>
          <w:p w14:paraId="0B5755A3">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自然村</w:t>
            </w:r>
          </w:p>
        </w:tc>
      </w:tr>
      <w:tr w14:paraId="5DAD7A8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980" w:type="dxa"/>
            <w:tcBorders>
              <w:top w:val="single" w:color="auto" w:sz="4" w:space="0"/>
            </w:tcBorders>
            <w:noWrap/>
            <w:vAlign w:val="center"/>
          </w:tcPr>
          <w:p w14:paraId="3693E701">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鄂尔多斯</w:t>
            </w:r>
          </w:p>
        </w:tc>
        <w:tc>
          <w:tcPr>
            <w:tcW w:w="1359" w:type="dxa"/>
            <w:tcBorders>
              <w:top w:val="single" w:color="auto" w:sz="4" w:space="0"/>
            </w:tcBorders>
            <w:noWrap/>
            <w:vAlign w:val="center"/>
          </w:tcPr>
          <w:p w14:paraId="00D8A5BB">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达拉特旗</w:t>
            </w:r>
          </w:p>
        </w:tc>
        <w:tc>
          <w:tcPr>
            <w:tcW w:w="2055" w:type="dxa"/>
            <w:tcBorders>
              <w:top w:val="single" w:color="auto" w:sz="4" w:space="0"/>
            </w:tcBorders>
            <w:noWrap/>
            <w:vAlign w:val="center"/>
          </w:tcPr>
          <w:p w14:paraId="4DB2AAAC">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吉格斯太镇</w:t>
            </w:r>
          </w:p>
        </w:tc>
        <w:tc>
          <w:tcPr>
            <w:tcW w:w="2692" w:type="dxa"/>
            <w:tcBorders>
              <w:top w:val="single" w:color="auto" w:sz="4" w:space="0"/>
            </w:tcBorders>
            <w:noWrap/>
            <w:vAlign w:val="center"/>
          </w:tcPr>
          <w:p w14:paraId="4C7E4495">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沟心召</w:t>
            </w:r>
          </w:p>
        </w:tc>
        <w:tc>
          <w:tcPr>
            <w:tcW w:w="2692" w:type="dxa"/>
            <w:tcBorders>
              <w:top w:val="single" w:color="auto" w:sz="4" w:space="0"/>
            </w:tcBorders>
            <w:noWrap/>
            <w:vAlign w:val="center"/>
          </w:tcPr>
          <w:p w14:paraId="11AFB060">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野鸡林</w:t>
            </w:r>
          </w:p>
        </w:tc>
      </w:tr>
      <w:tr w14:paraId="4D1608A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980" w:type="dxa"/>
            <w:noWrap/>
            <w:vAlign w:val="center"/>
          </w:tcPr>
          <w:p w14:paraId="2D629560">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p>
        </w:tc>
        <w:tc>
          <w:tcPr>
            <w:tcW w:w="1359" w:type="dxa"/>
            <w:noWrap/>
            <w:vAlign w:val="center"/>
          </w:tcPr>
          <w:p w14:paraId="6551E58E">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p>
        </w:tc>
        <w:tc>
          <w:tcPr>
            <w:tcW w:w="2055" w:type="dxa"/>
            <w:noWrap/>
            <w:vAlign w:val="center"/>
          </w:tcPr>
          <w:p w14:paraId="6636764F">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吉格斯太镇</w:t>
            </w:r>
          </w:p>
        </w:tc>
        <w:tc>
          <w:tcPr>
            <w:tcW w:w="2692" w:type="dxa"/>
            <w:noWrap/>
            <w:vAlign w:val="center"/>
          </w:tcPr>
          <w:p w14:paraId="756DB1F9">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梁家圪堵村</w:t>
            </w:r>
          </w:p>
        </w:tc>
        <w:tc>
          <w:tcPr>
            <w:tcW w:w="2692" w:type="dxa"/>
            <w:noWrap/>
            <w:vAlign w:val="center"/>
          </w:tcPr>
          <w:p w14:paraId="7F5D92E1">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河头二社（梁西、梁东社）</w:t>
            </w:r>
          </w:p>
        </w:tc>
      </w:tr>
      <w:tr w14:paraId="60853F6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980" w:type="dxa"/>
            <w:noWrap/>
            <w:vAlign w:val="center"/>
          </w:tcPr>
          <w:p w14:paraId="407AB733">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p>
        </w:tc>
        <w:tc>
          <w:tcPr>
            <w:tcW w:w="1359" w:type="dxa"/>
            <w:noWrap/>
            <w:vAlign w:val="center"/>
          </w:tcPr>
          <w:p w14:paraId="37CC3734">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p>
        </w:tc>
        <w:tc>
          <w:tcPr>
            <w:tcW w:w="2055" w:type="dxa"/>
            <w:noWrap/>
            <w:vAlign w:val="center"/>
          </w:tcPr>
          <w:p w14:paraId="4FE92DEA">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展旦召苏木</w:t>
            </w:r>
          </w:p>
        </w:tc>
        <w:tc>
          <w:tcPr>
            <w:tcW w:w="2692" w:type="dxa"/>
            <w:noWrap/>
            <w:vAlign w:val="center"/>
          </w:tcPr>
          <w:p w14:paraId="16BB7F33">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长胜村</w:t>
            </w:r>
          </w:p>
        </w:tc>
        <w:tc>
          <w:tcPr>
            <w:tcW w:w="2692" w:type="dxa"/>
            <w:noWrap/>
            <w:vAlign w:val="center"/>
          </w:tcPr>
          <w:p w14:paraId="398C4DC7">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一社</w:t>
            </w:r>
          </w:p>
        </w:tc>
      </w:tr>
      <w:tr w14:paraId="549A62A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980" w:type="dxa"/>
            <w:noWrap/>
            <w:vAlign w:val="center"/>
          </w:tcPr>
          <w:p w14:paraId="14AC1F86">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p>
        </w:tc>
        <w:tc>
          <w:tcPr>
            <w:tcW w:w="1359" w:type="dxa"/>
            <w:noWrap/>
            <w:vAlign w:val="center"/>
          </w:tcPr>
          <w:p w14:paraId="3C267765">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p>
        </w:tc>
        <w:tc>
          <w:tcPr>
            <w:tcW w:w="2055" w:type="dxa"/>
            <w:noWrap/>
            <w:vAlign w:val="center"/>
          </w:tcPr>
          <w:p w14:paraId="2DCED3FC">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王爱召镇</w:t>
            </w:r>
          </w:p>
        </w:tc>
        <w:tc>
          <w:tcPr>
            <w:tcW w:w="2692" w:type="dxa"/>
            <w:noWrap/>
            <w:vAlign w:val="center"/>
          </w:tcPr>
          <w:p w14:paraId="7073FE60">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小淖村</w:t>
            </w:r>
          </w:p>
        </w:tc>
        <w:tc>
          <w:tcPr>
            <w:tcW w:w="2692" w:type="dxa"/>
            <w:noWrap/>
            <w:vAlign w:val="center"/>
          </w:tcPr>
          <w:p w14:paraId="502B4F23">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四社</w:t>
            </w:r>
          </w:p>
        </w:tc>
      </w:tr>
      <w:tr w14:paraId="4C7DF14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980" w:type="dxa"/>
            <w:noWrap/>
            <w:vAlign w:val="center"/>
          </w:tcPr>
          <w:p w14:paraId="1FB52853">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p>
        </w:tc>
        <w:tc>
          <w:tcPr>
            <w:tcW w:w="1359" w:type="dxa"/>
            <w:noWrap/>
            <w:vAlign w:val="center"/>
          </w:tcPr>
          <w:p w14:paraId="548A873B">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p>
        </w:tc>
        <w:tc>
          <w:tcPr>
            <w:tcW w:w="2055" w:type="dxa"/>
            <w:noWrap/>
            <w:vAlign w:val="center"/>
          </w:tcPr>
          <w:p w14:paraId="77E64C44">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王爱召镇</w:t>
            </w:r>
          </w:p>
        </w:tc>
        <w:tc>
          <w:tcPr>
            <w:tcW w:w="2692" w:type="dxa"/>
            <w:noWrap/>
            <w:vAlign w:val="center"/>
          </w:tcPr>
          <w:p w14:paraId="7929F6FD">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大淖村</w:t>
            </w:r>
          </w:p>
        </w:tc>
        <w:tc>
          <w:tcPr>
            <w:tcW w:w="2692" w:type="dxa"/>
            <w:noWrap/>
            <w:vAlign w:val="center"/>
          </w:tcPr>
          <w:p w14:paraId="1EACAA4C">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三社</w:t>
            </w:r>
          </w:p>
        </w:tc>
      </w:tr>
    </w:tbl>
    <w:p w14:paraId="46056512">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p>
    <w:p w14:paraId="48C71C54">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6.死亡人口监测。收集各病区村和高砷村的居民全人口死亡情况，对2024年度的死者情况进行调查，包括性别、年龄、死亡原因、是否有砷暴露等（填写</w:t>
      </w:r>
      <w:r>
        <w:rPr>
          <w:rFonts w:hint="eastAsia" w:ascii="Times New Roman" w:hAnsi="Times New Roman" w:eastAsia="仿宋_GB2312"/>
          <w:bCs/>
          <w:sz w:val="32"/>
          <w:szCs w:val="32"/>
        </w:rPr>
        <w:t>附件</w:t>
      </w:r>
      <w:r>
        <w:rPr>
          <w:rFonts w:ascii="Times New Roman" w:hAnsi="Times New Roman" w:eastAsia="仿宋_GB2312"/>
          <w:bCs/>
          <w:sz w:val="32"/>
          <w:szCs w:val="32"/>
        </w:rPr>
        <w:t>7、8）。</w:t>
      </w:r>
    </w:p>
    <w:p w14:paraId="4C8A747D">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（三）病例诊断及样品检测方法。</w:t>
      </w:r>
    </w:p>
    <w:p w14:paraId="0F1088D8">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1．砷中毒诊断。按照地方性砷中毒诊断标准（WS/T 211-2015）进行检查和判定。</w:t>
      </w:r>
    </w:p>
    <w:p w14:paraId="3CDA41FE">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2．水砷检测。采用生活饮用水标准检验方法无机非金属指标（GB/T 5750.5-2023）测定，并按照生活饮用水卫生标准(GB 5749-2022)进行水砷超标与否的评价。</w:t>
      </w:r>
    </w:p>
    <w:p w14:paraId="42992024">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3．尿砷检测。按照尿中砷的测定-氢化物发生原子荧光法（WS/T 474-2015）进行检测。</w:t>
      </w:r>
    </w:p>
    <w:p w14:paraId="5A0BD96D">
      <w:pPr>
        <w:keepNext w:val="0"/>
        <w:keepLines w:val="0"/>
        <w:pageBreakBefore w:val="0"/>
        <w:widowControl w:val="0"/>
        <w:kinsoku/>
        <w:wordWrap w:val="0"/>
        <w:overflowPunct/>
        <w:topLinePunct w:val="0"/>
        <w:bidi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三、质量控制</w:t>
      </w:r>
    </w:p>
    <w:p w14:paraId="24986AD1">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（一）人员培训。</w:t>
      </w:r>
    </w:p>
    <w:p w14:paraId="7A724450">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1．对各级监测人员进行监测方案相关内容的逐级培训，确保监测方法统一、技术规范和协调有序。</w:t>
      </w:r>
    </w:p>
    <w:p w14:paraId="611837A7">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2．从事生活饮用水采集、砷中毒诊断、水砷和尿砷检测、数据录入的相关业务人员需经统一培训后方可上岗。</w:t>
      </w:r>
    </w:p>
    <w:p w14:paraId="59B6575A">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（二）实验室检测。</w:t>
      </w:r>
    </w:p>
    <w:p w14:paraId="094CA1A8">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1．外部质量控制。中国疾病预防控制中心每年制作水砷检测质控样品，向承担监测任务的各级疾病预防控制中心发放，并组织考核。考核工作于本年6月份前完成。经外部质量控制考核合格的实验室，方可开展实验室检测工作。</w:t>
      </w:r>
    </w:p>
    <w:p w14:paraId="560D364D">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2．内部质量控制。承担水砷检测和质量管理的旗县级疾控中心实验室，须按照《生活饮用水标准检验方法水样采集与保存》（GB/T 5750.2-2023）、《生活饮用水标准检验方法水质分析质量控制》（GB/T 5750.3-2023）进行样品采集、保管和检测工作质量控制。</w:t>
      </w:r>
    </w:p>
    <w:p w14:paraId="3A5E0E40">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hint="eastAsia" w:ascii="Times New Roman" w:hAnsi="Times New Roman" w:eastAsia="仿宋_GB2312"/>
          <w:bCs/>
          <w:sz w:val="32"/>
          <w:szCs w:val="32"/>
        </w:rPr>
        <w:t>3</w:t>
      </w:r>
      <w:r>
        <w:rPr>
          <w:rFonts w:ascii="Times New Roman" w:hAnsi="Times New Roman" w:eastAsia="仿宋_GB2312"/>
          <w:bCs/>
          <w:sz w:val="32"/>
          <w:szCs w:val="32"/>
        </w:rPr>
        <w:t>．我旗采集的10%的样品送上级疾控中心进行复核检测。</w:t>
      </w:r>
    </w:p>
    <w:p w14:paraId="5DC04DC7">
      <w:pPr>
        <w:keepNext w:val="0"/>
        <w:keepLines w:val="0"/>
        <w:pageBreakBefore w:val="0"/>
        <w:widowControl w:val="0"/>
        <w:kinsoku/>
        <w:wordWrap w:val="0"/>
        <w:overflowPunct/>
        <w:topLinePunct w:val="0"/>
        <w:bidi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四、职责与分工</w:t>
      </w:r>
    </w:p>
    <w:p w14:paraId="4DD3F622">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各部门参照《地方病预防控制工作规范（试行）》，做好监测工作的组织和协调，保障饮水型地方性砷中毒监测工作有序开展。</w:t>
      </w:r>
    </w:p>
    <w:p w14:paraId="44759266">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（一）卫生健康委员会</w:t>
      </w:r>
    </w:p>
    <w:p w14:paraId="54109FB9">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旗卫健委负责组织实施监测工作；向旗人民政府和相关部门通报监测信息。</w:t>
      </w:r>
    </w:p>
    <w:p w14:paraId="6DD375EC">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（二）疾病预防控制中心</w:t>
      </w:r>
    </w:p>
    <w:p w14:paraId="4CF561D1">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hint="eastAsia" w:ascii="Times New Roman" w:hAnsi="Times New Roman" w:eastAsia="仿宋_GB2312"/>
          <w:bCs/>
          <w:sz w:val="32"/>
          <w:szCs w:val="32"/>
        </w:rPr>
        <w:t>1</w:t>
      </w:r>
      <w:r>
        <w:rPr>
          <w:rFonts w:ascii="Times New Roman" w:hAnsi="Times New Roman" w:eastAsia="仿宋_GB2312"/>
          <w:bCs/>
          <w:sz w:val="32"/>
          <w:szCs w:val="32"/>
        </w:rPr>
        <w:t>．负责实施并完成方案要求的各项调查及监测工作，指导培训各苏木镇相关业务人员开展水砷和尿砷样品采集；</w:t>
      </w:r>
    </w:p>
    <w:p w14:paraId="59303BAB">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2．负责我旗调查监测数据的收集、录入、分析、报送；</w:t>
      </w:r>
    </w:p>
    <w:p w14:paraId="3C95D314">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3．负责我旗饮水型地方性砷中毒健康教育宣讲工作。</w:t>
      </w:r>
    </w:p>
    <w:p w14:paraId="48F83BE9">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（三）各苏木镇人民政府。</w:t>
      </w:r>
    </w:p>
    <w:p w14:paraId="4528E540">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负责各辖区水砷和尿砷样品采集工作。</w:t>
      </w:r>
    </w:p>
    <w:p w14:paraId="4C3D5E30">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（四）各级医疗卫生机构</w:t>
      </w:r>
    </w:p>
    <w:p w14:paraId="66BFE9A9">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旗人民医院负责砷中毒患者的随访管理及治疗；各基层医疗卫生机构负责服务半径内监测村（社）的沟通协调，组织监测对象接受检查；收集、管理、上报砷中毒患者信息；协助采集监测样品和录入监测数据。</w:t>
      </w:r>
    </w:p>
    <w:p w14:paraId="0201820F">
      <w:pPr>
        <w:keepNext w:val="0"/>
        <w:keepLines w:val="0"/>
        <w:pageBreakBefore w:val="0"/>
        <w:widowControl w:val="0"/>
        <w:kinsoku/>
        <w:wordWrap w:val="0"/>
        <w:overflowPunct/>
        <w:topLinePunct w:val="0"/>
        <w:bidi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五、报告与反馈</w:t>
      </w:r>
    </w:p>
    <w:p w14:paraId="489DC1CC">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6月25日前完成现场样本采集工作，9月30日前完成本年度监测数据的收集、汇总和分析工作，并将监测报告报送同级卫生行政部门和上级业务部门，旗卫生行政部门及时向旗相关部门通报监测信息，并报送旗人民政府。</w:t>
      </w:r>
    </w:p>
    <w:p w14:paraId="710188D4">
      <w:pPr>
        <w:keepNext w:val="0"/>
        <w:keepLines w:val="0"/>
        <w:pageBreakBefore w:val="0"/>
        <w:widowControl w:val="0"/>
        <w:kinsoku/>
        <w:wordWrap w:val="0"/>
        <w:overflowPunct/>
        <w:topLinePunct w:val="0"/>
        <w:bidi w:val="0"/>
        <w:spacing w:line="560" w:lineRule="exact"/>
        <w:ind w:firstLine="640" w:firstLineChars="200"/>
        <w:textAlignment w:val="auto"/>
        <w:rPr>
          <w:rFonts w:ascii="黑体" w:hAnsi="黑体" w:eastAsia="黑体" w:cs="黑体"/>
          <w:bCs/>
          <w:sz w:val="32"/>
          <w:szCs w:val="32"/>
        </w:rPr>
      </w:pPr>
      <w:r>
        <w:rPr>
          <w:rFonts w:ascii="黑体" w:hAnsi="黑体" w:eastAsia="黑体" w:cs="黑体"/>
          <w:bCs/>
          <w:sz w:val="32"/>
          <w:szCs w:val="32"/>
        </w:rPr>
        <w:t>六、信息利用</w:t>
      </w:r>
    </w:p>
    <w:p w14:paraId="5012B51E">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在旗政府的领导下，旗卫生行政部门要与有关部门通力协作，齐抓共管，努力做到监测有序、信息顺畅、响应及时、措施有力，确保以改水降砷为主的综合防治措施持续有效地落实。</w:t>
      </w:r>
    </w:p>
    <w:p w14:paraId="03F0C796">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旗卫生行政部门要及时将监测信息通报有关部门，提高信息利用的时效性和有效性。</w:t>
      </w:r>
    </w:p>
    <w:p w14:paraId="0E9D8B0E">
      <w:pPr>
        <w:keepNext w:val="0"/>
        <w:keepLines w:val="0"/>
        <w:pageBreakBefore w:val="0"/>
        <w:widowControl w:val="0"/>
        <w:kinsoku/>
        <w:wordWrap w:val="0"/>
        <w:overflowPunct/>
        <w:topLinePunct w:val="0"/>
        <w:bidi w:val="0"/>
        <w:spacing w:line="560" w:lineRule="exact"/>
        <w:textAlignment w:val="auto"/>
        <w:rPr>
          <w:rFonts w:ascii="Times New Roman" w:hAnsi="Times New Roman" w:eastAsia="仿宋_GB2312"/>
          <w:bCs/>
          <w:sz w:val="32"/>
          <w:szCs w:val="32"/>
        </w:rPr>
      </w:pPr>
    </w:p>
    <w:p w14:paraId="29074C6D">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附件：1.病区村基本情况调查表</w:t>
      </w:r>
    </w:p>
    <w:p w14:paraId="444960CF">
      <w:pPr>
        <w:keepNext w:val="0"/>
        <w:keepLines w:val="0"/>
        <w:pageBreakBefore w:val="0"/>
        <w:widowControl w:val="0"/>
        <w:kinsoku/>
        <w:wordWrap w:val="0"/>
        <w:overflowPunct/>
        <w:topLinePunct w:val="0"/>
        <w:bidi w:val="0"/>
        <w:spacing w:line="560" w:lineRule="exact"/>
        <w:ind w:firstLine="1600" w:firstLineChars="500"/>
        <w:textAlignment w:val="auto"/>
        <w:rPr>
          <w:rFonts w:ascii="Times New Roman" w:hAnsi="Times New Roman" w:eastAsia="仿宋_GB2312"/>
          <w:bCs/>
          <w:sz w:val="32"/>
          <w:szCs w:val="32"/>
        </w:rPr>
      </w:pPr>
      <w:r>
        <w:rPr>
          <w:rFonts w:ascii="Times New Roman" w:hAnsi="Times New Roman" w:eastAsia="仿宋_GB2312"/>
          <w:bCs/>
          <w:sz w:val="32"/>
          <w:szCs w:val="32"/>
        </w:rPr>
        <w:t>2.工程改水地区现场调查表</w:t>
      </w:r>
    </w:p>
    <w:p w14:paraId="11F5B37C">
      <w:pPr>
        <w:keepNext w:val="0"/>
        <w:keepLines w:val="0"/>
        <w:pageBreakBefore w:val="0"/>
        <w:widowControl w:val="0"/>
        <w:kinsoku/>
        <w:wordWrap w:val="0"/>
        <w:overflowPunct/>
        <w:topLinePunct w:val="0"/>
        <w:bidi w:val="0"/>
        <w:spacing w:line="560" w:lineRule="exact"/>
        <w:ind w:firstLine="1600" w:firstLineChars="500"/>
        <w:textAlignment w:val="auto"/>
        <w:rPr>
          <w:rFonts w:ascii="Times New Roman" w:hAnsi="Times New Roman" w:eastAsia="仿宋_GB2312"/>
          <w:bCs/>
          <w:sz w:val="32"/>
          <w:szCs w:val="32"/>
        </w:rPr>
      </w:pPr>
      <w:r>
        <w:rPr>
          <w:rFonts w:ascii="Times New Roman" w:hAnsi="Times New Roman" w:eastAsia="仿宋_GB2312"/>
          <w:bCs/>
          <w:sz w:val="32"/>
          <w:szCs w:val="32"/>
        </w:rPr>
        <w:t>3.理化改水地区现场调查表</w:t>
      </w:r>
    </w:p>
    <w:p w14:paraId="617C76B6">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 xml:space="preserve">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  4.未改水及分散改水地区现场调表</w:t>
      </w:r>
    </w:p>
    <w:p w14:paraId="395DFC11">
      <w:pPr>
        <w:keepNext w:val="0"/>
        <w:keepLines w:val="0"/>
        <w:pageBreakBefore w:val="0"/>
        <w:widowControl w:val="0"/>
        <w:kinsoku/>
        <w:wordWrap w:val="0"/>
        <w:overflowPunct/>
        <w:topLinePunct w:val="0"/>
        <w:bidi w:val="0"/>
        <w:spacing w:line="560" w:lineRule="exact"/>
        <w:ind w:firstLine="1600" w:firstLineChars="500"/>
        <w:textAlignment w:val="auto"/>
        <w:rPr>
          <w:rFonts w:ascii="Times New Roman" w:hAnsi="Times New Roman" w:eastAsia="仿宋_GB2312"/>
          <w:bCs/>
          <w:sz w:val="32"/>
          <w:szCs w:val="32"/>
        </w:rPr>
      </w:pPr>
      <w:r>
        <w:rPr>
          <w:rFonts w:ascii="Times New Roman" w:hAnsi="Times New Roman" w:eastAsia="仿宋_GB2312"/>
          <w:bCs/>
          <w:sz w:val="32"/>
          <w:szCs w:val="32"/>
        </w:rPr>
        <w:t>5.砷中毒病情、砷暴露远期危害和尿砷检测调查表</w:t>
      </w:r>
    </w:p>
    <w:p w14:paraId="12217225">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 xml:space="preserve">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 6.地方性砷中毒患者信息登记表</w:t>
      </w:r>
    </w:p>
    <w:p w14:paraId="0BC180E4">
      <w:pPr>
        <w:keepNext w:val="0"/>
        <w:keepLines w:val="0"/>
        <w:pageBreakBefore w:val="0"/>
        <w:widowControl w:val="0"/>
        <w:kinsoku/>
        <w:wordWrap w:val="0"/>
        <w:overflowPunct/>
        <w:topLinePunct w:val="0"/>
        <w:bidi w:val="0"/>
        <w:spacing w:line="560" w:lineRule="exact"/>
        <w:ind w:firstLine="1600" w:firstLineChars="500"/>
        <w:textAlignment w:val="auto"/>
        <w:rPr>
          <w:rFonts w:ascii="Times New Roman" w:hAnsi="Times New Roman" w:eastAsia="仿宋_GB2312"/>
          <w:bCs/>
          <w:sz w:val="32"/>
          <w:szCs w:val="32"/>
        </w:rPr>
      </w:pPr>
      <w:r>
        <w:rPr>
          <w:rFonts w:ascii="Times New Roman" w:hAnsi="Times New Roman" w:eastAsia="仿宋_GB2312"/>
          <w:bCs/>
          <w:sz w:val="32"/>
          <w:szCs w:val="32"/>
        </w:rPr>
        <w:t>7.病区及高砷区全人口死因调查（2024年）</w:t>
      </w:r>
    </w:p>
    <w:p w14:paraId="6F7B6DAB">
      <w:pPr>
        <w:keepNext w:val="0"/>
        <w:keepLines w:val="0"/>
        <w:pageBreakBefore w:val="0"/>
        <w:widowControl w:val="0"/>
        <w:kinsoku/>
        <w:wordWrap w:val="0"/>
        <w:overflowPunct/>
        <w:topLinePunct w:val="0"/>
        <w:bidi w:val="0"/>
        <w:spacing w:line="560" w:lineRule="exact"/>
        <w:ind w:firstLine="1600" w:firstLineChars="500"/>
        <w:textAlignment w:val="auto"/>
        <w:rPr>
          <w:rFonts w:ascii="Times New Roman" w:hAnsi="Times New Roman" w:eastAsia="仿宋_GB2312"/>
          <w:bCs/>
          <w:sz w:val="32"/>
          <w:szCs w:val="32"/>
        </w:rPr>
      </w:pPr>
      <w:r>
        <w:rPr>
          <w:rFonts w:ascii="Times New Roman" w:hAnsi="Times New Roman" w:eastAsia="仿宋_GB2312"/>
          <w:bCs/>
          <w:sz w:val="32"/>
          <w:szCs w:val="32"/>
        </w:rPr>
        <w:t>8.死亡人口明细表（2024年）</w:t>
      </w:r>
    </w:p>
    <w:p w14:paraId="3AC53DF1">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p>
    <w:p w14:paraId="708C3A39">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p>
    <w:p w14:paraId="08C612A0">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p>
    <w:p w14:paraId="1CBA83F1">
      <w:pPr>
        <w:keepNext w:val="0"/>
        <w:keepLines w:val="0"/>
        <w:pageBreakBefore w:val="0"/>
        <w:widowControl w:val="0"/>
        <w:kinsoku/>
        <w:wordWrap w:val="0"/>
        <w:overflowPunct/>
        <w:topLinePunct w:val="0"/>
        <w:bidi w:val="0"/>
        <w:spacing w:line="560" w:lineRule="exact"/>
        <w:ind w:firstLine="640"/>
        <w:textAlignment w:val="auto"/>
        <w:rPr>
          <w:rFonts w:ascii="Times New Roman" w:hAnsi="Times New Roman" w:eastAsia="仿宋_GB2312"/>
          <w:sz w:val="32"/>
          <w:szCs w:val="32"/>
        </w:rPr>
        <w:sectPr>
          <w:footerReference r:id="rId3" w:type="default"/>
          <w:pgSz w:w="11906" w:h="16838"/>
          <w:pgMar w:top="2098" w:right="1474" w:bottom="1984" w:left="1588" w:header="851" w:footer="992" w:gutter="0"/>
          <w:cols w:space="720" w:num="1"/>
          <w:docGrid w:type="linesAndChars" w:linePitch="312" w:charSpace="0"/>
        </w:sectPr>
      </w:pPr>
    </w:p>
    <w:p w14:paraId="0F619E78">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2024年达拉特旗饮水型地方性氟中毒</w:t>
      </w:r>
    </w:p>
    <w:p w14:paraId="4297CC4D">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监测全覆盖实施方案</w:t>
      </w:r>
    </w:p>
    <w:p w14:paraId="2D9FE5F3">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eastAsia="方正小标宋简体"/>
          <w:sz w:val="44"/>
          <w:szCs w:val="44"/>
        </w:rPr>
      </w:pPr>
    </w:p>
    <w:p w14:paraId="021A2EF5">
      <w:pPr>
        <w:keepNext w:val="0"/>
        <w:keepLines w:val="0"/>
        <w:pageBreakBefore w:val="0"/>
        <w:widowControl w:val="0"/>
        <w:kinsoku/>
        <w:wordWrap w:val="0"/>
        <w:overflowPunct/>
        <w:topLinePunct w:val="0"/>
        <w:bidi w:val="0"/>
        <w:spacing w:line="560" w:lineRule="exact"/>
        <w:ind w:firstLine="640" w:firstLineChars="200"/>
        <w:jc w:val="left"/>
        <w:textAlignment w:val="auto"/>
        <w:rPr>
          <w:rFonts w:ascii="Times New Roman" w:hAnsi="Times New Roman" w:eastAsia="仿宋"/>
          <w:bCs/>
          <w:sz w:val="32"/>
          <w:szCs w:val="32"/>
        </w:rPr>
      </w:pPr>
      <w:r>
        <w:rPr>
          <w:rFonts w:ascii="Times New Roman" w:hAnsi="Times New Roman" w:eastAsia="仿宋"/>
          <w:bCs/>
          <w:sz w:val="32"/>
          <w:szCs w:val="32"/>
        </w:rPr>
        <w:t>为持续推进健康内蒙古行动，巩固地方病防治成果，掌握全旗饮水型地方性氟中毒控制情况，根据《2024年内蒙古自治区饮水型地方性氟中毒监测全覆盖实施方案》总体要求，特制定本方案。</w:t>
      </w:r>
    </w:p>
    <w:p w14:paraId="23A9466A">
      <w:pPr>
        <w:keepNext w:val="0"/>
        <w:keepLines w:val="0"/>
        <w:pageBreakBefore w:val="0"/>
        <w:widowControl w:val="0"/>
        <w:kinsoku/>
        <w:wordWrap w:val="0"/>
        <w:overflowPunct/>
        <w:topLinePunct w:val="0"/>
        <w:bidi w:val="0"/>
        <w:spacing w:line="560" w:lineRule="exact"/>
        <w:ind w:firstLine="800" w:firstLineChars="250"/>
        <w:jc w:val="left"/>
        <w:textAlignment w:val="auto"/>
        <w:rPr>
          <w:rFonts w:ascii="Times New Roman" w:hAnsi="Times New Roman" w:eastAsia="黑体"/>
          <w:bCs/>
          <w:sz w:val="32"/>
          <w:szCs w:val="32"/>
        </w:rPr>
      </w:pPr>
      <w:r>
        <w:rPr>
          <w:rFonts w:ascii="Times New Roman" w:hAnsi="Times New Roman" w:eastAsia="黑体"/>
          <w:bCs/>
          <w:sz w:val="32"/>
          <w:szCs w:val="32"/>
        </w:rPr>
        <w:t>一、目的</w:t>
      </w:r>
    </w:p>
    <w:p w14:paraId="1EF9A6AA">
      <w:pPr>
        <w:keepNext w:val="0"/>
        <w:keepLines w:val="0"/>
        <w:pageBreakBefore w:val="0"/>
        <w:widowControl w:val="0"/>
        <w:kinsoku/>
        <w:wordWrap w:val="0"/>
        <w:overflowPunct/>
        <w:topLinePunct w:val="0"/>
        <w:bidi w:val="0"/>
        <w:spacing w:line="560" w:lineRule="exact"/>
        <w:ind w:firstLine="800" w:firstLineChars="250"/>
        <w:jc w:val="left"/>
        <w:textAlignment w:val="auto"/>
        <w:rPr>
          <w:rFonts w:ascii="Times New Roman" w:hAnsi="Times New Roman" w:eastAsia="仿宋"/>
          <w:bCs/>
          <w:sz w:val="32"/>
          <w:szCs w:val="32"/>
        </w:rPr>
      </w:pPr>
      <w:r>
        <w:rPr>
          <w:rFonts w:ascii="Times New Roman" w:hAnsi="Times New Roman" w:eastAsia="仿宋"/>
          <w:bCs/>
          <w:sz w:val="32"/>
          <w:szCs w:val="32"/>
        </w:rPr>
        <w:t>以自然村为单位，动态评价病区改水进度、改水工程运行使用情况及水氟情况，掌握病区病情变化趋势和氟骨症患者随访管理情况，为饮水型地方性氟中毒防治策略制定和控制评价工作提供参考依据。</w:t>
      </w:r>
    </w:p>
    <w:p w14:paraId="79EDDBCA">
      <w:pPr>
        <w:keepNext w:val="0"/>
        <w:keepLines w:val="0"/>
        <w:pageBreakBefore w:val="0"/>
        <w:widowControl w:val="0"/>
        <w:kinsoku/>
        <w:wordWrap w:val="0"/>
        <w:overflowPunct/>
        <w:topLinePunct w:val="0"/>
        <w:bidi w:val="0"/>
        <w:spacing w:line="560" w:lineRule="exact"/>
        <w:ind w:firstLine="800" w:firstLineChars="250"/>
        <w:textAlignment w:val="auto"/>
        <w:rPr>
          <w:rFonts w:ascii="Times New Roman" w:hAnsi="Times New Roman" w:eastAsia="黑体"/>
          <w:bCs/>
          <w:sz w:val="32"/>
          <w:szCs w:val="32"/>
        </w:rPr>
      </w:pPr>
      <w:r>
        <w:rPr>
          <w:rFonts w:ascii="Times New Roman" w:hAnsi="Times New Roman" w:eastAsia="黑体"/>
          <w:bCs/>
          <w:sz w:val="32"/>
          <w:szCs w:val="32"/>
        </w:rPr>
        <w:t>二、内容与方法</w:t>
      </w:r>
    </w:p>
    <w:p w14:paraId="6E3B692C">
      <w:pPr>
        <w:keepNext w:val="0"/>
        <w:keepLines w:val="0"/>
        <w:pageBreakBefore w:val="0"/>
        <w:widowControl w:val="0"/>
        <w:kinsoku/>
        <w:wordWrap w:val="0"/>
        <w:overflowPunct/>
        <w:topLinePunct w:val="0"/>
        <w:bidi w:val="0"/>
        <w:spacing w:line="560" w:lineRule="exact"/>
        <w:ind w:firstLine="800" w:firstLineChars="250"/>
        <w:textAlignment w:val="auto"/>
        <w:rPr>
          <w:rFonts w:ascii="Times New Roman" w:hAnsi="Times New Roman" w:eastAsia="楷体_GB2312"/>
          <w:bCs/>
          <w:sz w:val="32"/>
          <w:szCs w:val="32"/>
        </w:rPr>
      </w:pPr>
      <w:r>
        <w:rPr>
          <w:rFonts w:ascii="Times New Roman" w:hAnsi="Times New Roman" w:eastAsia="楷体_GB2312"/>
          <w:bCs/>
          <w:sz w:val="32"/>
          <w:szCs w:val="32"/>
        </w:rPr>
        <w:t>（一）监测范围</w:t>
      </w:r>
    </w:p>
    <w:p w14:paraId="132D72B0">
      <w:pPr>
        <w:keepNext w:val="0"/>
        <w:keepLines w:val="0"/>
        <w:pageBreakBefore w:val="0"/>
        <w:widowControl w:val="0"/>
        <w:kinsoku/>
        <w:wordWrap w:val="0"/>
        <w:overflowPunct/>
        <w:topLinePunct w:val="0"/>
        <w:bidi w:val="0"/>
        <w:spacing w:line="560" w:lineRule="exact"/>
        <w:ind w:firstLine="800" w:firstLineChars="250"/>
        <w:textAlignment w:val="auto"/>
        <w:rPr>
          <w:rFonts w:ascii="Times New Roman" w:hAnsi="Times New Roman" w:eastAsia="仿宋"/>
          <w:bCs/>
          <w:sz w:val="32"/>
          <w:szCs w:val="32"/>
        </w:rPr>
      </w:pPr>
      <w:r>
        <w:rPr>
          <w:rFonts w:ascii="Times New Roman" w:hAnsi="Times New Roman" w:eastAsia="仿宋"/>
          <w:bCs/>
          <w:sz w:val="32"/>
          <w:szCs w:val="32"/>
        </w:rPr>
        <w:t>监测范围涉及全旗所有的病区村，以及新发现的氟超标地区，以自然村为单位开展工作。</w:t>
      </w:r>
    </w:p>
    <w:p w14:paraId="3D11ACAF">
      <w:pPr>
        <w:keepNext w:val="0"/>
        <w:keepLines w:val="0"/>
        <w:pageBreakBefore w:val="0"/>
        <w:widowControl w:val="0"/>
        <w:kinsoku/>
        <w:wordWrap w:val="0"/>
        <w:overflowPunct/>
        <w:topLinePunct w:val="0"/>
        <w:bidi w:val="0"/>
        <w:spacing w:line="560" w:lineRule="exact"/>
        <w:ind w:firstLine="800" w:firstLineChars="250"/>
        <w:textAlignment w:val="auto"/>
        <w:rPr>
          <w:rFonts w:ascii="Times New Roman" w:hAnsi="Times New Roman" w:eastAsia="楷体_GB2312"/>
          <w:bCs/>
          <w:sz w:val="32"/>
          <w:szCs w:val="32"/>
        </w:rPr>
      </w:pPr>
      <w:r>
        <w:rPr>
          <w:rFonts w:ascii="Times New Roman" w:hAnsi="Times New Roman" w:eastAsia="楷体_GB2312"/>
          <w:bCs/>
          <w:sz w:val="32"/>
          <w:szCs w:val="32"/>
        </w:rPr>
        <w:t>（二）监测内容及方法</w:t>
      </w:r>
    </w:p>
    <w:p w14:paraId="3177880D">
      <w:pPr>
        <w:keepNext w:val="0"/>
        <w:keepLines w:val="0"/>
        <w:pageBreakBefore w:val="0"/>
        <w:widowControl w:val="0"/>
        <w:kinsoku/>
        <w:wordWrap w:val="0"/>
        <w:overflowPunct/>
        <w:topLinePunct w:val="0"/>
        <w:bidi w:val="0"/>
        <w:spacing w:line="560" w:lineRule="exact"/>
        <w:ind w:firstLine="800" w:firstLineChars="250"/>
        <w:textAlignment w:val="auto"/>
        <w:rPr>
          <w:rFonts w:ascii="Times New Roman" w:hAnsi="Times New Roman" w:eastAsia="仿宋"/>
          <w:bCs/>
          <w:sz w:val="32"/>
          <w:szCs w:val="32"/>
        </w:rPr>
      </w:pPr>
      <w:r>
        <w:rPr>
          <w:rFonts w:ascii="Times New Roman" w:hAnsi="Times New Roman" w:eastAsia="仿宋"/>
          <w:bCs/>
          <w:sz w:val="32"/>
          <w:szCs w:val="32"/>
        </w:rPr>
        <w:t>1.监测我旗及村的基本情况。调查自然村的基本情况。包括旗、苏木镇、村名称及代码、旗人口数、病区村户籍户数、户籍人口数、常住户数、常住人口数、历史（改水之前）水氟含量、改水情况、实际受益人口数、8-12岁儿童氟斑牙人数、成人氟骨症人数等等（填</w:t>
      </w:r>
      <w:r>
        <w:rPr>
          <w:rFonts w:hint="eastAsia" w:ascii="Times New Roman" w:hAnsi="Times New Roman" w:eastAsia="仿宋"/>
          <w:bCs/>
          <w:sz w:val="32"/>
          <w:szCs w:val="32"/>
        </w:rPr>
        <w:t>附件2</w:t>
      </w:r>
      <w:r>
        <w:rPr>
          <w:rFonts w:ascii="Times New Roman" w:hAnsi="Times New Roman" w:eastAsia="仿宋"/>
          <w:bCs/>
          <w:sz w:val="32"/>
          <w:szCs w:val="32"/>
        </w:rPr>
        <w:t>）。</w:t>
      </w:r>
    </w:p>
    <w:p w14:paraId="7D07721E">
      <w:pPr>
        <w:keepNext w:val="0"/>
        <w:keepLines w:val="0"/>
        <w:pageBreakBefore w:val="0"/>
        <w:widowControl w:val="0"/>
        <w:kinsoku/>
        <w:wordWrap w:val="0"/>
        <w:overflowPunct/>
        <w:topLinePunct w:val="0"/>
        <w:bidi w:val="0"/>
        <w:spacing w:line="560" w:lineRule="exact"/>
        <w:ind w:firstLine="800" w:firstLineChars="250"/>
        <w:jc w:val="left"/>
        <w:textAlignment w:val="auto"/>
        <w:rPr>
          <w:rFonts w:ascii="Times New Roman" w:hAnsi="Times New Roman" w:eastAsia="仿宋"/>
          <w:bCs/>
          <w:sz w:val="32"/>
          <w:szCs w:val="32"/>
        </w:rPr>
      </w:pPr>
      <w:r>
        <w:rPr>
          <w:rFonts w:ascii="Times New Roman" w:hAnsi="Times New Roman"/>
          <w:bCs/>
          <w:sz w:val="32"/>
          <w:szCs w:val="32"/>
        </w:rPr>
        <w:t>2.</w:t>
      </w:r>
      <w:r>
        <w:rPr>
          <w:rFonts w:ascii="Times New Roman" w:hAnsi="Times New Roman" w:eastAsia="仿宋"/>
          <w:bCs/>
          <w:sz w:val="32"/>
          <w:szCs w:val="32"/>
        </w:rPr>
        <w:t>生活饮用水水氟含量监测。如果自然村（屯）已经改水，</w:t>
      </w:r>
      <w:r>
        <w:rPr>
          <w:rFonts w:ascii="Times New Roman" w:hAnsi="Times New Roman" w:eastAsia="仿宋"/>
          <w:sz w:val="30"/>
          <w:szCs w:val="30"/>
        </w:rPr>
        <w:t>则调查改水工程运转情况，</w:t>
      </w:r>
      <w:r>
        <w:rPr>
          <w:rFonts w:ascii="Times New Roman" w:hAnsi="Times New Roman" w:eastAsia="仿宋"/>
          <w:bCs/>
          <w:sz w:val="32"/>
          <w:szCs w:val="32"/>
        </w:rPr>
        <w:t>并采集该工程1份水源水水样测定水氟含量（每份水样进行2次平行测定，计算平均值）。一个村有多个工程的，分别采集各个工程的水源水进行测定，备注中说明（填写</w:t>
      </w:r>
      <w:r>
        <w:rPr>
          <w:rFonts w:hint="eastAsia" w:ascii="Times New Roman" w:hAnsi="Times New Roman" w:eastAsia="仿宋"/>
          <w:bCs/>
          <w:sz w:val="32"/>
          <w:szCs w:val="32"/>
        </w:rPr>
        <w:t>附件3</w:t>
      </w:r>
      <w:r>
        <w:rPr>
          <w:rFonts w:ascii="Times New Roman" w:hAnsi="Times New Roman" w:eastAsia="仿宋"/>
          <w:bCs/>
          <w:sz w:val="32"/>
          <w:szCs w:val="32"/>
        </w:rPr>
        <w:t>）。实施小型理化改水的自然村，需进行问卷调查，了解除氟装置的使用及维护服务情况。每个病区村的每种不同品牌型号批次的净水器均需要在5户家庭开展调查，填写净水器使用情况现场调查表（填写</w:t>
      </w:r>
      <w:r>
        <w:rPr>
          <w:rFonts w:hint="eastAsia" w:ascii="Times New Roman" w:hAnsi="Times New Roman" w:eastAsia="仿宋"/>
          <w:bCs/>
          <w:sz w:val="32"/>
          <w:szCs w:val="32"/>
        </w:rPr>
        <w:t>附件5</w:t>
      </w:r>
      <w:r>
        <w:rPr>
          <w:rFonts w:ascii="Times New Roman" w:hAnsi="Times New Roman" w:eastAsia="仿宋"/>
          <w:bCs/>
          <w:sz w:val="32"/>
          <w:szCs w:val="32"/>
        </w:rPr>
        <w:t>）。同时每个品牌批次的除氟装置需要随机在5户居民家庭各采集1份末梢水，共5份水样进行水氟检测。如果监测村（屯）尚未改水或采取分散式改水方式，则按照东、西、南、北、中五个方位在饮用水源各采集1份水样，饮用水源不足5个的则全部采集，测定水氟含量（填写</w:t>
      </w:r>
      <w:r>
        <w:rPr>
          <w:rFonts w:hint="eastAsia" w:ascii="Times New Roman" w:hAnsi="Times New Roman" w:eastAsia="仿宋"/>
          <w:bCs/>
          <w:sz w:val="32"/>
          <w:szCs w:val="32"/>
        </w:rPr>
        <w:t>附件4</w:t>
      </w:r>
      <w:r>
        <w:rPr>
          <w:rFonts w:ascii="Times New Roman" w:hAnsi="Times New Roman" w:eastAsia="仿宋"/>
          <w:bCs/>
          <w:sz w:val="32"/>
          <w:szCs w:val="32"/>
        </w:rPr>
        <w:t xml:space="preserve"> ）。</w:t>
      </w:r>
    </w:p>
    <w:p w14:paraId="29969CE9">
      <w:pPr>
        <w:keepNext w:val="0"/>
        <w:keepLines w:val="0"/>
        <w:pageBreakBefore w:val="0"/>
        <w:widowControl w:val="0"/>
        <w:kinsoku/>
        <w:wordWrap w:val="0"/>
        <w:overflowPunct/>
        <w:topLinePunct w:val="0"/>
        <w:bidi w:val="0"/>
        <w:spacing w:line="560" w:lineRule="exact"/>
        <w:ind w:firstLine="800" w:firstLineChars="250"/>
        <w:jc w:val="left"/>
        <w:textAlignment w:val="auto"/>
        <w:rPr>
          <w:rFonts w:ascii="Times New Roman" w:hAnsi="Times New Roman" w:eastAsia="仿宋"/>
          <w:sz w:val="32"/>
          <w:szCs w:val="32"/>
        </w:rPr>
      </w:pPr>
      <w:r>
        <w:rPr>
          <w:rFonts w:ascii="Times New Roman" w:hAnsi="Times New Roman" w:eastAsia="仿宋"/>
          <w:bCs/>
          <w:sz w:val="32"/>
          <w:szCs w:val="32"/>
        </w:rPr>
        <w:t>3.氟斑牙病情监测。对所有病区村（屯）以及新发现的氟超标地区全部8</w:t>
      </w:r>
      <w:r>
        <w:rPr>
          <w:rFonts w:hint="eastAsia" w:ascii="Times New Roman" w:hAnsi="Times New Roman" w:eastAsia="仿宋"/>
          <w:bCs/>
          <w:sz w:val="32"/>
          <w:szCs w:val="32"/>
        </w:rPr>
        <w:t>—</w:t>
      </w:r>
      <w:r>
        <w:rPr>
          <w:rFonts w:ascii="Times New Roman" w:hAnsi="Times New Roman" w:eastAsia="仿宋"/>
          <w:bCs/>
          <w:sz w:val="32"/>
          <w:szCs w:val="32"/>
        </w:rPr>
        <w:t>12岁儿童进行氟斑牙检查，检查率不低于90%（填写</w:t>
      </w:r>
      <w:r>
        <w:rPr>
          <w:rFonts w:hint="eastAsia" w:ascii="Times New Roman" w:hAnsi="Times New Roman" w:eastAsia="仿宋"/>
          <w:bCs/>
          <w:sz w:val="32"/>
          <w:szCs w:val="32"/>
        </w:rPr>
        <w:t>附件</w:t>
      </w:r>
      <w:r>
        <w:rPr>
          <w:rFonts w:hint="eastAsia" w:ascii="Times New Roman" w:hAnsi="Times New Roman" w:eastAsia="仿宋"/>
          <w:sz w:val="32"/>
          <w:szCs w:val="32"/>
        </w:rPr>
        <w:t>6</w:t>
      </w:r>
      <w:r>
        <w:rPr>
          <w:rFonts w:ascii="Times New Roman" w:hAnsi="Times New Roman" w:eastAsia="仿宋"/>
          <w:sz w:val="32"/>
          <w:szCs w:val="32"/>
        </w:rPr>
        <w:t>） 。</w:t>
      </w:r>
    </w:p>
    <w:p w14:paraId="481DE96F">
      <w:pPr>
        <w:keepNext w:val="0"/>
        <w:keepLines w:val="0"/>
        <w:pageBreakBefore w:val="0"/>
        <w:widowControl w:val="0"/>
        <w:kinsoku/>
        <w:wordWrap w:val="0"/>
        <w:overflowPunct/>
        <w:topLinePunct w:val="0"/>
        <w:bidi w:val="0"/>
        <w:spacing w:line="560" w:lineRule="exact"/>
        <w:ind w:firstLine="800" w:firstLineChars="250"/>
        <w:jc w:val="left"/>
        <w:textAlignment w:val="auto"/>
        <w:rPr>
          <w:rFonts w:ascii="Times New Roman" w:hAnsi="Times New Roman" w:eastAsia="仿宋"/>
          <w:sz w:val="32"/>
          <w:szCs w:val="32"/>
        </w:rPr>
      </w:pPr>
      <w:r>
        <w:rPr>
          <w:rFonts w:ascii="Times New Roman" w:hAnsi="Times New Roman" w:eastAsia="仿宋"/>
          <w:sz w:val="32"/>
          <w:szCs w:val="32"/>
        </w:rPr>
        <w:t>4．成人氟骨症和尿氟重点监测。我旗选取5个行政村开展成人氟骨症和尿氟监测（详见开展成人氟骨症和尿氟重点监测村名单）。对重点村25周岁以上常住成人进行氟骨症检查，检查率不低于90%。先在人群中开展临床症状和体征的检查，在临床表现阳性人群中进一步拍摄X线片进行氟骨症的确诊。同时，至少采集30名25周岁以上成人即时尿样，测定尿氟。采样原则：氟骨症病人全部采集尿样，若监测村氟骨症患者人数不足30，则补充检测正常人尿样（填写</w:t>
      </w:r>
      <w:r>
        <w:rPr>
          <w:rFonts w:hint="eastAsia" w:ascii="Times New Roman" w:hAnsi="Times New Roman" w:eastAsia="仿宋"/>
          <w:sz w:val="32"/>
          <w:szCs w:val="32"/>
        </w:rPr>
        <w:t>附件7</w:t>
      </w:r>
      <w:r>
        <w:rPr>
          <w:rFonts w:ascii="Times New Roman" w:hAnsi="Times New Roman" w:eastAsia="仿宋"/>
          <w:sz w:val="32"/>
          <w:szCs w:val="32"/>
        </w:rPr>
        <w:t>）。</w:t>
      </w:r>
    </w:p>
    <w:p w14:paraId="03DC9CFF">
      <w:pPr>
        <w:keepNext w:val="0"/>
        <w:keepLines w:val="0"/>
        <w:pageBreakBefore w:val="0"/>
        <w:widowControl w:val="0"/>
        <w:kinsoku/>
        <w:wordWrap w:val="0"/>
        <w:overflowPunct/>
        <w:topLinePunct w:val="0"/>
        <w:bidi w:val="0"/>
        <w:spacing w:line="560" w:lineRule="exact"/>
        <w:jc w:val="center"/>
        <w:textAlignment w:val="auto"/>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开展成人氟骨症和尿氟重点监测村名单</w:t>
      </w:r>
    </w:p>
    <w:tbl>
      <w:tblPr>
        <w:tblStyle w:val="5"/>
        <w:tblW w:w="8787"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52"/>
        <w:gridCol w:w="1477"/>
        <w:gridCol w:w="2233"/>
        <w:gridCol w:w="2925"/>
      </w:tblGrid>
      <w:tr w14:paraId="59F52D5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52" w:type="dxa"/>
            <w:tcBorders>
              <w:top w:val="single" w:color="auto" w:sz="4" w:space="0"/>
              <w:bottom w:val="single" w:color="auto" w:sz="4" w:space="0"/>
            </w:tcBorders>
            <w:noWrap/>
            <w:vAlign w:val="center"/>
          </w:tcPr>
          <w:p w14:paraId="13882E41">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盟市</w:t>
            </w:r>
          </w:p>
        </w:tc>
        <w:tc>
          <w:tcPr>
            <w:tcW w:w="1477" w:type="dxa"/>
            <w:tcBorders>
              <w:top w:val="single" w:color="auto" w:sz="4" w:space="0"/>
              <w:bottom w:val="single" w:color="auto" w:sz="4" w:space="0"/>
            </w:tcBorders>
            <w:noWrap/>
            <w:vAlign w:val="center"/>
          </w:tcPr>
          <w:p w14:paraId="46268E94">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旗县</w:t>
            </w:r>
          </w:p>
        </w:tc>
        <w:tc>
          <w:tcPr>
            <w:tcW w:w="2233" w:type="dxa"/>
            <w:tcBorders>
              <w:top w:val="single" w:color="auto" w:sz="4" w:space="0"/>
              <w:bottom w:val="single" w:color="auto" w:sz="4" w:space="0"/>
            </w:tcBorders>
            <w:noWrap/>
            <w:vAlign w:val="center"/>
          </w:tcPr>
          <w:p w14:paraId="7CB1FE80">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乡镇（苏木）</w:t>
            </w:r>
          </w:p>
        </w:tc>
        <w:tc>
          <w:tcPr>
            <w:tcW w:w="2925" w:type="dxa"/>
            <w:tcBorders>
              <w:top w:val="single" w:color="auto" w:sz="4" w:space="0"/>
              <w:bottom w:val="single" w:color="auto" w:sz="4" w:space="0"/>
            </w:tcBorders>
            <w:noWrap/>
            <w:vAlign w:val="center"/>
          </w:tcPr>
          <w:p w14:paraId="086D4CD1">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行政村（嘎查）</w:t>
            </w:r>
          </w:p>
        </w:tc>
      </w:tr>
      <w:tr w14:paraId="0D57D7C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152" w:type="dxa"/>
            <w:tcBorders>
              <w:top w:val="single" w:color="auto" w:sz="4" w:space="0"/>
            </w:tcBorders>
            <w:noWrap/>
            <w:vAlign w:val="center"/>
          </w:tcPr>
          <w:p w14:paraId="056564FA">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鄂尔多斯</w:t>
            </w:r>
          </w:p>
        </w:tc>
        <w:tc>
          <w:tcPr>
            <w:tcW w:w="1477" w:type="dxa"/>
            <w:tcBorders>
              <w:top w:val="single" w:color="auto" w:sz="4" w:space="0"/>
            </w:tcBorders>
            <w:noWrap/>
            <w:vAlign w:val="center"/>
          </w:tcPr>
          <w:p w14:paraId="2059517F">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达拉特旗</w:t>
            </w:r>
          </w:p>
        </w:tc>
        <w:tc>
          <w:tcPr>
            <w:tcW w:w="2233" w:type="dxa"/>
            <w:tcBorders>
              <w:top w:val="single" w:color="auto" w:sz="4" w:space="0"/>
            </w:tcBorders>
            <w:noWrap/>
            <w:vAlign w:val="center"/>
          </w:tcPr>
          <w:p w14:paraId="0EE36DE6">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昭君镇</w:t>
            </w:r>
          </w:p>
        </w:tc>
        <w:tc>
          <w:tcPr>
            <w:tcW w:w="2925" w:type="dxa"/>
            <w:tcBorders>
              <w:top w:val="single" w:color="auto" w:sz="4" w:space="0"/>
            </w:tcBorders>
            <w:noWrap/>
            <w:vAlign w:val="center"/>
          </w:tcPr>
          <w:p w14:paraId="33EC8939">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侯家圪堵村</w:t>
            </w:r>
          </w:p>
        </w:tc>
      </w:tr>
      <w:tr w14:paraId="65DB52B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152" w:type="dxa"/>
            <w:noWrap/>
            <w:vAlign w:val="center"/>
          </w:tcPr>
          <w:p w14:paraId="25B35AC8">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p>
        </w:tc>
        <w:tc>
          <w:tcPr>
            <w:tcW w:w="1477" w:type="dxa"/>
            <w:noWrap/>
            <w:vAlign w:val="center"/>
          </w:tcPr>
          <w:p w14:paraId="22CD7120">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p>
        </w:tc>
        <w:tc>
          <w:tcPr>
            <w:tcW w:w="2233" w:type="dxa"/>
            <w:noWrap/>
            <w:vAlign w:val="center"/>
          </w:tcPr>
          <w:p w14:paraId="0AD99F0E">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昭君镇</w:t>
            </w:r>
          </w:p>
        </w:tc>
        <w:tc>
          <w:tcPr>
            <w:tcW w:w="2925" w:type="dxa"/>
            <w:noWrap/>
            <w:vAlign w:val="center"/>
          </w:tcPr>
          <w:p w14:paraId="42CDE7D5">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沙壕村</w:t>
            </w:r>
          </w:p>
        </w:tc>
      </w:tr>
      <w:tr w14:paraId="7F4CF8A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152" w:type="dxa"/>
            <w:noWrap/>
            <w:vAlign w:val="center"/>
          </w:tcPr>
          <w:p w14:paraId="26479E4E">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p>
        </w:tc>
        <w:tc>
          <w:tcPr>
            <w:tcW w:w="1477" w:type="dxa"/>
            <w:noWrap/>
            <w:vAlign w:val="center"/>
          </w:tcPr>
          <w:p w14:paraId="1BC9A35D">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p>
        </w:tc>
        <w:tc>
          <w:tcPr>
            <w:tcW w:w="2233" w:type="dxa"/>
            <w:noWrap/>
            <w:vAlign w:val="center"/>
          </w:tcPr>
          <w:p w14:paraId="3599043F">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昭君镇</w:t>
            </w:r>
          </w:p>
        </w:tc>
        <w:tc>
          <w:tcPr>
            <w:tcW w:w="2925" w:type="dxa"/>
            <w:noWrap/>
            <w:vAlign w:val="center"/>
          </w:tcPr>
          <w:p w14:paraId="3219F068">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门肯</w:t>
            </w:r>
          </w:p>
        </w:tc>
      </w:tr>
      <w:tr w14:paraId="4A343E0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152" w:type="dxa"/>
            <w:noWrap/>
            <w:vAlign w:val="center"/>
          </w:tcPr>
          <w:p w14:paraId="3A84A317">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p>
        </w:tc>
        <w:tc>
          <w:tcPr>
            <w:tcW w:w="1477" w:type="dxa"/>
            <w:noWrap/>
            <w:vAlign w:val="center"/>
          </w:tcPr>
          <w:p w14:paraId="1C01BDF8">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p>
        </w:tc>
        <w:tc>
          <w:tcPr>
            <w:tcW w:w="2233" w:type="dxa"/>
            <w:noWrap/>
            <w:vAlign w:val="center"/>
          </w:tcPr>
          <w:p w14:paraId="0145369E">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树林召镇</w:t>
            </w:r>
          </w:p>
        </w:tc>
        <w:tc>
          <w:tcPr>
            <w:tcW w:w="2925" w:type="dxa"/>
            <w:noWrap/>
            <w:vAlign w:val="center"/>
          </w:tcPr>
          <w:p w14:paraId="3A43E6BB">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沟心召</w:t>
            </w:r>
          </w:p>
        </w:tc>
      </w:tr>
      <w:tr w14:paraId="45AC4E0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152" w:type="dxa"/>
            <w:noWrap/>
            <w:vAlign w:val="center"/>
          </w:tcPr>
          <w:p w14:paraId="06E74A83">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p>
        </w:tc>
        <w:tc>
          <w:tcPr>
            <w:tcW w:w="1477" w:type="dxa"/>
            <w:noWrap/>
            <w:vAlign w:val="center"/>
          </w:tcPr>
          <w:p w14:paraId="2EC9B626">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p>
        </w:tc>
        <w:tc>
          <w:tcPr>
            <w:tcW w:w="2233" w:type="dxa"/>
            <w:noWrap/>
            <w:vAlign w:val="center"/>
          </w:tcPr>
          <w:p w14:paraId="317D423C">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吉格斯太</w:t>
            </w:r>
          </w:p>
        </w:tc>
        <w:tc>
          <w:tcPr>
            <w:tcW w:w="2925" w:type="dxa"/>
            <w:noWrap/>
            <w:vAlign w:val="center"/>
          </w:tcPr>
          <w:p w14:paraId="76C2C988">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kern w:val="0"/>
                <w:sz w:val="18"/>
                <w:szCs w:val="18"/>
              </w:rPr>
            </w:pPr>
            <w:r>
              <w:rPr>
                <w:rFonts w:ascii="Times New Roman" w:hAnsi="Times New Roman"/>
                <w:kern w:val="0"/>
                <w:sz w:val="18"/>
                <w:szCs w:val="18"/>
              </w:rPr>
              <w:t>梁家圪堵</w:t>
            </w:r>
          </w:p>
        </w:tc>
      </w:tr>
    </w:tbl>
    <w:p w14:paraId="245CB6B0">
      <w:pPr>
        <w:pStyle w:val="3"/>
        <w:keepNext w:val="0"/>
        <w:keepLines w:val="0"/>
        <w:pageBreakBefore w:val="0"/>
        <w:widowControl w:val="0"/>
        <w:kinsoku/>
        <w:wordWrap w:val="0"/>
        <w:overflowPunct/>
        <w:topLinePunct w:val="0"/>
        <w:bidi w:val="0"/>
        <w:spacing w:line="560" w:lineRule="exact"/>
        <w:textAlignment w:val="auto"/>
        <w:rPr>
          <w:rFonts w:ascii="Times New Roman" w:hAnsi="Times New Roman"/>
        </w:rPr>
      </w:pPr>
    </w:p>
    <w:p w14:paraId="188B3002">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5.控制达标情况汇总。各病区旗县根据病区村水氟合格和氟班牙患病率达标情况填写本旗县的控制评价等情况。</w:t>
      </w:r>
    </w:p>
    <w:p w14:paraId="6F8345CD">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6.氟骨症患者随访管理。对全村确诊的氟骨症患者按照《地方病患者管理服务规范》开展健康随访管理工作，记录患者的治疗、体检、随访等情况。</w:t>
      </w:r>
    </w:p>
    <w:p w14:paraId="1333CFD1">
      <w:pPr>
        <w:pStyle w:val="3"/>
        <w:keepNext w:val="0"/>
        <w:keepLines w:val="0"/>
        <w:pageBreakBefore w:val="0"/>
        <w:widowControl w:val="0"/>
        <w:kinsoku/>
        <w:wordWrap w:val="0"/>
        <w:overflowPunct/>
        <w:topLinePunct w:val="0"/>
        <w:bidi w:val="0"/>
        <w:spacing w:line="560" w:lineRule="exact"/>
        <w:ind w:firstLine="640" w:firstLineChars="200"/>
        <w:jc w:val="both"/>
        <w:textAlignment w:val="auto"/>
        <w:rPr>
          <w:rFonts w:ascii="Times New Roman" w:hAnsi="Times New Roman" w:eastAsia="仿宋"/>
          <w:sz w:val="32"/>
          <w:szCs w:val="32"/>
        </w:rPr>
      </w:pPr>
      <w:r>
        <w:rPr>
          <w:rFonts w:ascii="Times New Roman" w:hAnsi="Times New Roman" w:eastAsia="仿宋"/>
          <w:sz w:val="32"/>
          <w:szCs w:val="32"/>
        </w:rPr>
        <w:t>7.氟骨症患者随访管理汇总。汇总各病区行政村的氟骨症患者的管理治疗情况。</w:t>
      </w:r>
    </w:p>
    <w:p w14:paraId="0A4AC81A">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楷体_GB2312"/>
          <w:sz w:val="32"/>
          <w:szCs w:val="32"/>
        </w:rPr>
        <w:t>(三)病例诊断及样品检测方法。</w:t>
      </w:r>
    </w:p>
    <w:p w14:paraId="21F6FEF3">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1.氟斑牙诊断。采用氟斑牙诊断标准（WS/T 208-2011）进行检查和判定。</w:t>
      </w:r>
    </w:p>
    <w:p w14:paraId="29E7C7C2">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 xml:space="preserve">2.氟骨症诊断。采用地方性氟骨症诊断标准（WS 192-2021）进行检查和判定。 </w:t>
      </w:r>
    </w:p>
    <w:p w14:paraId="4FEB08D1">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 xml:space="preserve">3.水样采集与保存。采用生活饮用水标准检验方法（GB/T 5750.2-2006）。 </w:t>
      </w:r>
    </w:p>
    <w:p w14:paraId="2B139077">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4.水氟检测。采用生活饮用水标准检验方法（GB/T 5750.5-2023），并按照生活饮用水卫生标准(GB 5749-2022)进行水氟含量超标与否的评价。</w:t>
      </w:r>
    </w:p>
    <w:p w14:paraId="2068D987">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5.水质分析质量控制。采用生活饮用水标准检验方法（GB/T 5750.3-2006）。</w:t>
      </w:r>
    </w:p>
    <w:p w14:paraId="506D76D3">
      <w:pPr>
        <w:keepNext w:val="0"/>
        <w:keepLines w:val="0"/>
        <w:pageBreakBefore w:val="0"/>
        <w:widowControl w:val="0"/>
        <w:kinsoku/>
        <w:wordWrap w:val="0"/>
        <w:overflowPunct/>
        <w:topLinePunct w:val="0"/>
        <w:bidi w:val="0"/>
        <w:spacing w:line="560" w:lineRule="exact"/>
        <w:ind w:firstLine="640" w:firstLineChars="200"/>
        <w:jc w:val="left"/>
        <w:textAlignment w:val="auto"/>
        <w:rPr>
          <w:rFonts w:ascii="Times New Roman" w:hAnsi="Times New Roman" w:eastAsia="黑体"/>
          <w:sz w:val="32"/>
          <w:szCs w:val="32"/>
        </w:rPr>
      </w:pPr>
      <w:r>
        <w:rPr>
          <w:rFonts w:ascii="Times New Roman" w:hAnsi="Times New Roman" w:eastAsia="黑体"/>
          <w:sz w:val="32"/>
          <w:szCs w:val="32"/>
        </w:rPr>
        <w:t>三、质量控制</w:t>
      </w:r>
    </w:p>
    <w:p w14:paraId="7DCEF89B">
      <w:pPr>
        <w:pStyle w:val="8"/>
        <w:keepNext w:val="0"/>
        <w:keepLines w:val="0"/>
        <w:pageBreakBefore w:val="0"/>
        <w:widowControl w:val="0"/>
        <w:kinsoku/>
        <w:wordWrap w:val="0"/>
        <w:overflowPunct/>
        <w:topLinePunct w:val="0"/>
        <w:bidi w:val="0"/>
        <w:spacing w:line="560" w:lineRule="exact"/>
        <w:ind w:firstLine="640" w:firstLineChars="200"/>
        <w:jc w:val="both"/>
        <w:textAlignment w:val="auto"/>
        <w:rPr>
          <w:rFonts w:ascii="Times New Roman" w:eastAsia="楷体_GB2312" w:cs="Times New Roman"/>
          <w:color w:val="auto"/>
          <w:sz w:val="32"/>
          <w:szCs w:val="32"/>
        </w:rPr>
      </w:pPr>
      <w:r>
        <w:rPr>
          <w:rFonts w:ascii="Times New Roman" w:eastAsia="楷体_GB2312" w:cs="Times New Roman"/>
          <w:color w:val="auto"/>
          <w:sz w:val="32"/>
          <w:szCs w:val="32"/>
        </w:rPr>
        <w:t>（一）人员培训。</w:t>
      </w:r>
    </w:p>
    <w:p w14:paraId="5BAB6CD3">
      <w:pPr>
        <w:keepNext w:val="0"/>
        <w:keepLines w:val="0"/>
        <w:pageBreakBefore w:val="0"/>
        <w:widowControl w:val="0"/>
        <w:kinsoku/>
        <w:wordWrap w:val="0"/>
        <w:overflowPunct/>
        <w:topLinePunct w:val="0"/>
        <w:autoSpaceDE w:val="0"/>
        <w:autoSpaceDN w:val="0"/>
        <w:bidi w:val="0"/>
        <w:adjustRightInd w:val="0"/>
        <w:spacing w:line="560" w:lineRule="exact"/>
        <w:ind w:firstLine="640" w:firstLineChars="200"/>
        <w:textAlignment w:val="auto"/>
        <w:rPr>
          <w:rFonts w:ascii="Times New Roman" w:hAnsi="Times New Roman" w:eastAsia="仿宋"/>
          <w:kern w:val="0"/>
          <w:sz w:val="32"/>
          <w:szCs w:val="32"/>
        </w:rPr>
      </w:pPr>
      <w:r>
        <w:rPr>
          <w:rFonts w:ascii="Times New Roman" w:hAnsi="Times New Roman" w:eastAsia="仿宋"/>
          <w:kern w:val="0"/>
          <w:sz w:val="32"/>
          <w:szCs w:val="32"/>
        </w:rPr>
        <w:t>1．对各级监测人员进行监测方案相关内容的逐级培训，确保监测方法统一、技术规范和协调有序。</w:t>
      </w:r>
    </w:p>
    <w:p w14:paraId="497158C5">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
          <w:kern w:val="0"/>
          <w:sz w:val="32"/>
          <w:szCs w:val="32"/>
        </w:rPr>
      </w:pPr>
      <w:r>
        <w:rPr>
          <w:rFonts w:ascii="Times New Roman" w:hAnsi="Times New Roman" w:eastAsia="仿宋"/>
          <w:kern w:val="0"/>
          <w:sz w:val="32"/>
          <w:szCs w:val="32"/>
        </w:rPr>
        <w:t xml:space="preserve">2．从事氟斑牙和氟骨症诊断、水氟和尿氟检测、数据录入的旗级相关业务人员需经统一培训后方可上岗。 </w:t>
      </w:r>
    </w:p>
    <w:p w14:paraId="5AD7AC4E">
      <w:pPr>
        <w:pStyle w:val="8"/>
        <w:keepNext w:val="0"/>
        <w:keepLines w:val="0"/>
        <w:pageBreakBefore w:val="0"/>
        <w:widowControl w:val="0"/>
        <w:kinsoku/>
        <w:wordWrap w:val="0"/>
        <w:overflowPunct/>
        <w:topLinePunct w:val="0"/>
        <w:bidi w:val="0"/>
        <w:spacing w:line="560" w:lineRule="exact"/>
        <w:ind w:firstLine="640" w:firstLineChars="200"/>
        <w:jc w:val="both"/>
        <w:textAlignment w:val="auto"/>
        <w:rPr>
          <w:rFonts w:ascii="Times New Roman" w:eastAsia="楷体_GB2312" w:cs="Times New Roman"/>
          <w:color w:val="auto"/>
          <w:sz w:val="32"/>
          <w:szCs w:val="32"/>
        </w:rPr>
      </w:pPr>
      <w:r>
        <w:rPr>
          <w:rFonts w:ascii="Times New Roman" w:eastAsia="楷体_GB2312" w:cs="Times New Roman"/>
          <w:color w:val="auto"/>
          <w:sz w:val="32"/>
          <w:szCs w:val="32"/>
        </w:rPr>
        <w:t>（二）实验室检测。</w:t>
      </w:r>
    </w:p>
    <w:p w14:paraId="02A102E7">
      <w:pPr>
        <w:keepNext w:val="0"/>
        <w:keepLines w:val="0"/>
        <w:pageBreakBefore w:val="0"/>
        <w:widowControl w:val="0"/>
        <w:kinsoku/>
        <w:wordWrap w:val="0"/>
        <w:overflowPunct/>
        <w:topLinePunct w:val="0"/>
        <w:bidi w:val="0"/>
        <w:spacing w:line="560" w:lineRule="exact"/>
        <w:ind w:firstLine="800" w:firstLineChars="250"/>
        <w:textAlignment w:val="auto"/>
        <w:rPr>
          <w:rFonts w:ascii="Times New Roman" w:hAnsi="Times New Roman" w:eastAsia="仿宋"/>
          <w:kern w:val="0"/>
          <w:sz w:val="32"/>
          <w:szCs w:val="32"/>
        </w:rPr>
      </w:pPr>
      <w:r>
        <w:rPr>
          <w:rFonts w:ascii="Times New Roman" w:hAnsi="Times New Roman" w:eastAsia="仿宋"/>
          <w:kern w:val="0"/>
          <w:sz w:val="32"/>
          <w:szCs w:val="32"/>
        </w:rPr>
        <w:t>1．外部质量控制。中国疾病预防控制中心负责制作水氟、尿氟检测质控样品，向承担监测任务的省、市、县级疾病预防控制（地方病防治）机构发放，并组织考核。考核工作于本年6月份前完成。经外部质量控制考核合格的实验室，方可开展实验室检测工作。</w:t>
      </w:r>
    </w:p>
    <w:p w14:paraId="50ABFC7C">
      <w:pPr>
        <w:keepNext w:val="0"/>
        <w:keepLines w:val="0"/>
        <w:pageBreakBefore w:val="0"/>
        <w:widowControl w:val="0"/>
        <w:kinsoku/>
        <w:wordWrap w:val="0"/>
        <w:overflowPunct/>
        <w:topLinePunct w:val="0"/>
        <w:bidi w:val="0"/>
        <w:spacing w:line="560" w:lineRule="exact"/>
        <w:ind w:firstLine="800" w:firstLineChars="250"/>
        <w:textAlignment w:val="auto"/>
        <w:rPr>
          <w:rFonts w:ascii="Times New Roman" w:hAnsi="Times New Roman" w:eastAsia="仿宋"/>
          <w:kern w:val="0"/>
          <w:sz w:val="32"/>
          <w:szCs w:val="32"/>
        </w:rPr>
      </w:pPr>
      <w:r>
        <w:rPr>
          <w:rFonts w:ascii="Times New Roman" w:hAnsi="Times New Roman" w:eastAsia="仿宋"/>
          <w:kern w:val="0"/>
          <w:sz w:val="32"/>
          <w:szCs w:val="32"/>
        </w:rPr>
        <w:t>2．内部质量控制。承担水氟检测和质量管理的实验室，须按照《生活饮用水标准检验方法水样采集与保存》（GB/T 5750.2）、《生活饮用水标准检验方法水质分析质量控制》（GB/T 5750.3）进行样品采集、保管和检测工作质量控制。</w:t>
      </w:r>
    </w:p>
    <w:p w14:paraId="66F4DE25">
      <w:pPr>
        <w:keepNext w:val="0"/>
        <w:keepLines w:val="0"/>
        <w:pageBreakBefore w:val="0"/>
        <w:widowControl w:val="0"/>
        <w:kinsoku/>
        <w:wordWrap w:val="0"/>
        <w:overflowPunct/>
        <w:topLinePunct w:val="0"/>
        <w:bidi w:val="0"/>
        <w:spacing w:line="560" w:lineRule="exact"/>
        <w:ind w:firstLine="800" w:firstLineChars="250"/>
        <w:textAlignment w:val="auto"/>
        <w:rPr>
          <w:rFonts w:ascii="Times New Roman" w:hAnsi="Times New Roman" w:eastAsia="仿宋"/>
          <w:bCs/>
          <w:kern w:val="0"/>
          <w:sz w:val="32"/>
          <w:szCs w:val="32"/>
        </w:rPr>
      </w:pPr>
      <w:r>
        <w:rPr>
          <w:rFonts w:ascii="Times New Roman" w:hAnsi="Times New Roman" w:eastAsia="仿宋"/>
          <w:bCs/>
          <w:kern w:val="0"/>
          <w:sz w:val="32"/>
          <w:szCs w:val="32"/>
        </w:rPr>
        <w:t>3.我旗采集的10%的样品送上级疾控中心进行复核检测。</w:t>
      </w:r>
    </w:p>
    <w:p w14:paraId="4A9B0451">
      <w:pPr>
        <w:keepNext w:val="0"/>
        <w:keepLines w:val="0"/>
        <w:pageBreakBefore w:val="0"/>
        <w:widowControl w:val="0"/>
        <w:kinsoku/>
        <w:wordWrap w:val="0"/>
        <w:overflowPunct/>
        <w:topLinePunct w:val="0"/>
        <w:autoSpaceDE w:val="0"/>
        <w:autoSpaceDN w:val="0"/>
        <w:bidi w:val="0"/>
        <w:adjustRightInd w:val="0"/>
        <w:spacing w:line="560" w:lineRule="exact"/>
        <w:ind w:firstLine="320" w:firstLineChars="100"/>
        <w:textAlignment w:val="auto"/>
        <w:rPr>
          <w:rFonts w:ascii="Times New Roman" w:hAnsi="Times New Roman" w:eastAsia="楷体_GB2312"/>
          <w:kern w:val="0"/>
          <w:sz w:val="32"/>
          <w:szCs w:val="32"/>
        </w:rPr>
      </w:pPr>
      <w:r>
        <w:rPr>
          <w:rFonts w:ascii="Times New Roman" w:hAnsi="Times New Roman" w:eastAsia="楷体_GB2312"/>
          <w:kern w:val="0"/>
          <w:sz w:val="32"/>
          <w:szCs w:val="32"/>
        </w:rPr>
        <w:t>（三）数据管理。</w:t>
      </w:r>
    </w:p>
    <w:p w14:paraId="4CC713BE">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
          <w:kern w:val="0"/>
          <w:sz w:val="32"/>
          <w:szCs w:val="32"/>
        </w:rPr>
        <w:t>监测数据由旗疾控中心及时录入到全国地方病防治综合管理系统中。</w:t>
      </w:r>
    </w:p>
    <w:p w14:paraId="0F9515D2">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四、职责与分工</w:t>
      </w:r>
    </w:p>
    <w:p w14:paraId="568643C0">
      <w:pPr>
        <w:pStyle w:val="8"/>
        <w:keepNext w:val="0"/>
        <w:keepLines w:val="0"/>
        <w:pageBreakBefore w:val="0"/>
        <w:widowControl w:val="0"/>
        <w:kinsoku/>
        <w:wordWrap w:val="0"/>
        <w:overflowPunct/>
        <w:topLinePunct w:val="0"/>
        <w:bidi w:val="0"/>
        <w:spacing w:line="560" w:lineRule="exact"/>
        <w:ind w:firstLine="640" w:firstLineChars="200"/>
        <w:jc w:val="both"/>
        <w:textAlignment w:val="auto"/>
        <w:rPr>
          <w:rFonts w:ascii="Times New Roman" w:eastAsia="楷体_GB2312" w:cs="Times New Roman"/>
          <w:color w:val="auto"/>
          <w:sz w:val="32"/>
          <w:szCs w:val="32"/>
        </w:rPr>
      </w:pPr>
      <w:r>
        <w:rPr>
          <w:rFonts w:ascii="Times New Roman" w:eastAsia="楷体_GB2312" w:cs="Times New Roman"/>
          <w:color w:val="auto"/>
          <w:sz w:val="32"/>
          <w:szCs w:val="32"/>
        </w:rPr>
        <w:t>（一）卫生健康行政部门</w:t>
      </w:r>
    </w:p>
    <w:p w14:paraId="3AAF4BEC">
      <w:pPr>
        <w:keepNext w:val="0"/>
        <w:keepLines w:val="0"/>
        <w:pageBreakBefore w:val="0"/>
        <w:widowControl w:val="0"/>
        <w:kinsoku/>
        <w:wordWrap w:val="0"/>
        <w:overflowPunct/>
        <w:topLinePunct w:val="0"/>
        <w:bidi w:val="0"/>
        <w:spacing w:line="560" w:lineRule="exact"/>
        <w:ind w:firstLine="640" w:firstLineChars="200"/>
        <w:jc w:val="left"/>
        <w:textAlignment w:val="auto"/>
        <w:outlineLvl w:val="0"/>
        <w:rPr>
          <w:rFonts w:ascii="Times New Roman" w:hAnsi="Times New Roman" w:eastAsia="仿宋_GB2312"/>
          <w:sz w:val="32"/>
          <w:szCs w:val="32"/>
        </w:rPr>
      </w:pPr>
      <w:r>
        <w:rPr>
          <w:rFonts w:ascii="Times New Roman" w:hAnsi="Times New Roman" w:eastAsia="仿宋_GB2312"/>
          <w:kern w:val="0"/>
          <w:sz w:val="32"/>
          <w:szCs w:val="32"/>
        </w:rPr>
        <w:t>旗卫生健康部门负责组织实施监测工作；向旗人民政府和相关部门通报监测信息。</w:t>
      </w:r>
    </w:p>
    <w:p w14:paraId="32AC6424">
      <w:pPr>
        <w:pStyle w:val="8"/>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eastAsia="楷体_GB2312" w:cs="Times New Roman"/>
          <w:color w:val="auto"/>
          <w:sz w:val="32"/>
          <w:szCs w:val="32"/>
        </w:rPr>
      </w:pPr>
      <w:r>
        <w:rPr>
          <w:rFonts w:ascii="Times New Roman" w:eastAsia="楷体_GB2312" w:cs="Times New Roman"/>
          <w:color w:val="auto"/>
          <w:sz w:val="32"/>
          <w:szCs w:val="32"/>
        </w:rPr>
        <w:t>（二）疾病预防控制机构</w:t>
      </w:r>
    </w:p>
    <w:p w14:paraId="504E4F29">
      <w:pPr>
        <w:keepNext w:val="0"/>
        <w:keepLines w:val="0"/>
        <w:pageBreakBefore w:val="0"/>
        <w:widowControl w:val="0"/>
        <w:kinsoku/>
        <w:wordWrap w:val="0"/>
        <w:overflowPunct/>
        <w:topLinePunct w:val="0"/>
        <w:bidi w:val="0"/>
        <w:spacing w:line="560" w:lineRule="exact"/>
        <w:ind w:firstLine="640" w:firstLineChars="200"/>
        <w:jc w:val="left"/>
        <w:textAlignment w:val="auto"/>
        <w:outlineLvl w:val="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bCs/>
          <w:sz w:val="32"/>
          <w:szCs w:val="32"/>
        </w:rPr>
        <w:t>负责指导、培训各苏木镇完成辖区生活饮用水、村民尿的样本的采集等相关工作。</w:t>
      </w:r>
    </w:p>
    <w:p w14:paraId="33777B78">
      <w:pPr>
        <w:keepNext w:val="0"/>
        <w:keepLines w:val="0"/>
        <w:pageBreakBefore w:val="0"/>
        <w:widowControl w:val="0"/>
        <w:kinsoku/>
        <w:wordWrap w:val="0"/>
        <w:overflowPunct/>
        <w:topLinePunct w:val="0"/>
        <w:bidi w:val="0"/>
        <w:spacing w:line="560" w:lineRule="exact"/>
        <w:ind w:firstLine="640" w:firstLineChars="200"/>
        <w:jc w:val="left"/>
        <w:textAlignment w:val="auto"/>
        <w:outlineLvl w:val="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负责我旗监测数据的收集、录入、分析、报送。</w:t>
      </w:r>
    </w:p>
    <w:p w14:paraId="435ACB88">
      <w:pPr>
        <w:keepNext w:val="0"/>
        <w:keepLines w:val="0"/>
        <w:pageBreakBefore w:val="0"/>
        <w:widowControl w:val="0"/>
        <w:kinsoku/>
        <w:wordWrap w:val="0"/>
        <w:overflowPunct/>
        <w:topLinePunct w:val="0"/>
        <w:bidi w:val="0"/>
        <w:spacing w:line="560" w:lineRule="exact"/>
        <w:ind w:firstLine="640" w:firstLineChars="200"/>
        <w:jc w:val="left"/>
        <w:textAlignment w:val="auto"/>
        <w:outlineLvl w:val="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负责我旗饮水型地方性氟中毒健康教育组织实施工作。</w:t>
      </w:r>
    </w:p>
    <w:p w14:paraId="38072828">
      <w:pPr>
        <w:pStyle w:val="8"/>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eastAsia="楷体_GB2312" w:cs="Times New Roman"/>
          <w:color w:val="auto"/>
          <w:sz w:val="32"/>
          <w:szCs w:val="32"/>
        </w:rPr>
      </w:pPr>
      <w:r>
        <w:rPr>
          <w:rFonts w:ascii="Times New Roman" w:eastAsia="楷体_GB2312" w:cs="Times New Roman"/>
          <w:color w:val="auto"/>
          <w:sz w:val="32"/>
          <w:szCs w:val="32"/>
        </w:rPr>
        <w:t>（三）各苏木镇人民政府</w:t>
      </w:r>
    </w:p>
    <w:p w14:paraId="64F06B5E">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负责各辖区水</w:t>
      </w:r>
      <w:r>
        <w:rPr>
          <w:rFonts w:ascii="Times New Roman" w:hAnsi="Times New Roman" w:eastAsia="仿宋_GB2312"/>
          <w:kern w:val="0"/>
          <w:sz w:val="32"/>
          <w:szCs w:val="32"/>
        </w:rPr>
        <w:t>氟</w:t>
      </w:r>
      <w:r>
        <w:rPr>
          <w:rFonts w:ascii="Times New Roman" w:hAnsi="Times New Roman" w:eastAsia="仿宋_GB2312"/>
          <w:sz w:val="32"/>
          <w:szCs w:val="32"/>
        </w:rPr>
        <w:t>和尿</w:t>
      </w:r>
      <w:r>
        <w:rPr>
          <w:rFonts w:ascii="Times New Roman" w:hAnsi="Times New Roman" w:eastAsia="仿宋_GB2312"/>
          <w:kern w:val="0"/>
          <w:sz w:val="32"/>
          <w:szCs w:val="32"/>
        </w:rPr>
        <w:t>氟样品采集工作。</w:t>
      </w:r>
    </w:p>
    <w:p w14:paraId="072F88A2">
      <w:pPr>
        <w:pStyle w:val="8"/>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eastAsia="楷体_GB2312" w:cs="Times New Roman"/>
          <w:color w:val="auto"/>
          <w:sz w:val="32"/>
          <w:szCs w:val="32"/>
        </w:rPr>
      </w:pPr>
      <w:r>
        <w:rPr>
          <w:rFonts w:ascii="Times New Roman" w:eastAsia="楷体_GB2312" w:cs="Times New Roman"/>
          <w:color w:val="auto"/>
          <w:sz w:val="32"/>
          <w:szCs w:val="32"/>
        </w:rPr>
        <w:t>（四）各级医疗卫生机构</w:t>
      </w:r>
    </w:p>
    <w:p w14:paraId="40D1B45E">
      <w:pPr>
        <w:pStyle w:val="3"/>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旗人民医院负责氟骨症患者的随访管理及治疗。各基层医疗卫生机构负责服务半径内监测村（社）的沟通协调，组织监测对象接受检查；收集、管理、上报砷中毒患者信息；协助采集监测样品和录入监测数据。</w:t>
      </w:r>
    </w:p>
    <w:p w14:paraId="7E5CB58D">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黑体"/>
          <w:bCs/>
          <w:sz w:val="32"/>
          <w:szCs w:val="32"/>
        </w:rPr>
      </w:pPr>
      <w:r>
        <w:rPr>
          <w:rFonts w:ascii="Times New Roman" w:hAnsi="Times New Roman" w:eastAsia="黑体"/>
          <w:bCs/>
          <w:sz w:val="32"/>
          <w:szCs w:val="32"/>
        </w:rPr>
        <w:t>五、报告与反馈</w:t>
      </w:r>
    </w:p>
    <w:p w14:paraId="199ED43A">
      <w:pPr>
        <w:pStyle w:val="3"/>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月25日前完成现场样本采集工作，9月30日前完成监测数据的收集、汇总、分析，将所形成的监测报告报送旗卫生行政部门和市级疾病预防控制中心；旗卫生行政部门及时向旗相关部门通报监测信息，并报送旗人民政府。</w:t>
      </w:r>
    </w:p>
    <w:p w14:paraId="12A89378">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黑体"/>
          <w:bCs/>
          <w:sz w:val="32"/>
          <w:szCs w:val="32"/>
        </w:rPr>
      </w:pPr>
      <w:r>
        <w:rPr>
          <w:rFonts w:ascii="Times New Roman" w:hAnsi="Times New Roman" w:eastAsia="黑体"/>
          <w:bCs/>
          <w:sz w:val="32"/>
          <w:szCs w:val="32"/>
        </w:rPr>
        <w:t xml:space="preserve">六、信息利用 </w:t>
      </w:r>
    </w:p>
    <w:p w14:paraId="35C3F194">
      <w:pPr>
        <w:pStyle w:val="3"/>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旗卫生健康部门要与有关部门通力协作，齐抓共管，努力做到监测有序、信息顺畅、响应及时、措施有力，有效落实以改水为主的综合防治措施，确保改水降氟工程持续有效运转。</w:t>
      </w:r>
    </w:p>
    <w:p w14:paraId="5F488814">
      <w:pPr>
        <w:pStyle w:val="3"/>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卫生健康部门要及时将监测信息通报有关部门，提高信息利用的时效性和有效性。</w:t>
      </w:r>
    </w:p>
    <w:p w14:paraId="40B5108D">
      <w:pPr>
        <w:pStyle w:val="3"/>
        <w:keepNext w:val="0"/>
        <w:keepLines w:val="0"/>
        <w:pageBreakBefore w:val="0"/>
        <w:widowControl w:val="0"/>
        <w:kinsoku/>
        <w:wordWrap w:val="0"/>
        <w:overflowPunct/>
        <w:topLinePunct w:val="0"/>
        <w:bidi w:val="0"/>
        <w:spacing w:line="560" w:lineRule="exact"/>
        <w:textAlignment w:val="auto"/>
        <w:rPr>
          <w:rFonts w:ascii="Times New Roman" w:hAnsi="Times New Roman" w:eastAsia="仿宋"/>
          <w:kern w:val="0"/>
          <w:sz w:val="32"/>
          <w:szCs w:val="32"/>
        </w:rPr>
      </w:pPr>
    </w:p>
    <w:p w14:paraId="4EB7CD26">
      <w:pPr>
        <w:pStyle w:val="3"/>
        <w:keepNext w:val="0"/>
        <w:keepLines w:val="0"/>
        <w:pageBreakBefore w:val="0"/>
        <w:widowControl w:val="0"/>
        <w:kinsoku/>
        <w:wordWrap w:val="0"/>
        <w:overflowPunct/>
        <w:topLinePunct w:val="0"/>
        <w:bidi w:val="0"/>
        <w:spacing w:line="560" w:lineRule="exact"/>
        <w:textAlignment w:val="auto"/>
        <w:rPr>
          <w:rFonts w:ascii="Times New Roman" w:hAnsi="Times New Roman" w:eastAsia="仿宋"/>
          <w:kern w:val="0"/>
          <w:sz w:val="32"/>
          <w:szCs w:val="32"/>
        </w:rPr>
      </w:pPr>
    </w:p>
    <w:p w14:paraId="7D02015E">
      <w:pPr>
        <w:keepNext w:val="0"/>
        <w:keepLines w:val="0"/>
        <w:pageBreakBefore w:val="0"/>
        <w:widowControl w:val="0"/>
        <w:kinsoku/>
        <w:wordWrap w:val="0"/>
        <w:overflowPunct/>
        <w:topLinePunct w:val="0"/>
        <w:bidi w:val="0"/>
        <w:adjustRightInd w:val="0"/>
        <w:snapToGrid w:val="0"/>
        <w:spacing w:line="560" w:lineRule="exact"/>
        <w:ind w:firstLine="627" w:firstLineChars="196"/>
        <w:textAlignment w:val="auto"/>
        <w:rPr>
          <w:rFonts w:ascii="Times New Roman" w:hAnsi="Times New Roman" w:eastAsia="仿宋"/>
          <w:kern w:val="0"/>
          <w:sz w:val="32"/>
          <w:szCs w:val="32"/>
        </w:rPr>
      </w:pPr>
      <w:r>
        <w:rPr>
          <w:rFonts w:ascii="Times New Roman" w:hAnsi="Times New Roman" w:eastAsia="仿宋"/>
          <w:kern w:val="0"/>
          <w:sz w:val="32"/>
          <w:szCs w:val="32"/>
        </w:rPr>
        <w:t>附件：</w:t>
      </w:r>
      <w:r>
        <w:rPr>
          <w:rFonts w:hint="eastAsia" w:ascii="Times New Roman" w:hAnsi="Times New Roman" w:eastAsia="仿宋"/>
          <w:kern w:val="0"/>
          <w:sz w:val="32"/>
          <w:szCs w:val="32"/>
        </w:rPr>
        <w:t>1.监测调查指标计算公式</w:t>
      </w:r>
    </w:p>
    <w:p w14:paraId="0273EA1B">
      <w:pPr>
        <w:keepNext w:val="0"/>
        <w:keepLines w:val="0"/>
        <w:pageBreakBefore w:val="0"/>
        <w:widowControl w:val="0"/>
        <w:kinsoku/>
        <w:wordWrap w:val="0"/>
        <w:overflowPunct/>
        <w:topLinePunct w:val="0"/>
        <w:bidi w:val="0"/>
        <w:adjustRightInd w:val="0"/>
        <w:snapToGrid w:val="0"/>
        <w:spacing w:line="560" w:lineRule="exact"/>
        <w:ind w:firstLine="1587" w:firstLineChars="496"/>
        <w:textAlignment w:val="auto"/>
        <w:rPr>
          <w:rFonts w:ascii="Times New Roman" w:hAnsi="Times New Roman" w:eastAsia="仿宋"/>
          <w:kern w:val="0"/>
          <w:sz w:val="32"/>
          <w:szCs w:val="32"/>
        </w:rPr>
      </w:pPr>
      <w:r>
        <w:rPr>
          <w:rFonts w:hint="eastAsia" w:ascii="Times New Roman" w:hAnsi="Times New Roman" w:eastAsia="仿宋"/>
          <w:kern w:val="0"/>
          <w:sz w:val="32"/>
          <w:szCs w:val="32"/>
        </w:rPr>
        <w:t>2</w:t>
      </w:r>
      <w:r>
        <w:rPr>
          <w:rFonts w:ascii="Times New Roman" w:hAnsi="Times New Roman" w:eastAsia="仿宋"/>
          <w:kern w:val="0"/>
          <w:sz w:val="32"/>
          <w:szCs w:val="32"/>
        </w:rPr>
        <w:t>.一般情况现场调查表</w:t>
      </w:r>
    </w:p>
    <w:p w14:paraId="038A5D96">
      <w:pPr>
        <w:keepNext w:val="0"/>
        <w:keepLines w:val="0"/>
        <w:pageBreakBefore w:val="0"/>
        <w:widowControl w:val="0"/>
        <w:kinsoku/>
        <w:wordWrap w:val="0"/>
        <w:overflowPunct/>
        <w:topLinePunct w:val="0"/>
        <w:bidi w:val="0"/>
        <w:adjustRightInd w:val="0"/>
        <w:snapToGrid w:val="0"/>
        <w:spacing w:line="560" w:lineRule="exact"/>
        <w:ind w:firstLine="1587" w:firstLineChars="496"/>
        <w:textAlignment w:val="auto"/>
        <w:rPr>
          <w:rFonts w:ascii="Times New Roman" w:hAnsi="Times New Roman" w:eastAsia="仿宋"/>
          <w:kern w:val="0"/>
          <w:sz w:val="32"/>
          <w:szCs w:val="32"/>
        </w:rPr>
      </w:pPr>
      <w:r>
        <w:rPr>
          <w:rFonts w:hint="eastAsia" w:ascii="Times New Roman" w:hAnsi="Times New Roman" w:eastAsia="仿宋"/>
          <w:kern w:val="0"/>
          <w:sz w:val="32"/>
          <w:szCs w:val="32"/>
        </w:rPr>
        <w:t>3</w:t>
      </w:r>
      <w:r>
        <w:rPr>
          <w:rFonts w:ascii="Times New Roman" w:hAnsi="Times New Roman" w:eastAsia="仿宋"/>
          <w:kern w:val="0"/>
          <w:sz w:val="32"/>
          <w:szCs w:val="32"/>
        </w:rPr>
        <w:t>.改水工程、已改水村调查表</w:t>
      </w:r>
    </w:p>
    <w:p w14:paraId="70A0C3A0">
      <w:pPr>
        <w:keepNext w:val="0"/>
        <w:keepLines w:val="0"/>
        <w:pageBreakBefore w:val="0"/>
        <w:widowControl w:val="0"/>
        <w:kinsoku/>
        <w:wordWrap w:val="0"/>
        <w:overflowPunct/>
        <w:topLinePunct w:val="0"/>
        <w:bidi w:val="0"/>
        <w:adjustRightInd w:val="0"/>
        <w:snapToGrid w:val="0"/>
        <w:spacing w:line="560" w:lineRule="exact"/>
        <w:ind w:firstLine="1587" w:firstLineChars="496"/>
        <w:textAlignment w:val="auto"/>
        <w:rPr>
          <w:rFonts w:ascii="Times New Roman" w:hAnsi="Times New Roman" w:eastAsia="仿宋"/>
          <w:kern w:val="0"/>
          <w:sz w:val="32"/>
          <w:szCs w:val="32"/>
        </w:rPr>
      </w:pPr>
      <w:r>
        <w:rPr>
          <w:rFonts w:hint="eastAsia" w:ascii="Times New Roman" w:hAnsi="Times New Roman" w:eastAsia="仿宋"/>
          <w:kern w:val="0"/>
          <w:sz w:val="32"/>
          <w:szCs w:val="32"/>
        </w:rPr>
        <w:t>4</w:t>
      </w:r>
      <w:r>
        <w:rPr>
          <w:rFonts w:ascii="Times New Roman" w:hAnsi="Times New Roman" w:eastAsia="仿宋"/>
          <w:kern w:val="0"/>
          <w:sz w:val="32"/>
          <w:szCs w:val="32"/>
        </w:rPr>
        <w:t>.未改水村及分散式改水调查表</w:t>
      </w:r>
    </w:p>
    <w:p w14:paraId="120D03CD">
      <w:pPr>
        <w:keepNext w:val="0"/>
        <w:keepLines w:val="0"/>
        <w:pageBreakBefore w:val="0"/>
        <w:widowControl w:val="0"/>
        <w:kinsoku/>
        <w:wordWrap w:val="0"/>
        <w:overflowPunct/>
        <w:topLinePunct w:val="0"/>
        <w:bidi w:val="0"/>
        <w:adjustRightInd w:val="0"/>
        <w:snapToGrid w:val="0"/>
        <w:spacing w:line="560" w:lineRule="exact"/>
        <w:ind w:left="1925" w:leftChars="760" w:hanging="329" w:hangingChars="103"/>
        <w:textAlignment w:val="auto"/>
        <w:rPr>
          <w:rFonts w:ascii="Times New Roman" w:hAnsi="Times New Roman" w:eastAsia="仿宋"/>
          <w:kern w:val="0"/>
          <w:sz w:val="32"/>
          <w:szCs w:val="32"/>
        </w:rPr>
      </w:pPr>
      <w:r>
        <w:rPr>
          <w:rFonts w:hint="eastAsia" w:ascii="Times New Roman" w:hAnsi="Times New Roman" w:eastAsia="仿宋"/>
          <w:kern w:val="0"/>
          <w:sz w:val="32"/>
          <w:szCs w:val="32"/>
        </w:rPr>
        <w:t>5</w:t>
      </w:r>
      <w:r>
        <w:rPr>
          <w:rFonts w:ascii="Times New Roman" w:hAnsi="Times New Roman" w:eastAsia="仿宋"/>
          <w:kern w:val="0"/>
          <w:sz w:val="32"/>
          <w:szCs w:val="32"/>
        </w:rPr>
        <w:t>.理化改水现场调查表</w:t>
      </w:r>
    </w:p>
    <w:p w14:paraId="50C91C08">
      <w:pPr>
        <w:keepNext w:val="0"/>
        <w:keepLines w:val="0"/>
        <w:pageBreakBefore w:val="0"/>
        <w:widowControl w:val="0"/>
        <w:kinsoku/>
        <w:wordWrap w:val="0"/>
        <w:overflowPunct/>
        <w:topLinePunct w:val="0"/>
        <w:bidi w:val="0"/>
        <w:adjustRightInd w:val="0"/>
        <w:snapToGrid w:val="0"/>
        <w:spacing w:line="560" w:lineRule="exact"/>
        <w:ind w:left="1925" w:leftChars="760" w:hanging="329" w:hangingChars="103"/>
        <w:textAlignment w:val="auto"/>
        <w:rPr>
          <w:rFonts w:ascii="Times New Roman" w:hAnsi="Times New Roman" w:eastAsia="仿宋"/>
          <w:kern w:val="0"/>
          <w:sz w:val="32"/>
          <w:szCs w:val="32"/>
        </w:rPr>
      </w:pPr>
      <w:r>
        <w:rPr>
          <w:rFonts w:hint="eastAsia" w:ascii="Times New Roman" w:hAnsi="Times New Roman" w:eastAsia="仿宋"/>
          <w:kern w:val="0"/>
          <w:sz w:val="32"/>
          <w:szCs w:val="32"/>
        </w:rPr>
        <w:t>6</w:t>
      </w:r>
      <w:r>
        <w:rPr>
          <w:rFonts w:ascii="Times New Roman" w:hAnsi="Times New Roman" w:eastAsia="仿宋"/>
          <w:kern w:val="0"/>
          <w:sz w:val="32"/>
          <w:szCs w:val="32"/>
        </w:rPr>
        <w:t>.8</w:t>
      </w:r>
      <w:r>
        <w:rPr>
          <w:rFonts w:hint="eastAsia" w:ascii="Times New Roman" w:hAnsi="Times New Roman" w:eastAsia="仿宋"/>
          <w:kern w:val="0"/>
          <w:sz w:val="32"/>
          <w:szCs w:val="32"/>
        </w:rPr>
        <w:t>—</w:t>
      </w:r>
      <w:r>
        <w:rPr>
          <w:rFonts w:ascii="Times New Roman" w:hAnsi="Times New Roman" w:eastAsia="仿宋"/>
          <w:kern w:val="0"/>
          <w:sz w:val="32"/>
          <w:szCs w:val="32"/>
        </w:rPr>
        <w:t>12岁儿童氟斑牙患病情况现场调查表</w:t>
      </w:r>
    </w:p>
    <w:p w14:paraId="1BE28CEA">
      <w:pPr>
        <w:keepNext w:val="0"/>
        <w:keepLines w:val="0"/>
        <w:pageBreakBefore w:val="0"/>
        <w:widowControl w:val="0"/>
        <w:kinsoku/>
        <w:wordWrap w:val="0"/>
        <w:overflowPunct/>
        <w:topLinePunct w:val="0"/>
        <w:bidi w:val="0"/>
        <w:adjustRightInd w:val="0"/>
        <w:snapToGrid w:val="0"/>
        <w:spacing w:line="560" w:lineRule="exact"/>
        <w:ind w:firstLine="1587" w:firstLineChars="496"/>
        <w:textAlignment w:val="auto"/>
        <w:rPr>
          <w:rFonts w:ascii="Times New Roman" w:hAnsi="Times New Roman" w:eastAsia="仿宋"/>
          <w:kern w:val="0"/>
          <w:sz w:val="32"/>
          <w:szCs w:val="32"/>
        </w:rPr>
      </w:pPr>
      <w:r>
        <w:rPr>
          <w:rFonts w:hint="eastAsia" w:ascii="Times New Roman" w:hAnsi="Times New Roman" w:eastAsia="仿宋"/>
          <w:kern w:val="0"/>
          <w:sz w:val="32"/>
          <w:szCs w:val="32"/>
        </w:rPr>
        <w:t>7</w:t>
      </w:r>
      <w:r>
        <w:rPr>
          <w:rFonts w:ascii="Times New Roman" w:hAnsi="Times New Roman" w:eastAsia="仿宋"/>
          <w:kern w:val="0"/>
          <w:sz w:val="32"/>
          <w:szCs w:val="32"/>
        </w:rPr>
        <w:t>.成人氟骨症检查和X线拍片现场登记表</w:t>
      </w:r>
    </w:p>
    <w:p w14:paraId="018D9995">
      <w:pPr>
        <w:keepNext w:val="0"/>
        <w:keepLines w:val="0"/>
        <w:pageBreakBefore w:val="0"/>
        <w:widowControl w:val="0"/>
        <w:kinsoku/>
        <w:wordWrap w:val="0"/>
        <w:overflowPunct/>
        <w:topLinePunct w:val="0"/>
        <w:bidi w:val="0"/>
        <w:adjustRightInd w:val="0"/>
        <w:snapToGrid w:val="0"/>
        <w:spacing w:line="560" w:lineRule="exact"/>
        <w:ind w:firstLine="1587" w:firstLineChars="496"/>
        <w:textAlignment w:val="auto"/>
        <w:rPr>
          <w:rFonts w:ascii="Times New Roman" w:hAnsi="Times New Roman" w:eastAsia="仿宋"/>
          <w:kern w:val="0"/>
          <w:sz w:val="32"/>
          <w:szCs w:val="32"/>
        </w:rPr>
      </w:pPr>
      <w:r>
        <w:rPr>
          <w:rFonts w:hint="eastAsia" w:ascii="Times New Roman" w:hAnsi="Times New Roman" w:eastAsia="仿宋"/>
          <w:kern w:val="0"/>
          <w:sz w:val="32"/>
          <w:szCs w:val="32"/>
        </w:rPr>
        <w:t>8</w:t>
      </w:r>
      <w:r>
        <w:rPr>
          <w:rFonts w:ascii="Times New Roman" w:hAnsi="Times New Roman" w:eastAsia="仿宋"/>
          <w:kern w:val="0"/>
          <w:sz w:val="32"/>
          <w:szCs w:val="32"/>
        </w:rPr>
        <w:t>.控制达标情况</w:t>
      </w:r>
    </w:p>
    <w:p w14:paraId="47C3C00F">
      <w:pPr>
        <w:keepNext w:val="0"/>
        <w:keepLines w:val="0"/>
        <w:pageBreakBefore w:val="0"/>
        <w:widowControl w:val="0"/>
        <w:kinsoku/>
        <w:wordWrap w:val="0"/>
        <w:overflowPunct/>
        <w:topLinePunct w:val="0"/>
        <w:bidi w:val="0"/>
        <w:adjustRightInd w:val="0"/>
        <w:snapToGrid w:val="0"/>
        <w:spacing w:line="560" w:lineRule="exact"/>
        <w:ind w:firstLine="1587" w:firstLineChars="496"/>
        <w:textAlignment w:val="auto"/>
        <w:rPr>
          <w:rFonts w:ascii="Times New Roman" w:hAnsi="Times New Roman" w:eastAsia="仿宋"/>
          <w:kern w:val="0"/>
          <w:sz w:val="32"/>
          <w:szCs w:val="32"/>
        </w:rPr>
      </w:pPr>
      <w:r>
        <w:rPr>
          <w:rFonts w:hint="eastAsia" w:ascii="Times New Roman" w:hAnsi="Times New Roman" w:eastAsia="仿宋"/>
          <w:kern w:val="0"/>
          <w:sz w:val="32"/>
          <w:szCs w:val="32"/>
        </w:rPr>
        <w:t>9.</w:t>
      </w:r>
      <w:r>
        <w:rPr>
          <w:rFonts w:ascii="Times New Roman" w:hAnsi="Times New Roman" w:eastAsia="仿宋"/>
          <w:kern w:val="0"/>
          <w:sz w:val="32"/>
          <w:szCs w:val="32"/>
        </w:rPr>
        <w:t>氟骨症现症病人随访登记表</w:t>
      </w:r>
    </w:p>
    <w:p w14:paraId="11AD778E">
      <w:pPr>
        <w:keepNext w:val="0"/>
        <w:keepLines w:val="0"/>
        <w:pageBreakBefore w:val="0"/>
        <w:widowControl w:val="0"/>
        <w:kinsoku/>
        <w:wordWrap w:val="0"/>
        <w:overflowPunct/>
        <w:topLinePunct w:val="0"/>
        <w:bidi w:val="0"/>
        <w:adjustRightInd w:val="0"/>
        <w:snapToGrid w:val="0"/>
        <w:spacing w:line="560" w:lineRule="exact"/>
        <w:ind w:firstLine="1587" w:firstLineChars="496"/>
        <w:textAlignment w:val="auto"/>
        <w:rPr>
          <w:rFonts w:ascii="Times New Roman" w:hAnsi="Times New Roman" w:eastAsia="仿宋"/>
          <w:kern w:val="0"/>
          <w:sz w:val="32"/>
          <w:szCs w:val="32"/>
        </w:rPr>
      </w:pPr>
    </w:p>
    <w:p w14:paraId="187FED7D">
      <w:pPr>
        <w:keepNext w:val="0"/>
        <w:keepLines w:val="0"/>
        <w:pageBreakBefore w:val="0"/>
        <w:widowControl w:val="0"/>
        <w:kinsoku/>
        <w:wordWrap w:val="0"/>
        <w:overflowPunct/>
        <w:topLinePunct w:val="0"/>
        <w:bidi w:val="0"/>
        <w:adjustRightInd w:val="0"/>
        <w:snapToGrid w:val="0"/>
        <w:spacing w:line="560" w:lineRule="exact"/>
        <w:ind w:firstLine="1587" w:firstLineChars="496"/>
        <w:textAlignment w:val="auto"/>
        <w:rPr>
          <w:rFonts w:ascii="Times New Roman" w:hAnsi="Times New Roman" w:eastAsia="仿宋"/>
          <w:kern w:val="0"/>
          <w:sz w:val="32"/>
          <w:szCs w:val="32"/>
        </w:rPr>
      </w:pPr>
    </w:p>
    <w:p w14:paraId="7C95A69F">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达拉特旗生活饮用水水碘含量调查方案</w:t>
      </w:r>
    </w:p>
    <w:p w14:paraId="67147499">
      <w:pPr>
        <w:keepNext w:val="0"/>
        <w:keepLines w:val="0"/>
        <w:pageBreakBefore w:val="0"/>
        <w:widowControl w:val="0"/>
        <w:kinsoku/>
        <w:wordWrap w:val="0"/>
        <w:overflowPunct/>
        <w:topLinePunct w:val="0"/>
        <w:bidi w:val="0"/>
        <w:spacing w:line="560" w:lineRule="exact"/>
        <w:jc w:val="center"/>
        <w:textAlignment w:val="auto"/>
        <w:rPr>
          <w:rFonts w:ascii="Times New Roman" w:hAnsi="Times New Roman" w:eastAsia="方正小标宋简体"/>
          <w:sz w:val="44"/>
          <w:szCs w:val="44"/>
        </w:rPr>
      </w:pPr>
    </w:p>
    <w:p w14:paraId="4324FA9D">
      <w:pPr>
        <w:keepNext w:val="0"/>
        <w:keepLines w:val="0"/>
        <w:pageBreakBefore w:val="0"/>
        <w:widowControl w:val="0"/>
        <w:kinsoku/>
        <w:wordWrap w:val="0"/>
        <w:overflowPunct/>
        <w:topLinePunct w:val="0"/>
        <w:autoSpaceDE w:val="0"/>
        <w:autoSpaceDN w:val="0"/>
        <w:bidi w:val="0"/>
        <w:adjustRightInd w:val="0"/>
        <w:spacing w:line="560" w:lineRule="exact"/>
        <w:ind w:right="-69" w:firstLine="614" w:firstLineChars="192"/>
        <w:textAlignment w:val="auto"/>
        <w:rPr>
          <w:rFonts w:ascii="Times New Roman" w:hAnsi="Times New Roman"/>
        </w:rPr>
      </w:pPr>
      <w:r>
        <w:rPr>
          <w:rFonts w:ascii="Times New Roman" w:hAnsi="Times New Roman" w:eastAsia="仿宋_GB2312"/>
          <w:sz w:val="32"/>
          <w:szCs w:val="32"/>
        </w:rPr>
        <w:t>为查明我旗水碘分布情况，进而落实因地制宜、分类指导、差异化干预、科学补碘的防治策略，实施地方病巩固提升行动，按照《健康中国行动（2019-2030年）》《内蒙古自治区关于开展2023-2024年生活饮用水水碘含量调查工作的通知》（内综疾字〔2023〕327号）的要求，我旗将以行政村为单位，开展生活饮用水水碘含量调查。现将有关事项通知如下：</w:t>
      </w:r>
    </w:p>
    <w:p w14:paraId="28E9C3A8">
      <w:pPr>
        <w:pStyle w:val="11"/>
        <w:keepNext w:val="0"/>
        <w:keepLines w:val="0"/>
        <w:pageBreakBefore w:val="0"/>
        <w:widowControl w:val="0"/>
        <w:kinsoku/>
        <w:wordWrap w:val="0"/>
        <w:overflowPunct/>
        <w:topLinePunct w:val="0"/>
        <w:bidi w:val="0"/>
        <w:spacing w:after="0"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一、</w:t>
      </w:r>
      <w:r>
        <w:rPr>
          <w:rFonts w:ascii="Times New Roman" w:hAnsi="Times New Roman" w:eastAsia="黑体"/>
          <w:sz w:val="32"/>
          <w:szCs w:val="32"/>
        </w:rPr>
        <w:t>目的</w:t>
      </w:r>
    </w:p>
    <w:p w14:paraId="01BDB75F">
      <w:pPr>
        <w:pStyle w:val="11"/>
        <w:keepNext w:val="0"/>
        <w:keepLines w:val="0"/>
        <w:pageBreakBefore w:val="0"/>
        <w:widowControl w:val="0"/>
        <w:kinsoku/>
        <w:wordWrap w:val="0"/>
        <w:overflowPunct/>
        <w:topLinePunct w:val="0"/>
        <w:bidi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调查我旗生活饮用水水碘含量，为采取针对性防治措施和科学调整干预策略提供依据。</w:t>
      </w:r>
    </w:p>
    <w:p w14:paraId="20021E80">
      <w:pPr>
        <w:pStyle w:val="11"/>
        <w:keepNext w:val="0"/>
        <w:keepLines w:val="0"/>
        <w:pageBreakBefore w:val="0"/>
        <w:widowControl w:val="0"/>
        <w:kinsoku/>
        <w:wordWrap w:val="0"/>
        <w:overflowPunct/>
        <w:topLinePunct w:val="0"/>
        <w:bidi w:val="0"/>
        <w:spacing w:after="0"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二、内容与方法</w:t>
      </w:r>
    </w:p>
    <w:p w14:paraId="09DE223B">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楷体_GB2312"/>
          <w:sz w:val="32"/>
          <w:szCs w:val="32"/>
        </w:rPr>
        <w:t>（一）调查范围和内容</w:t>
      </w:r>
      <w:r>
        <w:rPr>
          <w:rFonts w:ascii="Times New Roman" w:hAnsi="Times New Roman" w:eastAsia="仿宋_GB2312"/>
          <w:sz w:val="32"/>
          <w:szCs w:val="32"/>
        </w:rPr>
        <w:t>。</w:t>
      </w:r>
    </w:p>
    <w:p w14:paraId="7E57649E">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全旗以行政村（嘎查、居委会）为单位开展调查，调查行政村（嘎查、居委会）生活饮用水水碘含量。</w:t>
      </w:r>
    </w:p>
    <w:p w14:paraId="416CC508">
      <w:pPr>
        <w:pStyle w:val="11"/>
        <w:keepNext w:val="0"/>
        <w:keepLines w:val="0"/>
        <w:pageBreakBefore w:val="0"/>
        <w:widowControl w:val="0"/>
        <w:kinsoku/>
        <w:wordWrap w:val="0"/>
        <w:overflowPunct/>
        <w:topLinePunct w:val="0"/>
        <w:bidi w:val="0"/>
        <w:spacing w:after="0" w:line="560" w:lineRule="exact"/>
        <w:ind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（二）调查方法。</w:t>
      </w:r>
    </w:p>
    <w:p w14:paraId="377B8B53">
      <w:pPr>
        <w:pStyle w:val="11"/>
        <w:keepNext w:val="0"/>
        <w:keepLines w:val="0"/>
        <w:pageBreakBefore w:val="0"/>
        <w:widowControl w:val="0"/>
        <w:kinsoku/>
        <w:wordWrap w:val="0"/>
        <w:overflowPunct/>
        <w:topLinePunct w:val="0"/>
        <w:bidi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如调查行政村（嘎查、居委会）为统一集中供水，调查该供水工程运行情况，采集2份末梢水水样测定水碘含量（计算平均值），同时调查行政村（嘎查、居委会）常住人口数，记录行政村（嘎查、居委会）中心地理位置（经度和纬度）。结果填入附表。</w:t>
      </w:r>
    </w:p>
    <w:p w14:paraId="7078E3B8">
      <w:pPr>
        <w:pStyle w:val="11"/>
        <w:keepNext w:val="0"/>
        <w:keepLines w:val="0"/>
        <w:pageBreakBefore w:val="0"/>
        <w:widowControl w:val="0"/>
        <w:kinsoku/>
        <w:wordWrap w:val="0"/>
        <w:overflowPunct/>
        <w:topLinePunct w:val="0"/>
        <w:bidi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如调查行政村（嘎查、居委会）为分散供水，采用 10% 抽样法，将每个村分成东、西、南、北、中5个片区，在多于50口水井的行政村（嘎查、居委会），从每个方位中各随机抽取10%的井（某方位不足10口井时则抽取饮用人口最多的1口井）；少于50口井的行政村（嘎查、居委会），每个方位各随机抽取1口井；少于5口井的村全部抽取，测定水碘含量，行政村（嘎查、居委会）常住人口数，分散供水方式、井深，行政村（嘎查、居委会）中心地理位置。结果填入附表。</w:t>
      </w:r>
    </w:p>
    <w:p w14:paraId="5D26EFE9">
      <w:pPr>
        <w:pStyle w:val="11"/>
        <w:keepNext w:val="0"/>
        <w:keepLines w:val="0"/>
        <w:pageBreakBefore w:val="0"/>
        <w:widowControl w:val="0"/>
        <w:kinsoku/>
        <w:wordWrap w:val="0"/>
        <w:overflowPunct/>
        <w:topLinePunct w:val="0"/>
        <w:bidi w:val="0"/>
        <w:spacing w:after="0" w:line="560" w:lineRule="exact"/>
        <w:ind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（三）水碘检测方法。</w:t>
      </w:r>
    </w:p>
    <w:p w14:paraId="1FD3F3D7">
      <w:pPr>
        <w:pStyle w:val="11"/>
        <w:keepNext w:val="0"/>
        <w:keepLines w:val="0"/>
        <w:pageBreakBefore w:val="0"/>
        <w:widowControl w:val="0"/>
        <w:kinsoku/>
        <w:wordWrap w:val="0"/>
        <w:overflowPunct/>
        <w:topLinePunct w:val="0"/>
        <w:bidi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采用中国疾病预防控制中心国家碘缺乏病参照实验室推荐的“适合缺碘及高碘地区水碘检测的方法”。</w:t>
      </w:r>
    </w:p>
    <w:p w14:paraId="57915B78">
      <w:pPr>
        <w:pStyle w:val="11"/>
        <w:keepNext w:val="0"/>
        <w:keepLines w:val="0"/>
        <w:pageBreakBefore w:val="0"/>
        <w:widowControl w:val="0"/>
        <w:kinsoku/>
        <w:wordWrap w:val="0"/>
        <w:overflowPunct/>
        <w:topLinePunct w:val="0"/>
        <w:bidi w:val="0"/>
        <w:spacing w:after="0"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三、质量控制</w:t>
      </w:r>
    </w:p>
    <w:p w14:paraId="39589256">
      <w:pPr>
        <w:pStyle w:val="11"/>
        <w:keepNext w:val="0"/>
        <w:keepLines w:val="0"/>
        <w:pageBreakBefore w:val="0"/>
        <w:widowControl w:val="0"/>
        <w:kinsoku/>
        <w:wordWrap w:val="0"/>
        <w:overflowPunct/>
        <w:topLinePunct w:val="0"/>
        <w:bidi w:val="0"/>
        <w:spacing w:after="0" w:line="560" w:lineRule="exact"/>
        <w:ind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（一）人员培训。</w:t>
      </w:r>
    </w:p>
    <w:p w14:paraId="7EAF3EA1">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1．调查方案培训。通过对各级调查相关人员的逐级培训，确保调查方法统一、技术规范和协调有序。</w:t>
      </w:r>
    </w:p>
    <w:p w14:paraId="7C59A4E1">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2．调查技术培训。水碘检测、数据录入技术统一组织培训，培训合格后，方可上岗。</w:t>
      </w:r>
    </w:p>
    <w:p w14:paraId="3368CF76">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楷体_GB2312"/>
          <w:sz w:val="32"/>
          <w:szCs w:val="32"/>
        </w:rPr>
        <w:t>（二）督导</w:t>
      </w:r>
      <w:r>
        <w:rPr>
          <w:rFonts w:ascii="Times New Roman" w:hAnsi="Times New Roman" w:eastAsia="仿宋_GB2312"/>
          <w:sz w:val="32"/>
          <w:szCs w:val="32"/>
        </w:rPr>
        <w:t>。</w:t>
      </w:r>
    </w:p>
    <w:p w14:paraId="1D3AE020">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中心组织相关人员对项目工作督导检查，重点包括是否严格按照方案执行、样本采集、保存和抽样方法是否规范、检测技术是否通过考核、资料收集是否完整可靠、报告与反馈是否及时等。</w:t>
      </w:r>
    </w:p>
    <w:p w14:paraId="10703129">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（三）实验室检测。</w:t>
      </w:r>
    </w:p>
    <w:p w14:paraId="582875F7">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1．承担水碘检测任务的实验室，须经中国疾病预防控制中心国家碘缺乏病参照实验室外质控考核合格后，方可开展实验室检测工作。</w:t>
      </w:r>
    </w:p>
    <w:p w14:paraId="328D78C8">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2．每批样品测定必须同时检测标准物质，进行实验室内部质量控制。</w:t>
      </w:r>
    </w:p>
    <w:p w14:paraId="4CD14E01">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3．对所检测的水样应妥善保存。保留不少于5%的水样送市级复核。</w:t>
      </w:r>
    </w:p>
    <w:p w14:paraId="60FE1A9F">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（四）数据管理。</w:t>
      </w:r>
    </w:p>
    <w:p w14:paraId="12459318">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设专人负责调查信息管理，确保调查数据在收集、管理、分析和上报过程的及时性、准确性和完整性；各种原始资料要及时分类、归档和备份。</w:t>
      </w:r>
    </w:p>
    <w:p w14:paraId="42877E07">
      <w:pPr>
        <w:pStyle w:val="11"/>
        <w:keepNext w:val="0"/>
        <w:keepLines w:val="0"/>
        <w:pageBreakBefore w:val="0"/>
        <w:widowControl w:val="0"/>
        <w:kinsoku/>
        <w:wordWrap w:val="0"/>
        <w:overflowPunct/>
        <w:topLinePunct w:val="0"/>
        <w:bidi w:val="0"/>
        <w:spacing w:after="0"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四、职责与分工</w:t>
      </w:r>
    </w:p>
    <w:p w14:paraId="35F8A961">
      <w:pPr>
        <w:pStyle w:val="8"/>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eastAsia="楷体_GB2312" w:cs="Times New Roman"/>
          <w:color w:val="auto"/>
          <w:sz w:val="32"/>
          <w:szCs w:val="32"/>
        </w:rPr>
      </w:pPr>
      <w:r>
        <w:rPr>
          <w:rFonts w:ascii="Times New Roman" w:eastAsia="楷体_GB2312" w:cs="Times New Roman"/>
          <w:color w:val="auto"/>
          <w:sz w:val="32"/>
          <w:szCs w:val="32"/>
        </w:rPr>
        <w:t>（一）卫生健康行政部门</w:t>
      </w:r>
    </w:p>
    <w:p w14:paraId="0C489688">
      <w:pPr>
        <w:keepNext w:val="0"/>
        <w:keepLines w:val="0"/>
        <w:pageBreakBefore w:val="0"/>
        <w:widowControl w:val="0"/>
        <w:kinsoku/>
        <w:wordWrap w:val="0"/>
        <w:overflowPunct/>
        <w:topLinePunct w:val="0"/>
        <w:bidi w:val="0"/>
        <w:spacing w:line="560" w:lineRule="exact"/>
        <w:ind w:firstLine="640" w:firstLineChars="200"/>
        <w:jc w:val="left"/>
        <w:textAlignment w:val="auto"/>
        <w:outlineLvl w:val="0"/>
        <w:rPr>
          <w:rFonts w:ascii="Times New Roman" w:hAnsi="Times New Roman" w:eastAsia="仿宋_GB2312"/>
          <w:sz w:val="32"/>
          <w:szCs w:val="32"/>
        </w:rPr>
      </w:pPr>
      <w:r>
        <w:rPr>
          <w:rFonts w:ascii="Times New Roman" w:hAnsi="Times New Roman" w:eastAsia="仿宋_GB2312"/>
          <w:kern w:val="0"/>
          <w:sz w:val="32"/>
          <w:szCs w:val="32"/>
        </w:rPr>
        <w:t>旗卫生健康部门负责组织实施监测工作；向旗人民政府和相关部门通报监测信息。</w:t>
      </w:r>
    </w:p>
    <w:p w14:paraId="3EFD13D9">
      <w:pPr>
        <w:pStyle w:val="8"/>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eastAsia="楷体_GB2312" w:cs="Times New Roman"/>
          <w:color w:val="auto"/>
          <w:sz w:val="32"/>
          <w:szCs w:val="32"/>
        </w:rPr>
      </w:pPr>
      <w:r>
        <w:rPr>
          <w:rFonts w:ascii="Times New Roman" w:eastAsia="楷体_GB2312" w:cs="Times New Roman"/>
          <w:color w:val="auto"/>
          <w:sz w:val="32"/>
          <w:szCs w:val="32"/>
        </w:rPr>
        <w:t>（二）疾病预防控制机构</w:t>
      </w:r>
    </w:p>
    <w:p w14:paraId="2A23A702">
      <w:pPr>
        <w:keepNext w:val="0"/>
        <w:keepLines w:val="0"/>
        <w:pageBreakBefore w:val="0"/>
        <w:widowControl w:val="0"/>
        <w:kinsoku/>
        <w:wordWrap w:val="0"/>
        <w:overflowPunct/>
        <w:topLinePunct w:val="0"/>
        <w:bidi w:val="0"/>
        <w:spacing w:line="560" w:lineRule="exact"/>
        <w:ind w:firstLine="640" w:firstLineChars="200"/>
        <w:jc w:val="left"/>
        <w:textAlignment w:val="auto"/>
        <w:outlineLvl w:val="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ascii="Times New Roman" w:hAnsi="Times New Roman" w:eastAsia="仿宋_GB2312"/>
          <w:bCs/>
          <w:sz w:val="32"/>
          <w:szCs w:val="32"/>
        </w:rPr>
        <w:t>负责指导、培训各苏木镇完成辖区样本的采集等相关工作。</w:t>
      </w:r>
    </w:p>
    <w:p w14:paraId="150CE4CF">
      <w:pPr>
        <w:keepNext w:val="0"/>
        <w:keepLines w:val="0"/>
        <w:pageBreakBefore w:val="0"/>
        <w:widowControl w:val="0"/>
        <w:kinsoku/>
        <w:wordWrap w:val="0"/>
        <w:overflowPunct/>
        <w:topLinePunct w:val="0"/>
        <w:bidi w:val="0"/>
        <w:spacing w:line="560" w:lineRule="exact"/>
        <w:ind w:firstLine="640" w:firstLineChars="200"/>
        <w:jc w:val="left"/>
        <w:textAlignment w:val="auto"/>
        <w:outlineLvl w:val="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．负责我旗监测数据的收集、录入、分析、报送。</w:t>
      </w:r>
    </w:p>
    <w:p w14:paraId="055724C1">
      <w:pPr>
        <w:pStyle w:val="11"/>
        <w:keepNext w:val="0"/>
        <w:keepLines w:val="0"/>
        <w:pageBreakBefore w:val="0"/>
        <w:widowControl w:val="0"/>
        <w:kinsoku/>
        <w:wordWrap w:val="0"/>
        <w:overflowPunct/>
        <w:topLinePunct w:val="0"/>
        <w:bidi w:val="0"/>
        <w:spacing w:after="0" w:line="560" w:lineRule="exact"/>
        <w:ind w:firstLine="640" w:firstLineChars="200"/>
        <w:textAlignment w:val="auto"/>
        <w:rPr>
          <w:rFonts w:ascii="Times New Roman" w:hAnsi="Times New Roman" w:eastAsia="仿宋_GB2312"/>
        </w:rPr>
      </w:pPr>
      <w:r>
        <w:rPr>
          <w:rFonts w:hint="eastAsia" w:ascii="Times New Roman" w:hAnsi="Times New Roman" w:eastAsia="仿宋_GB2312"/>
          <w:sz w:val="32"/>
          <w:szCs w:val="32"/>
        </w:rPr>
        <w:t>3</w:t>
      </w:r>
      <w:r>
        <w:rPr>
          <w:rFonts w:ascii="Times New Roman" w:hAnsi="Times New Roman" w:eastAsia="仿宋_GB2312"/>
          <w:sz w:val="32"/>
          <w:szCs w:val="32"/>
        </w:rPr>
        <w:t>．负责水样碘含量检测工作。</w:t>
      </w:r>
    </w:p>
    <w:p w14:paraId="20966C73">
      <w:pPr>
        <w:pStyle w:val="8"/>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eastAsia="楷体_GB2312" w:cs="Times New Roman"/>
          <w:color w:val="auto"/>
          <w:sz w:val="32"/>
          <w:szCs w:val="32"/>
        </w:rPr>
      </w:pPr>
      <w:r>
        <w:rPr>
          <w:rFonts w:ascii="Times New Roman" w:eastAsia="楷体_GB2312" w:cs="Times New Roman"/>
          <w:color w:val="auto"/>
          <w:sz w:val="32"/>
          <w:szCs w:val="32"/>
        </w:rPr>
        <w:t>（三）各苏木镇人民政府</w:t>
      </w:r>
    </w:p>
    <w:p w14:paraId="641C765A">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负责实施辖区行政村（嘎查、居委会）居民户饮用水调查抽样、采样工作。</w:t>
      </w:r>
    </w:p>
    <w:p w14:paraId="62CABB75">
      <w:pPr>
        <w:pStyle w:val="11"/>
        <w:keepNext w:val="0"/>
        <w:keepLines w:val="0"/>
        <w:pageBreakBefore w:val="0"/>
        <w:widowControl w:val="0"/>
        <w:kinsoku/>
        <w:wordWrap w:val="0"/>
        <w:overflowPunct/>
        <w:topLinePunct w:val="0"/>
        <w:bidi w:val="0"/>
        <w:spacing w:after="0"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五、数据上报</w:t>
      </w:r>
    </w:p>
    <w:p w14:paraId="15175A18">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盟市级疾病预防控制机构将数据汇总审核后，通过统一格式的EXCEL报送内蒙古自治区综合疾病预防控制中心。</w:t>
      </w:r>
    </w:p>
    <w:p w14:paraId="3DC59CF4">
      <w:pPr>
        <w:pStyle w:val="11"/>
        <w:keepNext w:val="0"/>
        <w:keepLines w:val="0"/>
        <w:pageBreakBefore w:val="0"/>
        <w:widowControl w:val="0"/>
        <w:kinsoku/>
        <w:wordWrap w:val="0"/>
        <w:overflowPunct/>
        <w:topLinePunct w:val="0"/>
        <w:bidi w:val="0"/>
        <w:spacing w:after="0"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六、调查时限</w:t>
      </w:r>
    </w:p>
    <w:p w14:paraId="2FC418D1">
      <w:pPr>
        <w:keepNext w:val="0"/>
        <w:keepLines w:val="0"/>
        <w:pageBreakBefore w:val="0"/>
        <w:widowControl w:val="0"/>
        <w:kinsoku/>
        <w:wordWrap w:val="0"/>
        <w:overflowPunct/>
        <w:topLinePunct w:val="0"/>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6月25日前完成现场样本采集工作，11月15日前上报生活饮用水水碘调查数据，12月1日前上报调查报告。</w:t>
      </w:r>
    </w:p>
    <w:p w14:paraId="7BD71654">
      <w:pPr>
        <w:keepNext w:val="0"/>
        <w:keepLines w:val="0"/>
        <w:pageBreakBefore w:val="0"/>
        <w:widowControl w:val="0"/>
        <w:kinsoku/>
        <w:wordWrap w:val="0"/>
        <w:overflowPunct/>
        <w:topLinePunct w:val="0"/>
        <w:bidi w:val="0"/>
        <w:spacing w:line="560" w:lineRule="exact"/>
        <w:textAlignment w:val="auto"/>
        <w:rPr>
          <w:rFonts w:ascii="Times New Roman" w:hAnsi="Times New Roman" w:eastAsia="仿宋_GB2312"/>
          <w:sz w:val="32"/>
          <w:szCs w:val="32"/>
        </w:rPr>
      </w:pPr>
    </w:p>
    <w:p w14:paraId="58ED33F1">
      <w:pPr>
        <w:pStyle w:val="11"/>
        <w:keepNext w:val="0"/>
        <w:keepLines w:val="0"/>
        <w:pageBreakBefore w:val="0"/>
        <w:widowControl w:val="0"/>
        <w:kinsoku/>
        <w:wordWrap w:val="0"/>
        <w:overflowPunct/>
        <w:topLinePunct w:val="0"/>
        <w:bidi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附件：1.生活饮用水碘含量调查表</w:t>
      </w:r>
    </w:p>
    <w:p w14:paraId="63D7FD05">
      <w:pPr>
        <w:pStyle w:val="11"/>
        <w:keepNext w:val="0"/>
        <w:keepLines w:val="0"/>
        <w:pageBreakBefore w:val="0"/>
        <w:widowControl w:val="0"/>
        <w:kinsoku/>
        <w:wordWrap w:val="0"/>
        <w:overflowPunct/>
        <w:topLinePunct w:val="0"/>
        <w:bidi w:val="0"/>
        <w:spacing w:after="0" w:line="560" w:lineRule="exact"/>
        <w:ind w:firstLine="1600" w:firstLineChars="500"/>
        <w:textAlignment w:val="auto"/>
        <w:rPr>
          <w:rFonts w:hint="eastAsia" w:eastAsia="仿宋_GB2312"/>
          <w:lang w:val="en-US" w:eastAsia="zh-CN"/>
        </w:rPr>
      </w:pPr>
      <w:r>
        <w:rPr>
          <w:rFonts w:ascii="Times New Roman" w:hAnsi="Times New Roman" w:eastAsia="仿宋_GB2312"/>
          <w:sz w:val="32"/>
          <w:szCs w:val="32"/>
        </w:rPr>
        <w:t>2.水碘测定采样及保存注意</w:t>
      </w:r>
      <w:bookmarkStart w:id="1" w:name="_GoBack"/>
      <w:bookmarkEnd w:id="1"/>
      <w:r>
        <w:rPr>
          <w:rFonts w:ascii="Times New Roman" w:hAnsi="Times New Roman" w:eastAsia="仿宋_GB2312"/>
          <w:sz w:val="32"/>
          <w:szCs w:val="32"/>
        </w:rPr>
        <w:t>事</w:t>
      </w:r>
      <w:r>
        <w:rPr>
          <w:rFonts w:hint="eastAsia" w:ascii="Times New Roman" w:hAnsi="Times New Roman" w:eastAsia="仿宋_GB2312"/>
          <w:sz w:val="32"/>
          <w:szCs w:val="32"/>
          <w:lang w:eastAsia="zh-CN"/>
        </w:rPr>
        <w:t>项</w:t>
      </w:r>
    </w:p>
    <w:sectPr>
      <w:headerReference r:id="rId4" w:type="default"/>
      <w:footerReference r:id="rId5" w:type="default"/>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16A59">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-51435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2A1DA2">
                          <w:pPr>
                            <w:pStyle w:val="3"/>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4.05pt;height:144pt;width:144pt;mso-position-horizontal:outside;mso-position-horizontal-relative:margin;mso-wrap-style:none;z-index:251659264;mso-width-relative:page;mso-height-relative:page;" filled="f" stroked="f" coordsize="21600,21600" o:gfxdata="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e+cpbTAAAABwEAAA8AAAAAAAAAAQAgAAAAIgAAAGRycy9kb3ducmV2&#10;LnhtbFBLAQIUABQAAAAIAIdO4kDkov7PyAEAAJkDAAAOAAAAAAAAAAEAIAAAACIBAABkcnMvZTJv&#10;RG9jLnhtbFBLBQYAAAAABgAGAFkBAABcBQAAAAA=&#10;">
              <v:fill on="f" focussize="0,0"/>
              <v:stroke on="f"/>
              <v:imagedata o:title=""/>
              <o:lock v:ext="edit" aspectratio="f"/>
              <v:textbox inset="0mm,0mm,0mm,0mm" style="mso-fit-shape-to-text:t;">
                <w:txbxContent>
                  <w:p w14:paraId="042A1DA2">
                    <w:pPr>
                      <w:pStyle w:val="3"/>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BA055">
    <w:pPr>
      <w:pStyle w:val="3"/>
      <w:jc w:val="center"/>
      <w:rPr>
        <w:rStyle w:val="7"/>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-51435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C8555B">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4.05pt;height:144pt;width:144pt;mso-position-horizontal:outside;mso-position-horizontal-relative:margin;mso-wrap-style:none;z-index:251660288;mso-width-relative:page;mso-height-relative:page;" filled="f" stroked="f" coordsize="21600,21600" o:gfxdata="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e+cpbTAAAABwEAAA8AAAAAAAAAAQAgAAAAIgAAAGRycy9kb3ducmV2&#10;LnhtbFBLAQIUABQAAAAIAIdO4kDE9E1+yAEAAJkDAAAOAAAAAAAAAAEAIAAAACIBAABkcnMvZTJv&#10;RG9jLnhtbFBLBQYAAAAABgAGAFkBAABcBQAAAAA=&#10;">
              <v:fill on="f" focussize="0,0"/>
              <v:stroke on="f"/>
              <v:imagedata o:title=""/>
              <o:lock v:ext="edit" aspectratio="f"/>
              <v:textbox inset="0mm,0mm,0mm,0mm" style="mso-fit-shape-to-text:t;">
                <w:txbxContent>
                  <w:p w14:paraId="44C8555B">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14:paraId="67AAD554">
    <w:pPr>
      <w:pStyle w:val="3"/>
      <w:jc w:val="center"/>
      <w:rPr>
        <w:rStyle w:val="7"/>
      </w:rPr>
    </w:pPr>
  </w:p>
  <w:p w14:paraId="311FA8E9">
    <w:pPr>
      <w:pStyle w:val="3"/>
      <w:rPr>
        <w:rStyle w:val="7"/>
      </w:rPr>
    </w:pPr>
  </w:p>
  <w:p w14:paraId="298370E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1ACD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MjJhYWMwODk4NjUxMTcwZWFjNmRlN2FjMTJlNTUifQ=="/>
  </w:docVars>
  <w:rsids>
    <w:rsidRoot w:val="00000000"/>
    <w:rsid w:val="035F5588"/>
    <w:rsid w:val="15935C4D"/>
    <w:rsid w:val="179B481B"/>
    <w:rsid w:val="1BC73A3A"/>
    <w:rsid w:val="26BD02DC"/>
    <w:rsid w:val="2DC47728"/>
    <w:rsid w:val="2FB45466"/>
    <w:rsid w:val="31BB57A6"/>
    <w:rsid w:val="3BC738FD"/>
    <w:rsid w:val="3DA43FAB"/>
    <w:rsid w:val="3EEA2EDF"/>
    <w:rsid w:val="42FC48EC"/>
    <w:rsid w:val="4A6C1218"/>
    <w:rsid w:val="4BFA1F86"/>
    <w:rsid w:val="5052301B"/>
    <w:rsid w:val="593365CA"/>
    <w:rsid w:val="5AEE0D41"/>
    <w:rsid w:val="5C1C4E88"/>
    <w:rsid w:val="5C3C31E4"/>
    <w:rsid w:val="5F775017"/>
    <w:rsid w:val="61BC1668"/>
    <w:rsid w:val="679B0858"/>
    <w:rsid w:val="71D339FF"/>
    <w:rsid w:val="7BBC6ED8"/>
    <w:rsid w:val="7BE9446F"/>
    <w:rsid w:val="7EBD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unhideWhenUsed/>
    <w:qFormat/>
    <w:uiPriority w:val="99"/>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9">
    <w:name w:val="font51"/>
    <w:qFormat/>
    <w:uiPriority w:val="0"/>
    <w:rPr>
      <w:rFonts w:hint="eastAsia" w:ascii="黑体" w:hAnsi="宋体" w:eastAsia="黑体" w:cs="黑体"/>
      <w:color w:val="000000"/>
      <w:sz w:val="16"/>
      <w:szCs w:val="16"/>
      <w:u w:val="none"/>
    </w:rPr>
  </w:style>
  <w:style w:type="paragraph" w:customStyle="1" w:styleId="10">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1">
    <w:name w:val="正文首行缩进1"/>
    <w:basedOn w:val="2"/>
    <w:next w:val="1"/>
    <w:qFormat/>
    <w:uiPriority w:val="0"/>
    <w:pPr>
      <w:ind w:firstLine="10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17346</Words>
  <Characters>18560</Characters>
  <Lines>0</Lines>
  <Paragraphs>0</Paragraphs>
  <TotalTime>8</TotalTime>
  <ScaleCrop>false</ScaleCrop>
  <LinksUpToDate>false</LinksUpToDate>
  <CharactersWithSpaces>23042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2024-07-10T03:15:00Z</dcterms:created>
  <dc:creator>Administrator</dc:creator>
  <cp:lastModifiedBy>达拉特旗人民政府(拟稿)</cp:lastModifiedBy>
  <dcterms:modified xsi:type="dcterms:W3CDTF">2024-09-12T08:01:44Z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8255C517A071483EA15BFD727DD6AAF6_12</vt:lpwstr>
  </property>
</Properties>
</file>