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DC4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708F9F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napToGrid/>
          <w:color w:val="000000"/>
          <w:kern w:val="0"/>
          <w:sz w:val="44"/>
          <w:szCs w:val="20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napToGrid/>
          <w:color w:val="000000"/>
          <w:kern w:val="0"/>
          <w:sz w:val="44"/>
          <w:szCs w:val="20"/>
          <w:lang w:eastAsia="zh-CN" w:bidi="ar-SA"/>
        </w:rPr>
        <w:t>达拉特旗人</w:t>
      </w:r>
      <w:r>
        <w:rPr>
          <w:rFonts w:hint="eastAsia" w:ascii="方正小标宋简体" w:hAnsi="方正小标宋简体" w:eastAsia="方正小标宋简体" w:cs="Times New Roman"/>
          <w:b w:val="0"/>
          <w:bCs w:val="0"/>
          <w:snapToGrid/>
          <w:color w:val="000000"/>
          <w:kern w:val="0"/>
          <w:sz w:val="44"/>
          <w:szCs w:val="20"/>
          <w:lang w:val="en-US" w:eastAsia="zh-CN" w:bidi="ar-SA"/>
        </w:rPr>
        <w:t>民政府办公室关于印发达拉特旗</w:t>
      </w:r>
    </w:p>
    <w:p w14:paraId="77B533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napToGrid/>
          <w:color w:val="000000"/>
          <w:kern w:val="0"/>
          <w:sz w:val="44"/>
          <w:szCs w:val="20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napToGrid/>
          <w:color w:val="000000"/>
          <w:kern w:val="0"/>
          <w:sz w:val="44"/>
          <w:szCs w:val="20"/>
          <w:lang w:val="en-US" w:eastAsia="zh-CN" w:bidi="ar-SA"/>
        </w:rPr>
        <w:t>支持产业发展融资协调工作机制的通知</w:t>
      </w:r>
    </w:p>
    <w:p w14:paraId="694764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napToGrid/>
          <w:color w:val="000000"/>
          <w:kern w:val="0"/>
          <w:sz w:val="44"/>
          <w:szCs w:val="20"/>
          <w:lang w:val="en-US" w:eastAsia="zh-CN" w:bidi="ar-SA"/>
        </w:rPr>
      </w:pPr>
    </w:p>
    <w:p w14:paraId="339A43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" w:right="0"/>
        <w:jc w:val="both"/>
        <w:textAlignment w:val="bottom"/>
        <w:outlineLvl w:val="9"/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highlight w:val="none"/>
          <w:lang w:val="en-US" w:eastAsia="zh-CN" w:bidi="ar-SA"/>
        </w:rPr>
        <w:t>各开发区（园区）管委会，各苏木镇人民政府，各街道办事处，旗直各相关部门，驻旗金融机构：</w:t>
      </w:r>
    </w:p>
    <w:p w14:paraId="3B1738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" w:right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 w:bidi="ar-SA"/>
        </w:rPr>
        <w:t>经旗人民政府同意，现将《达拉特旗支持产业发展融资协调工作机制》印发给你们，请结合实际，认真组织实施。</w:t>
      </w:r>
    </w:p>
    <w:p w14:paraId="25FCD2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60" w:lineRule="exact"/>
        <w:ind w:left="0" w:right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20"/>
          <w:lang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20"/>
          <w:lang w:eastAsia="zh-CN" w:bidi="ar-SA"/>
        </w:rPr>
        <w:t xml:space="preserve">           </w:t>
      </w:r>
    </w:p>
    <w:p w14:paraId="0C218C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60" w:lineRule="exact"/>
        <w:ind w:left="0" w:right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20"/>
          <w:lang w:eastAsia="zh-CN" w:bidi="ar-SA"/>
        </w:rPr>
      </w:pPr>
    </w:p>
    <w:p w14:paraId="52729B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60" w:lineRule="exact"/>
        <w:ind w:left="0" w:right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20"/>
          <w:lang w:eastAsia="zh-CN" w:bidi="ar-SA"/>
        </w:rPr>
      </w:pPr>
    </w:p>
    <w:p w14:paraId="32EBED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" w:right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20"/>
          <w:lang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20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 w:bidi="ar-SA"/>
        </w:rPr>
        <w:t>达拉特旗人民政府办公室</w:t>
      </w:r>
    </w:p>
    <w:p w14:paraId="4ED719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60" w:rightChars="600" w:firstLine="0" w:firstLineChars="0"/>
        <w:jc w:val="center"/>
        <w:textAlignment w:val="bottom"/>
        <w:outlineLvl w:val="9"/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  <w:lang w:val="en-US" w:eastAsia="zh-CN" w:bidi="ar-SA"/>
        </w:rPr>
        <w:t xml:space="preserve">                       2025年4月7日</w:t>
      </w:r>
    </w:p>
    <w:p w14:paraId="18E76D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BDBE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238A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F1B5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2F771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B320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CC36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61A2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C1CC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81B7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3BAAA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0CF3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达拉特旗支持产业发展融资协调工作机制</w:t>
      </w:r>
    </w:p>
    <w:p w14:paraId="6D1956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A3B9D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为深入贯彻党的二十大和二十届三中全会精神，全面落实中央、自治区、市经济工作会议和金融工作会议精神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，牢固树立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抓策划、优服务、强产业、促发展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理念，加大金融服务实体经济力度，提高全旗支持产业发展融资协调工作质效，结合我旗实际，制定如下协调机制。</w:t>
      </w:r>
    </w:p>
    <w:p w14:paraId="64F18F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领导机构</w:t>
      </w:r>
    </w:p>
    <w:p w14:paraId="4AD006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成立由旗人民政府旗长任组长，分管副旗长任副组长，各园区、苏木镇、街道及相关部门主要负责同志为成员的全旗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融资协调工作机制工作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的主要职责是：领导、协调、指挥全旗支持产业发展融资协调谋划建设工作；研究确定全旗支持产业发展重要融资的重大规划、重大政策、重大举措，以及融资布局、利益协调、要素保障等；统筹协调产业发展融资推进中跨部门、跨领域的重大问题。</w:t>
      </w:r>
    </w:p>
    <w:p w14:paraId="370CB0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3838" w:leftChars="304" w:hanging="3200" w:hanging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  长：张伟雄  旗委副书记、政府旗长，达拉特经济开发区党工委书记，恩格贝生态示范区管委会党组书记</w:t>
      </w:r>
    </w:p>
    <w:p w14:paraId="771B57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常务副组长：陈喜荣  旗委常委、政府副旗长</w:t>
      </w:r>
    </w:p>
    <w:p w14:paraId="0873D1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 组  长：阿木尔布拉格 政府副旗长</w:t>
      </w:r>
    </w:p>
    <w:p w14:paraId="7E473E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张栋梁  政府副旗长</w:t>
      </w:r>
    </w:p>
    <w:p w14:paraId="69E16A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鹏  政府副旗长</w:t>
      </w:r>
    </w:p>
    <w:p w14:paraId="76FF3F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白晓燕  政府副旗长</w:t>
      </w:r>
    </w:p>
    <w:p w14:paraId="0DB1B8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阳  政府副旗长</w:t>
      </w:r>
    </w:p>
    <w:p w14:paraId="31989B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政府办、发改委（投资促进中心）、教体局、工信局、民委、民政局、财政局（金融服务中心）、人社局、自然资源局、住建局、交通局、水利局、农牧局、文旅局、卫健委、退役军人事务局、应急管理局、市场监管局、能源局、林草局、政数局、工商联、生态环境局、达拉特金融监管支局、各苏木镇人民政府、各街道办事处、达拉特经济开发区管委会、恩格贝生态示范区管委会、驻旗金融机构分管领导。</w:t>
      </w:r>
    </w:p>
    <w:p w14:paraId="261E99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主任由金融服务中心主任李宝荣同志兼任，副主任由财政局副局长韩飞、达拉特金融监管支局局长刘奕军兼任。领导小组办公室的主要职责是：负责领导小组决定事项跟踪落实；负责各专班日常工作联络；负责收集分析机制运行情况，编发工作简报；负责分析研究中央、自治区、市投融资政策导向，宣传金融信贷服务政策，收集梳理项目融资需求；督促驻旗金融机构加大融资产品和服务创新力度，畅通项目资金需求端和供给端信息渠道；积极搭建政银企合作交流平台、常态化开展政银企融资对接系列活动；完善金融机构考评办法，正向引导驻旗金融机构加大对全旗各类产业发展的支持力度。</w:t>
      </w:r>
    </w:p>
    <w:p w14:paraId="00923F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领导小组成员工作变动需要调整的，由所在单位承担相应职责的人员自行递补，按程序报领导小组办公室备案，不再另行发文。</w:t>
      </w:r>
    </w:p>
    <w:p w14:paraId="1E1F29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二、专班人员组成及工作任务</w:t>
      </w:r>
    </w:p>
    <w:p w14:paraId="39B49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和“支持重大项目、招商引资、农牧业、小微企业、‘统种共富’融资”5个工作专班。各工作专班的主要职责是：负责落实领导小组决策部署和工作安排；负责统筹调度本专班领域工作，协调解决问题；负责推动融资工作机制落地见效，指导各苏木镇、街道、园区及旗相关部门具体业务，研究本领域改革创新性举措和政策支持；汇总梳理需要协调解决的重要事项，提交领导小组研究。</w:t>
      </w:r>
    </w:p>
    <w:p w14:paraId="59BFBF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（一）支持重大项目融资工作专班</w:t>
      </w:r>
    </w:p>
    <w:p w14:paraId="7EE78D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牵头领导：张栋梁  政府副旗长</w:t>
      </w:r>
    </w:p>
    <w:p w14:paraId="38028F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   长：闫建国  发改委主任</w:t>
      </w:r>
    </w:p>
    <w:p w14:paraId="0C89FA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   员：发改委、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财政局（金融服务中心）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、开发区财政金融局、承担重大项目责任的行业主管部门、驻旗金融机构分管领导。</w:t>
      </w:r>
    </w:p>
    <w:p w14:paraId="7D2962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工作任务：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由发改委筛选并推送重大项目融资需求清单，对于已具备融资条件的，由金融服务中心协调金融机构加大融资支持力度。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暂不具备融资条件的重大项目，由旗金融服务中心进行梳理并提出融资建议反馈至发改委，旗发改委负责将上述项目清单推送至相关部门，并协调相关行业主管部门帮助指导项目完备要素审批，分类处理，使之符合投融资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各行业主管部门要指导项目完善合规性手续，在达到要求后，及时予以审批并出具相关批复文件，确保项目获得融资支持。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发改委配合金融服务中心开展重点项目投融资推介活动。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对于资金需求较大的重点项目，推动金融机构通过组建银团贷款等方式实施共同帮扶，助推项目加快落地投产。</w:t>
      </w:r>
    </w:p>
    <w:p w14:paraId="12C0F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支持招商引资融资工作专班</w:t>
      </w:r>
    </w:p>
    <w:p w14:paraId="5C44A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牵头领导：张栋梁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政府副旗长</w:t>
      </w:r>
    </w:p>
    <w:p w14:paraId="0A16E3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 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钟宇展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投资促进中心主任</w:t>
      </w:r>
    </w:p>
    <w:p w14:paraId="4C73FA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   员：工信局、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投资促进中心、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开发区招商局、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承担招商引资任务的相关单位、驻旗金融机构分管领导。</w:t>
      </w:r>
    </w:p>
    <w:p w14:paraId="41127B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工作任务：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金融机构提前介入招商引资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领导外出招商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引资时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家银行机构全程参与，以便银行机构第一时间了解企业情况。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金融机构与招商引资部门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研判，对拟投资入驻的企业，交由银行机构提前介入，对招商企业资产质量、经营状况、财务管理等方面情况开展综合调查。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分析研究国家关于招商引资有关产业政策、金融政策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梳理招商引资企业（项目）情况及融资需求，按月推送金融机构，指导企业完善融资条件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定期组织招商引资企业政银企对接活动，组织银企互动交流，推动银企对接合作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定期通报银企签约落实情况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融资情况，帮助招商引资企业缓解融资难问题。</w:t>
      </w:r>
    </w:p>
    <w:p w14:paraId="384ECB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（三）支持农牧业融资工作专班</w:t>
      </w:r>
    </w:p>
    <w:p w14:paraId="4D06C7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牵头领导：阿木尔布拉格  政府副旗长</w:t>
      </w:r>
    </w:p>
    <w:p w14:paraId="3E7A28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 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张永平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农牧局局长</w:t>
      </w:r>
    </w:p>
    <w:p w14:paraId="10102C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   员：农牧局、各苏木镇、驻旗金融机构分管领导。</w:t>
      </w:r>
    </w:p>
    <w:p w14:paraId="220E4F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工作任务：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深入推进农村信用体系建设，进一步支持银行机构深入涉农企业、农牧户、新型农牧业经营主体开展“信用乡（镇）、信用村（社区）、信用户、信用企业”四级信用创建评定工作。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完善农牧业产融合作对接机制，农牧局每月向银行机构推送乡村振兴重点项目、小微企业、新型农牧业经营主体及农牧户融资需求清单，每年不定期召开产融合作、融资信贷等政银企对接会、送金融服务下乡等专场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强化关键领域信贷支持，引导驻旗各金融机构积极推广、开发适合我旗农牧区发展特点的信贷产品和服务模式。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推动土地承包经营权、集体林权、农房产权确权明晰，鼓励金融机构探索开展农村承包土地经营权、集体经营性建设用地使用权、宅基地使用权、林权及畜禽活畜、圈舍大棚、农机具等涉农资产抵押贷款业务。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落实金融支持产业振兴政策，鼓励引导重点扶持企业、产业化联合体、合作社、家庭农牧场、农牧户、脱贫户、金牛富农工程等实施主体享受“政策贴息红利”，盘活主体经济。</w:t>
      </w:r>
    </w:p>
    <w:p w14:paraId="07ADC5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（四）支持小微企业融资工作专班</w:t>
      </w:r>
    </w:p>
    <w:p w14:paraId="41F56F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工作专班人员、工作任务按照《达拉特旗人民政府办公室关于印发&lt;达拉特旗支持小微企业融资协调工作机制&gt;的通知》（达政办发〔2024〕42号）执行。</w:t>
      </w:r>
    </w:p>
    <w:p w14:paraId="3F1F66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（五）支持“统种共富”融资工作专班</w:t>
      </w:r>
    </w:p>
    <w:p w14:paraId="000778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牵头领导：阿木尔布拉格  政府副旗长</w:t>
      </w:r>
    </w:p>
    <w:p w14:paraId="40EB2D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 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张永平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农牧局局长</w:t>
      </w:r>
    </w:p>
    <w:p w14:paraId="65162E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   员：农牧局、各苏木镇、财政局（金融服务中心）、驻旗金融机构分管领导。</w:t>
      </w:r>
    </w:p>
    <w:p w14:paraId="446CFF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工作任务：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由各苏木镇摸排辖区内“统种共富”专业合作社、村集体实际情况和融资需求，形成清单推送至金融服务中心。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由金融服务中心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苏木镇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、嘎查村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“统种共富”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模式村集体、合作社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实际情况和融资需求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进行融资对接，做好金融服务。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银行机构对符合条件的“统种共富”专业合作社、村集体贷款开通绿色通道，提高授信效率。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由农牧局组织、金融服务中心配合对“统种共富”实施过程中，种子、化肥等农资集中采购以及粮食产品销售等资金缺口问题，通过产业振兴贷款、财政贴息等政策，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及时给予支持。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由合作银行机构对接“统种共富”村社负责人，了解“统种共富”分红活动现金需求，保障分红活动顺利进行。</w:t>
      </w:r>
    </w:p>
    <w:p w14:paraId="0B6FC2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三、运行机制</w:t>
      </w:r>
    </w:p>
    <w:p w14:paraId="754C3C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中央、自治区、市、旗重大战略部署及投资方向，将重大项目、招商引资、农牧业、小微企业、“统种共富”模式纳入全周期、全链条管理，常态化推进领导调度、谋划储备、科学招引、服务保障、精准推动，形成融资协调闭环管理。</w:t>
      </w:r>
    </w:p>
    <w:p w14:paraId="5DB389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（一）领导小组原则上每年召开2次全体会议，听取调度各专班工作推进情况，研究部署年度工作任务，必要时可随时召开；由办公室定期通报工作开展情况。</w:t>
      </w:r>
    </w:p>
    <w:p w14:paraId="1FB2E4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（二）领导小组根据工作需要，通过召开专题会议、现场办公等方式，“一事一议”研究推进重点事项。</w:t>
      </w:r>
    </w:p>
    <w:p w14:paraId="1FEBAB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（三）各专班建立季调度联席会议制度，实时掌握服务支持、融资保障等工作进展，第一时间协调解决存在问题。</w:t>
      </w:r>
    </w:p>
    <w:p w14:paraId="5159B9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（四）领导小组办公室定期召开工作例会，调度工作推进情况。</w:t>
      </w:r>
    </w:p>
    <w:p w14:paraId="03F09C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 w14:paraId="19BD03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(一）提高政治站位。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各部门要充分认识融资协调机制对抓项目、扩投资、稳增长、促发展的重要意义，进一步提高政治站位，凝聚思想共识，强化责任担当，细化工作举措，全力推动工作落实。主要负责人要亲自抓、经常抓，带头抓重点项目、招商引资、服务产业发展，以更大力度、更强举措推动全旗经济高质量发展。</w:t>
      </w:r>
    </w:p>
    <w:p w14:paraId="21DB92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（二）狠抓责任落实。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作专班要依据融资协调机制，制定贯彻落实相关工作机制的工作方案，夯实工作责任，确保有序高效运行。各地各部门要做好项目前期手续办理、政策扶持、要素保障、跟踪服务等工作，加快投融资落实。旗级各要素保障部门要加强业务指导和政策支持，确保更多要素向投融资聚集。</w:t>
      </w:r>
    </w:p>
    <w:p w14:paraId="5F6147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（三）强化协同联动。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作专班要认真落实领导小组各项工作部署，聚焦各自职能职责，坚持“横向协同、纵向联动”，加强与旗级相关部门、各苏木镇、街道、园区的密切配合和沟通协商，强化调度管控，凝聚工作合力，共同协调推动投融资推进过程中的突出问题和关键环节。</w:t>
      </w:r>
    </w:p>
    <w:p w14:paraId="68181A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（四）加强督办调度。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领导小组办公室要定期对各工作专班工作措施落实情况、投融资要素保障情况、各苏木镇、街道、园区工作推进情况进行通报，对工作推动不力、进展缓慢地在全旗范围内通报批评。</w:t>
      </w:r>
    </w:p>
    <w:p w14:paraId="04CA42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E0B2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E00B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4FE8D6EA"/>
    <w:sectPr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598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5716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5716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9B54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512"/>
    <w:rsid w:val="00E97640"/>
    <w:rsid w:val="01B11272"/>
    <w:rsid w:val="02E754EC"/>
    <w:rsid w:val="035F5588"/>
    <w:rsid w:val="0448651A"/>
    <w:rsid w:val="04A2346A"/>
    <w:rsid w:val="07FC1608"/>
    <w:rsid w:val="09B52B76"/>
    <w:rsid w:val="09E96913"/>
    <w:rsid w:val="0BA65874"/>
    <w:rsid w:val="0C010CCD"/>
    <w:rsid w:val="0D145123"/>
    <w:rsid w:val="0DA0743A"/>
    <w:rsid w:val="0E9B6DAA"/>
    <w:rsid w:val="126E7CB6"/>
    <w:rsid w:val="12B777E4"/>
    <w:rsid w:val="12F36042"/>
    <w:rsid w:val="13AE6C39"/>
    <w:rsid w:val="14E346E3"/>
    <w:rsid w:val="15935C4D"/>
    <w:rsid w:val="16505D95"/>
    <w:rsid w:val="16F314F1"/>
    <w:rsid w:val="179B481B"/>
    <w:rsid w:val="1BC73A3A"/>
    <w:rsid w:val="1CD64F48"/>
    <w:rsid w:val="1DD10DE3"/>
    <w:rsid w:val="1EDC6D7C"/>
    <w:rsid w:val="1F3F71D1"/>
    <w:rsid w:val="1F807BA2"/>
    <w:rsid w:val="231704F4"/>
    <w:rsid w:val="23836379"/>
    <w:rsid w:val="24F90706"/>
    <w:rsid w:val="2520104F"/>
    <w:rsid w:val="26BD02DC"/>
    <w:rsid w:val="26E00BBC"/>
    <w:rsid w:val="28277B20"/>
    <w:rsid w:val="283E7375"/>
    <w:rsid w:val="2B127E6E"/>
    <w:rsid w:val="2BCF1BA4"/>
    <w:rsid w:val="2C6D0398"/>
    <w:rsid w:val="2DC47728"/>
    <w:rsid w:val="2E925AD7"/>
    <w:rsid w:val="2F817AB6"/>
    <w:rsid w:val="2FB45466"/>
    <w:rsid w:val="31BB57A6"/>
    <w:rsid w:val="339B1E96"/>
    <w:rsid w:val="34C16D42"/>
    <w:rsid w:val="38093CF4"/>
    <w:rsid w:val="3A600E6E"/>
    <w:rsid w:val="3A7541F9"/>
    <w:rsid w:val="3B042863"/>
    <w:rsid w:val="3BC738FD"/>
    <w:rsid w:val="3C760918"/>
    <w:rsid w:val="3C7714F5"/>
    <w:rsid w:val="3D3A7F4D"/>
    <w:rsid w:val="3DA43FAB"/>
    <w:rsid w:val="3EEA2EDF"/>
    <w:rsid w:val="3F447220"/>
    <w:rsid w:val="409D238F"/>
    <w:rsid w:val="426943E0"/>
    <w:rsid w:val="42E979B3"/>
    <w:rsid w:val="42FC48EC"/>
    <w:rsid w:val="44FD167E"/>
    <w:rsid w:val="45AB5D85"/>
    <w:rsid w:val="47823AF0"/>
    <w:rsid w:val="484E064B"/>
    <w:rsid w:val="48EB1004"/>
    <w:rsid w:val="49B6662F"/>
    <w:rsid w:val="4B41315E"/>
    <w:rsid w:val="4BDD0AB4"/>
    <w:rsid w:val="4D14500A"/>
    <w:rsid w:val="4DB47C1D"/>
    <w:rsid w:val="4EB35F71"/>
    <w:rsid w:val="4EEE1088"/>
    <w:rsid w:val="4FD17945"/>
    <w:rsid w:val="50F669B4"/>
    <w:rsid w:val="533C2DE3"/>
    <w:rsid w:val="54976C54"/>
    <w:rsid w:val="562625E4"/>
    <w:rsid w:val="56F211C3"/>
    <w:rsid w:val="57310AC4"/>
    <w:rsid w:val="577E4D7C"/>
    <w:rsid w:val="57AA6077"/>
    <w:rsid w:val="57C75815"/>
    <w:rsid w:val="593365CA"/>
    <w:rsid w:val="59D14DE1"/>
    <w:rsid w:val="5A1D0D6F"/>
    <w:rsid w:val="5A5E0741"/>
    <w:rsid w:val="5AEE0D41"/>
    <w:rsid w:val="5B60264C"/>
    <w:rsid w:val="5DC34E01"/>
    <w:rsid w:val="5F2E1793"/>
    <w:rsid w:val="5F775017"/>
    <w:rsid w:val="61BC1668"/>
    <w:rsid w:val="62ED72E2"/>
    <w:rsid w:val="633E0F26"/>
    <w:rsid w:val="634420AD"/>
    <w:rsid w:val="670747A8"/>
    <w:rsid w:val="679B0858"/>
    <w:rsid w:val="681A56BD"/>
    <w:rsid w:val="68DF53F7"/>
    <w:rsid w:val="6B8B10F7"/>
    <w:rsid w:val="6C3635C3"/>
    <w:rsid w:val="6D4437BB"/>
    <w:rsid w:val="6E5129A0"/>
    <w:rsid w:val="6EF900D3"/>
    <w:rsid w:val="708970E2"/>
    <w:rsid w:val="7152505D"/>
    <w:rsid w:val="71D339FF"/>
    <w:rsid w:val="725E0538"/>
    <w:rsid w:val="741407BE"/>
    <w:rsid w:val="74E047F8"/>
    <w:rsid w:val="768E6ABA"/>
    <w:rsid w:val="773B4DD7"/>
    <w:rsid w:val="79F631A3"/>
    <w:rsid w:val="7BE9446F"/>
    <w:rsid w:val="7C407FF3"/>
    <w:rsid w:val="7EB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 First Indent 2_98c1d21a-eeb7-41c6-a34b-3b904de055b1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仿宋_GB2312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2024-07-10T03:15:00Z</dcterms:created>
  <dc:creator>Administrator</dc:creator>
  <cp:lastModifiedBy>演示人</cp:lastModifiedBy>
  <dcterms:modified xsi:type="dcterms:W3CDTF">2025-06-04T01:47:40Z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8255C517A071483EA15BFD727DD6AAF6_12</vt:lpwstr>
  </property>
  <property fmtid="{D5CDD505-2E9C-101B-9397-08002B2CF9AE}" pid="4" name="KSOTemplateDocerSaveRecord">
    <vt:lpwstr>eyJoZGlkIjoiOTI5MjJhYWMwODk4NjUxMTcwZWFjNmRlN2FjMTJlNTUiLCJ1c2VySWQiOiIyNDc1MjUzMDgifQ==</vt:lpwstr>
  </property>
</Properties>
</file>