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DB2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s="Times New Roman"/>
          <w:w w:val="100"/>
          <w:sz w:val="44"/>
          <w:szCs w:val="44"/>
          <w:lang w:val="en-US" w:eastAsia="zh-CN"/>
        </w:rPr>
      </w:pPr>
      <w:r>
        <w:rPr>
          <w:rFonts w:hint="eastAsia" w:ascii="方正小标宋简体" w:hAnsi="华文中宋" w:eastAsia="方正小标宋简体"/>
          <w:w w:val="100"/>
          <w:sz w:val="44"/>
          <w:szCs w:val="44"/>
          <w:lang w:eastAsia="zh-CN"/>
        </w:rPr>
        <w:t>达拉特旗人民</w:t>
      </w:r>
      <w:r>
        <w:rPr>
          <w:rFonts w:hint="eastAsia" w:ascii="方正小标宋简体" w:hAnsi="华文中宋" w:eastAsia="方正小标宋简体" w:cs="Times New Roman"/>
          <w:w w:val="100"/>
          <w:sz w:val="44"/>
          <w:szCs w:val="44"/>
          <w:lang w:val="en-US" w:eastAsia="zh-CN"/>
        </w:rPr>
        <w:t>政府关于印发《达拉特旗</w:t>
      </w:r>
    </w:p>
    <w:p w14:paraId="2DD9DC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s="Times New Roman"/>
          <w:w w:val="100"/>
          <w:sz w:val="44"/>
          <w:szCs w:val="44"/>
          <w:lang w:val="en-US" w:eastAsia="zh-CN"/>
        </w:rPr>
      </w:pPr>
      <w:r>
        <w:rPr>
          <w:rFonts w:hint="eastAsia" w:ascii="方正小标宋简体" w:hAnsi="华文中宋" w:eastAsia="方正小标宋简体" w:cs="Times New Roman"/>
          <w:w w:val="100"/>
          <w:sz w:val="44"/>
          <w:szCs w:val="44"/>
          <w:lang w:val="en-US" w:eastAsia="zh-CN"/>
        </w:rPr>
        <w:t>2025年耕地地力保护补贴项目</w:t>
      </w:r>
    </w:p>
    <w:p w14:paraId="01C616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w w:val="100"/>
          <w:sz w:val="44"/>
          <w:szCs w:val="44"/>
        </w:rPr>
      </w:pPr>
      <w:r>
        <w:rPr>
          <w:rFonts w:hint="eastAsia" w:ascii="方正小标宋简体" w:hAnsi="华文中宋" w:eastAsia="方正小标宋简体" w:cs="Times New Roman"/>
          <w:w w:val="100"/>
          <w:sz w:val="44"/>
          <w:szCs w:val="44"/>
          <w:lang w:val="en-US" w:eastAsia="zh-CN"/>
        </w:rPr>
        <w:t>工作实施方案》的通知</w:t>
      </w:r>
    </w:p>
    <w:p w14:paraId="6C385E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sz w:val="32"/>
          <w:lang w:eastAsia="zh-CN"/>
        </w:rPr>
      </w:pPr>
    </w:p>
    <w:p w14:paraId="1F9451A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各苏木镇</w:t>
      </w:r>
      <w:r>
        <w:rPr>
          <w:rFonts w:hint="default" w:ascii="Times New Roman" w:hAnsi="Times New Roman" w:eastAsia="仿宋_GB2312" w:cs="Times New Roman"/>
          <w:sz w:val="32"/>
          <w:lang w:val="en-US" w:eastAsia="zh-CN"/>
        </w:rPr>
        <w:t>人民政府</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各有</w:t>
      </w:r>
      <w:r>
        <w:rPr>
          <w:rFonts w:hint="default" w:ascii="Times New Roman" w:hAnsi="Times New Roman" w:eastAsia="仿宋_GB2312" w:cs="Times New Roman"/>
          <w:sz w:val="32"/>
          <w:lang w:eastAsia="zh-CN"/>
        </w:rPr>
        <w:t>关部门：</w:t>
      </w:r>
    </w:p>
    <w:p w14:paraId="3EFBD77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现将《达拉特旗2025年耕地地力保护补贴项目实施方案》印发给你们，请结合实际，认真贯彻落实。</w:t>
      </w:r>
    </w:p>
    <w:p w14:paraId="76467AC9">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lang w:eastAsia="zh-CN"/>
        </w:rPr>
      </w:pPr>
    </w:p>
    <w:p w14:paraId="00457B7C">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lang w:eastAsia="zh-CN"/>
        </w:rPr>
      </w:pPr>
    </w:p>
    <w:p w14:paraId="5F52A849">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达拉特旗</w:t>
      </w:r>
      <w:r>
        <w:rPr>
          <w:rFonts w:hint="default" w:ascii="Times New Roman" w:hAnsi="Times New Roman" w:eastAsia="仿宋_GB2312" w:cs="Times New Roman"/>
          <w:sz w:val="32"/>
        </w:rPr>
        <w:t>人民政府</w:t>
      </w:r>
    </w:p>
    <w:p w14:paraId="59A8CB22">
      <w:pPr>
        <w:keepNext w:val="0"/>
        <w:keepLines w:val="0"/>
        <w:pageBreakBefore w:val="0"/>
        <w:widowControl w:val="0"/>
        <w:kinsoku/>
        <w:wordWrap/>
        <w:overflowPunct/>
        <w:topLinePunct w:val="0"/>
        <w:autoSpaceDE/>
        <w:autoSpaceDN/>
        <w:bidi w:val="0"/>
        <w:adjustRightInd/>
        <w:snapToGrid/>
        <w:spacing w:line="560" w:lineRule="exact"/>
        <w:ind w:left="3352" w:leftChars="1596" w:firstLine="480" w:firstLineChars="15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20</w:t>
      </w:r>
      <w:r>
        <w:rPr>
          <w:rFonts w:hint="default" w:ascii="Times New Roman" w:hAnsi="Times New Roman" w:eastAsia="仿宋_GB2312" w:cs="Times New Roman"/>
          <w:sz w:val="32"/>
          <w:lang w:val="en-US" w:eastAsia="zh-CN"/>
        </w:rPr>
        <w:t>2</w:t>
      </w:r>
      <w:r>
        <w:rPr>
          <w:rFonts w:hint="eastAsia" w:ascii="Times New Roman" w:hAnsi="Times New Roman" w:eastAsia="仿宋_GB2312" w:cs="Times New Roman"/>
          <w:sz w:val="32"/>
          <w:lang w:val="en-US" w:eastAsia="zh-CN"/>
        </w:rPr>
        <w:t>5</w:t>
      </w:r>
      <w:r>
        <w:rPr>
          <w:rFonts w:hint="default" w:ascii="Times New Roman" w:hAnsi="Times New Roman" w:eastAsia="仿宋_GB2312" w:cs="Times New Roman"/>
          <w:sz w:val="32"/>
        </w:rPr>
        <w:t>年</w:t>
      </w:r>
      <w:r>
        <w:rPr>
          <w:rFonts w:hint="eastAsia" w:ascii="Times New Roman" w:hAnsi="Times New Roman" w:eastAsia="仿宋_GB2312" w:cs="Times New Roman"/>
          <w:sz w:val="32"/>
          <w:lang w:val="en-US" w:eastAsia="zh-CN"/>
        </w:rPr>
        <w:t>4</w:t>
      </w:r>
      <w:r>
        <w:rPr>
          <w:rFonts w:hint="default" w:ascii="Times New Roman" w:hAnsi="Times New Roman" w:eastAsia="仿宋_GB2312" w:cs="Times New Roman"/>
          <w:sz w:val="32"/>
        </w:rPr>
        <w:t>月</w:t>
      </w:r>
      <w:r>
        <w:rPr>
          <w:rFonts w:hint="eastAsia" w:ascii="Times New Roman" w:hAnsi="Times New Roman" w:eastAsia="仿宋_GB2312" w:cs="Times New Roman"/>
          <w:sz w:val="32"/>
          <w:lang w:val="en-US" w:eastAsia="zh-CN"/>
        </w:rPr>
        <w:t>2</w:t>
      </w:r>
      <w:r>
        <w:rPr>
          <w:rFonts w:hint="default" w:ascii="Times New Roman" w:hAnsi="Times New Roman" w:eastAsia="仿宋_GB2312" w:cs="Times New Roman"/>
          <w:sz w:val="32"/>
        </w:rPr>
        <w:t>日</w:t>
      </w:r>
    </w:p>
    <w:p w14:paraId="7C655B8D">
      <w:pPr>
        <w:keepNext w:val="0"/>
        <w:keepLines w:val="0"/>
        <w:pageBreakBefore w:val="0"/>
        <w:widowControl w:val="0"/>
        <w:kinsoku w:val="0"/>
        <w:wordWrap/>
        <w:overflowPunct w:val="0"/>
        <w:topLinePunct w:val="0"/>
        <w:autoSpaceDE w:val="0"/>
        <w:autoSpaceDN w:val="0"/>
        <w:bidi w:val="0"/>
        <w:adjustRightInd/>
        <w:snapToGrid/>
        <w:spacing w:after="0" w:line="560" w:lineRule="exact"/>
        <w:ind w:left="0" w:leftChars="0" w:right="0"/>
        <w:jc w:val="center"/>
        <w:textAlignment w:val="auto"/>
        <w:outlineLvl w:val="9"/>
        <w:rPr>
          <w:rFonts w:hint="default" w:ascii="Times New Roman" w:hAnsi="Times New Roman" w:eastAsia="方正小标宋简体" w:cs="Times New Roman"/>
          <w:snapToGrid w:val="0"/>
          <w:color w:val="auto"/>
          <w:spacing w:val="0"/>
          <w:kern w:val="0"/>
          <w:sz w:val="44"/>
          <w:szCs w:val="44"/>
          <w:lang w:val="en-US" w:eastAsia="zh-CN" w:bidi="ar-SA"/>
        </w:rPr>
      </w:pPr>
    </w:p>
    <w:p w14:paraId="05CB74FB">
      <w:pPr>
        <w:keepNext w:val="0"/>
        <w:keepLines w:val="0"/>
        <w:pageBreakBefore w:val="0"/>
        <w:widowControl w:val="0"/>
        <w:kinsoku w:val="0"/>
        <w:wordWrap/>
        <w:overflowPunct w:val="0"/>
        <w:topLinePunct w:val="0"/>
        <w:autoSpaceDE w:val="0"/>
        <w:autoSpaceDN w:val="0"/>
        <w:bidi w:val="0"/>
        <w:adjustRightInd/>
        <w:snapToGrid/>
        <w:spacing w:after="0" w:line="560" w:lineRule="exact"/>
        <w:ind w:left="0" w:leftChars="0" w:right="0"/>
        <w:jc w:val="center"/>
        <w:textAlignment w:val="auto"/>
        <w:outlineLvl w:val="9"/>
        <w:rPr>
          <w:rFonts w:hint="default" w:ascii="Times New Roman" w:hAnsi="Times New Roman" w:eastAsia="方正小标宋简体" w:cs="Times New Roman"/>
          <w:snapToGrid w:val="0"/>
          <w:color w:val="auto"/>
          <w:spacing w:val="0"/>
          <w:kern w:val="0"/>
          <w:sz w:val="44"/>
          <w:szCs w:val="44"/>
          <w:lang w:val="en-US" w:eastAsia="zh-CN" w:bidi="ar-SA"/>
        </w:rPr>
      </w:pPr>
    </w:p>
    <w:p w14:paraId="486B764B">
      <w:pPr>
        <w:keepNext w:val="0"/>
        <w:keepLines w:val="0"/>
        <w:pageBreakBefore w:val="0"/>
        <w:widowControl w:val="0"/>
        <w:kinsoku w:val="0"/>
        <w:wordWrap/>
        <w:overflowPunct w:val="0"/>
        <w:topLinePunct w:val="0"/>
        <w:autoSpaceDE w:val="0"/>
        <w:autoSpaceDN w:val="0"/>
        <w:bidi w:val="0"/>
        <w:adjustRightInd/>
        <w:snapToGrid/>
        <w:spacing w:after="0" w:line="560" w:lineRule="exact"/>
        <w:ind w:left="0" w:leftChars="0" w:right="0"/>
        <w:jc w:val="center"/>
        <w:textAlignment w:val="auto"/>
        <w:outlineLvl w:val="9"/>
        <w:rPr>
          <w:rFonts w:hint="default" w:ascii="Times New Roman" w:hAnsi="Times New Roman" w:eastAsia="方正小标宋简体" w:cs="Times New Roman"/>
          <w:snapToGrid w:val="0"/>
          <w:color w:val="auto"/>
          <w:spacing w:val="0"/>
          <w:kern w:val="0"/>
          <w:sz w:val="44"/>
          <w:szCs w:val="44"/>
          <w:lang w:val="en-US" w:eastAsia="zh-CN" w:bidi="ar-SA"/>
        </w:rPr>
      </w:pPr>
    </w:p>
    <w:p w14:paraId="68B89EDA">
      <w:pPr>
        <w:keepNext w:val="0"/>
        <w:keepLines w:val="0"/>
        <w:pageBreakBefore w:val="0"/>
        <w:widowControl w:val="0"/>
        <w:kinsoku w:val="0"/>
        <w:wordWrap/>
        <w:overflowPunct w:val="0"/>
        <w:topLinePunct w:val="0"/>
        <w:autoSpaceDE w:val="0"/>
        <w:autoSpaceDN w:val="0"/>
        <w:bidi w:val="0"/>
        <w:adjustRightInd/>
        <w:snapToGrid/>
        <w:spacing w:after="0" w:line="560" w:lineRule="exact"/>
        <w:ind w:left="0" w:leftChars="0" w:right="0"/>
        <w:jc w:val="center"/>
        <w:textAlignment w:val="auto"/>
        <w:outlineLvl w:val="9"/>
        <w:rPr>
          <w:rFonts w:hint="default" w:ascii="Times New Roman" w:hAnsi="Times New Roman" w:eastAsia="方正小标宋简体" w:cs="Times New Roman"/>
          <w:snapToGrid w:val="0"/>
          <w:color w:val="auto"/>
          <w:spacing w:val="0"/>
          <w:kern w:val="0"/>
          <w:sz w:val="44"/>
          <w:szCs w:val="44"/>
          <w:lang w:val="en-US" w:eastAsia="zh-CN" w:bidi="ar-SA"/>
        </w:rPr>
      </w:pPr>
    </w:p>
    <w:p w14:paraId="3237546D">
      <w:pPr>
        <w:keepNext w:val="0"/>
        <w:keepLines w:val="0"/>
        <w:pageBreakBefore w:val="0"/>
        <w:widowControl w:val="0"/>
        <w:kinsoku w:val="0"/>
        <w:wordWrap/>
        <w:overflowPunct w:val="0"/>
        <w:topLinePunct w:val="0"/>
        <w:autoSpaceDE w:val="0"/>
        <w:autoSpaceDN w:val="0"/>
        <w:bidi w:val="0"/>
        <w:adjustRightInd/>
        <w:snapToGrid/>
        <w:spacing w:after="0" w:line="560" w:lineRule="exact"/>
        <w:ind w:left="0" w:leftChars="0" w:right="0"/>
        <w:jc w:val="center"/>
        <w:textAlignment w:val="auto"/>
        <w:outlineLvl w:val="9"/>
        <w:rPr>
          <w:rFonts w:hint="default" w:ascii="Times New Roman" w:hAnsi="Times New Roman" w:eastAsia="方正小标宋简体" w:cs="Times New Roman"/>
          <w:snapToGrid w:val="0"/>
          <w:color w:val="auto"/>
          <w:spacing w:val="0"/>
          <w:kern w:val="0"/>
          <w:sz w:val="44"/>
          <w:szCs w:val="44"/>
          <w:lang w:val="en-US" w:eastAsia="zh-CN" w:bidi="ar-SA"/>
        </w:rPr>
      </w:pPr>
    </w:p>
    <w:p w14:paraId="3998BF8F">
      <w:pPr>
        <w:keepNext w:val="0"/>
        <w:keepLines w:val="0"/>
        <w:pageBreakBefore w:val="0"/>
        <w:widowControl w:val="0"/>
        <w:kinsoku w:val="0"/>
        <w:wordWrap/>
        <w:overflowPunct w:val="0"/>
        <w:topLinePunct w:val="0"/>
        <w:autoSpaceDE w:val="0"/>
        <w:autoSpaceDN w:val="0"/>
        <w:bidi w:val="0"/>
        <w:adjustRightInd/>
        <w:snapToGrid/>
        <w:spacing w:after="0" w:line="560" w:lineRule="exact"/>
        <w:ind w:left="0" w:leftChars="0" w:right="0"/>
        <w:jc w:val="center"/>
        <w:textAlignment w:val="auto"/>
        <w:outlineLvl w:val="9"/>
        <w:rPr>
          <w:rFonts w:hint="default" w:ascii="Times New Roman" w:hAnsi="Times New Roman" w:eastAsia="方正小标宋简体" w:cs="Times New Roman"/>
          <w:snapToGrid w:val="0"/>
          <w:color w:val="auto"/>
          <w:spacing w:val="0"/>
          <w:kern w:val="0"/>
          <w:sz w:val="44"/>
          <w:szCs w:val="44"/>
          <w:lang w:val="en-US" w:eastAsia="zh-CN" w:bidi="ar-SA"/>
        </w:rPr>
      </w:pPr>
    </w:p>
    <w:p w14:paraId="5BE2ED1A">
      <w:pPr>
        <w:keepNext w:val="0"/>
        <w:keepLines w:val="0"/>
        <w:pageBreakBefore w:val="0"/>
        <w:widowControl w:val="0"/>
        <w:kinsoku w:val="0"/>
        <w:wordWrap/>
        <w:overflowPunct w:val="0"/>
        <w:topLinePunct w:val="0"/>
        <w:autoSpaceDE w:val="0"/>
        <w:autoSpaceDN w:val="0"/>
        <w:bidi w:val="0"/>
        <w:adjustRightInd/>
        <w:snapToGrid/>
        <w:spacing w:after="0" w:line="560" w:lineRule="exact"/>
        <w:ind w:left="0" w:leftChars="0" w:right="0"/>
        <w:jc w:val="center"/>
        <w:textAlignment w:val="auto"/>
        <w:outlineLvl w:val="9"/>
        <w:rPr>
          <w:rFonts w:hint="default" w:ascii="Times New Roman" w:hAnsi="Times New Roman" w:eastAsia="方正小标宋简体" w:cs="Times New Roman"/>
          <w:snapToGrid w:val="0"/>
          <w:color w:val="auto"/>
          <w:spacing w:val="0"/>
          <w:kern w:val="0"/>
          <w:sz w:val="44"/>
          <w:szCs w:val="44"/>
          <w:lang w:val="en-US" w:eastAsia="zh-CN" w:bidi="ar-SA"/>
        </w:rPr>
      </w:pPr>
    </w:p>
    <w:p w14:paraId="543C314A">
      <w:pPr>
        <w:keepNext w:val="0"/>
        <w:keepLines w:val="0"/>
        <w:pageBreakBefore w:val="0"/>
        <w:widowControl w:val="0"/>
        <w:kinsoku w:val="0"/>
        <w:wordWrap/>
        <w:overflowPunct w:val="0"/>
        <w:topLinePunct w:val="0"/>
        <w:autoSpaceDE w:val="0"/>
        <w:autoSpaceDN w:val="0"/>
        <w:bidi w:val="0"/>
        <w:adjustRightInd/>
        <w:snapToGrid/>
        <w:spacing w:after="0" w:line="560" w:lineRule="exact"/>
        <w:ind w:left="0" w:leftChars="0" w:right="0"/>
        <w:jc w:val="center"/>
        <w:textAlignment w:val="auto"/>
        <w:outlineLvl w:val="9"/>
        <w:rPr>
          <w:rFonts w:hint="default" w:ascii="Times New Roman" w:hAnsi="Times New Roman" w:eastAsia="方正小标宋简体" w:cs="Times New Roman"/>
          <w:snapToGrid w:val="0"/>
          <w:color w:val="auto"/>
          <w:spacing w:val="0"/>
          <w:kern w:val="0"/>
          <w:sz w:val="44"/>
          <w:szCs w:val="44"/>
          <w:lang w:val="en-US" w:eastAsia="zh-CN" w:bidi="ar-SA"/>
        </w:rPr>
      </w:pPr>
    </w:p>
    <w:p w14:paraId="3AF02559">
      <w:pPr>
        <w:keepNext w:val="0"/>
        <w:keepLines w:val="0"/>
        <w:pageBreakBefore w:val="0"/>
        <w:widowControl w:val="0"/>
        <w:kinsoku w:val="0"/>
        <w:wordWrap/>
        <w:overflowPunct w:val="0"/>
        <w:topLinePunct w:val="0"/>
        <w:autoSpaceDE w:val="0"/>
        <w:autoSpaceDN w:val="0"/>
        <w:bidi w:val="0"/>
        <w:adjustRightInd/>
        <w:snapToGrid/>
        <w:spacing w:after="0" w:line="560" w:lineRule="exact"/>
        <w:ind w:left="0" w:leftChars="0" w:right="0"/>
        <w:jc w:val="center"/>
        <w:textAlignment w:val="auto"/>
        <w:outlineLvl w:val="9"/>
        <w:rPr>
          <w:rFonts w:hint="default" w:ascii="Times New Roman" w:hAnsi="Times New Roman" w:eastAsia="方正小标宋简体" w:cs="Times New Roman"/>
          <w:snapToGrid w:val="0"/>
          <w:color w:val="auto"/>
          <w:spacing w:val="0"/>
          <w:kern w:val="0"/>
          <w:sz w:val="44"/>
          <w:szCs w:val="44"/>
          <w:lang w:val="en-US" w:eastAsia="zh-CN" w:bidi="ar-SA"/>
        </w:rPr>
      </w:pPr>
    </w:p>
    <w:p w14:paraId="55324912">
      <w:pPr>
        <w:keepNext w:val="0"/>
        <w:keepLines w:val="0"/>
        <w:pageBreakBefore w:val="0"/>
        <w:widowControl w:val="0"/>
        <w:kinsoku w:val="0"/>
        <w:wordWrap/>
        <w:overflowPunct w:val="0"/>
        <w:topLinePunct w:val="0"/>
        <w:autoSpaceDE w:val="0"/>
        <w:autoSpaceDN w:val="0"/>
        <w:bidi w:val="0"/>
        <w:adjustRightInd/>
        <w:snapToGrid/>
        <w:spacing w:after="0" w:line="560" w:lineRule="exact"/>
        <w:ind w:left="0" w:leftChars="0" w:right="0"/>
        <w:jc w:val="center"/>
        <w:textAlignment w:val="auto"/>
        <w:outlineLvl w:val="9"/>
        <w:rPr>
          <w:rFonts w:hint="default" w:ascii="Times New Roman" w:hAnsi="Times New Roman" w:eastAsia="方正小标宋简体" w:cs="Times New Roman"/>
          <w:snapToGrid w:val="0"/>
          <w:color w:val="auto"/>
          <w:spacing w:val="0"/>
          <w:kern w:val="0"/>
          <w:sz w:val="44"/>
          <w:szCs w:val="44"/>
          <w:lang w:val="en-US" w:eastAsia="zh-CN" w:bidi="ar-SA"/>
        </w:rPr>
      </w:pPr>
    </w:p>
    <w:p w14:paraId="1D34750F">
      <w:pPr>
        <w:keepNext w:val="0"/>
        <w:keepLines w:val="0"/>
        <w:pageBreakBefore w:val="0"/>
        <w:widowControl w:val="0"/>
        <w:kinsoku w:val="0"/>
        <w:wordWrap/>
        <w:overflowPunct w:val="0"/>
        <w:topLinePunct w:val="0"/>
        <w:autoSpaceDE w:val="0"/>
        <w:autoSpaceDN w:val="0"/>
        <w:bidi w:val="0"/>
        <w:adjustRightInd/>
        <w:snapToGrid/>
        <w:spacing w:after="0" w:line="560" w:lineRule="exact"/>
        <w:ind w:left="0" w:leftChars="0" w:right="0"/>
        <w:jc w:val="center"/>
        <w:textAlignment w:val="auto"/>
        <w:outlineLvl w:val="9"/>
        <w:rPr>
          <w:rFonts w:hint="default" w:ascii="Times New Roman" w:hAnsi="Times New Roman" w:eastAsia="方正小标宋简体" w:cs="Times New Roman"/>
          <w:snapToGrid w:val="0"/>
          <w:color w:val="auto"/>
          <w:spacing w:val="0"/>
          <w:kern w:val="0"/>
          <w:sz w:val="44"/>
          <w:szCs w:val="44"/>
          <w:lang w:val="en-US" w:eastAsia="zh-CN" w:bidi="ar-SA"/>
        </w:rPr>
      </w:pPr>
    </w:p>
    <w:p w14:paraId="02CD9C12">
      <w:pPr>
        <w:keepNext w:val="0"/>
        <w:keepLines w:val="0"/>
        <w:pageBreakBefore w:val="0"/>
        <w:widowControl w:val="0"/>
        <w:kinsoku w:val="0"/>
        <w:wordWrap/>
        <w:overflowPunct w:val="0"/>
        <w:topLinePunct w:val="0"/>
        <w:autoSpaceDE w:val="0"/>
        <w:autoSpaceDN w:val="0"/>
        <w:bidi w:val="0"/>
        <w:adjustRightInd/>
        <w:snapToGrid/>
        <w:spacing w:after="0" w:line="560" w:lineRule="exact"/>
        <w:ind w:left="0" w:leftChars="0" w:right="0"/>
        <w:jc w:val="center"/>
        <w:textAlignment w:val="auto"/>
        <w:outlineLvl w:val="9"/>
        <w:rPr>
          <w:rFonts w:hint="default" w:ascii="Times New Roman" w:hAnsi="Times New Roman" w:eastAsia="方正小标宋简体" w:cs="Times New Roman"/>
          <w:snapToGrid w:val="0"/>
          <w:color w:val="auto"/>
          <w:spacing w:val="0"/>
          <w:kern w:val="0"/>
          <w:sz w:val="44"/>
          <w:szCs w:val="44"/>
          <w:lang w:val="en-US" w:eastAsia="zh-CN" w:bidi="ar-SA"/>
        </w:rPr>
      </w:pPr>
      <w:r>
        <w:rPr>
          <w:rFonts w:hint="default" w:ascii="Times New Roman" w:hAnsi="Times New Roman" w:eastAsia="方正小标宋简体" w:cs="Times New Roman"/>
          <w:snapToGrid w:val="0"/>
          <w:color w:val="auto"/>
          <w:spacing w:val="0"/>
          <w:kern w:val="0"/>
          <w:sz w:val="44"/>
          <w:szCs w:val="44"/>
          <w:lang w:val="en-US" w:eastAsia="zh-CN" w:bidi="ar-SA"/>
        </w:rPr>
        <w:t>达拉特旗202</w:t>
      </w:r>
      <w:r>
        <w:rPr>
          <w:rFonts w:hint="eastAsia" w:ascii="Times New Roman" w:hAnsi="Times New Roman" w:eastAsia="方正小标宋简体" w:cs="Times New Roman"/>
          <w:snapToGrid w:val="0"/>
          <w:color w:val="auto"/>
          <w:spacing w:val="0"/>
          <w:kern w:val="0"/>
          <w:sz w:val="44"/>
          <w:szCs w:val="44"/>
          <w:lang w:val="en-US" w:eastAsia="zh-CN" w:bidi="ar-SA"/>
        </w:rPr>
        <w:t>5</w:t>
      </w:r>
      <w:r>
        <w:rPr>
          <w:rFonts w:hint="default" w:ascii="Times New Roman" w:hAnsi="Times New Roman" w:eastAsia="方正小标宋简体" w:cs="Times New Roman"/>
          <w:snapToGrid w:val="0"/>
          <w:color w:val="auto"/>
          <w:spacing w:val="0"/>
          <w:kern w:val="0"/>
          <w:sz w:val="44"/>
          <w:szCs w:val="44"/>
          <w:lang w:val="en-US" w:eastAsia="zh-CN" w:bidi="ar-SA"/>
        </w:rPr>
        <w:t>年耕地地力保护补贴项目</w:t>
      </w:r>
    </w:p>
    <w:p w14:paraId="2DDBBF9C">
      <w:pPr>
        <w:keepNext w:val="0"/>
        <w:keepLines w:val="0"/>
        <w:pageBreakBefore w:val="0"/>
        <w:widowControl w:val="0"/>
        <w:kinsoku w:val="0"/>
        <w:wordWrap/>
        <w:overflowPunct w:val="0"/>
        <w:topLinePunct w:val="0"/>
        <w:autoSpaceDE w:val="0"/>
        <w:autoSpaceDN w:val="0"/>
        <w:bidi w:val="0"/>
        <w:adjustRightInd/>
        <w:snapToGrid/>
        <w:spacing w:after="0" w:line="560" w:lineRule="exact"/>
        <w:ind w:left="0" w:leftChars="0" w:right="0"/>
        <w:jc w:val="center"/>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方正小标宋简体" w:cs="Times New Roman"/>
          <w:snapToGrid w:val="0"/>
          <w:color w:val="auto"/>
          <w:spacing w:val="0"/>
          <w:kern w:val="0"/>
          <w:sz w:val="44"/>
          <w:szCs w:val="44"/>
          <w:lang w:val="en-US" w:eastAsia="zh-CN" w:bidi="ar-SA"/>
        </w:rPr>
        <w:t>工作实施方案</w:t>
      </w:r>
    </w:p>
    <w:p w14:paraId="03F4A825">
      <w:pPr>
        <w:keepNext w:val="0"/>
        <w:keepLines w:val="0"/>
        <w:pageBreakBefore w:val="0"/>
        <w:widowControl w:val="0"/>
        <w:kinsoku/>
        <w:wordWrap/>
        <w:overflowPunct/>
        <w:topLinePunct w:val="0"/>
        <w:bidi w:val="0"/>
        <w:spacing w:after="0" w:line="560" w:lineRule="exact"/>
        <w:ind w:left="0" w:leftChars="0" w:right="0"/>
        <w:jc w:val="both"/>
        <w:outlineLvl w:val="9"/>
        <w:rPr>
          <w:rFonts w:hint="default" w:ascii="Arial" w:hAnsi="Arial" w:eastAsia="仿宋" w:cs="Arial"/>
          <w:spacing w:val="4"/>
          <w:sz w:val="21"/>
          <w:szCs w:val="21"/>
        </w:rPr>
      </w:pPr>
    </w:p>
    <w:p w14:paraId="65EE0701">
      <w:pPr>
        <w:pStyle w:val="4"/>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60" w:lineRule="exact"/>
        <w:ind w:left="0" w:leftChars="0" w:right="0" w:firstLine="640" w:firstLineChars="200"/>
        <w:jc w:val="both"/>
        <w:textAlignment w:val="baseline"/>
        <w:outlineLvl w:val="9"/>
        <w:rPr>
          <w:rFonts w:hint="default" w:ascii="Times New Roman" w:hAnsi="Times New Roman" w:eastAsia="仿宋_GB2312" w:cs="Times New Roman"/>
          <w:color w:val="auto"/>
          <w:spacing w:val="0"/>
          <w:sz w:val="32"/>
          <w:szCs w:val="32"/>
        </w:rPr>
      </w:pPr>
      <w:r>
        <w:rPr>
          <w:rFonts w:hint="eastAsia" w:ascii="Times New Roman" w:hAnsi="Times New Roman" w:eastAsia="仿宋_GB2312" w:cs="Times New Roman"/>
          <w:snapToGrid w:val="0"/>
          <w:color w:val="auto"/>
          <w:spacing w:val="0"/>
          <w:kern w:val="0"/>
          <w:sz w:val="32"/>
          <w:szCs w:val="32"/>
          <w:u w:val="none"/>
          <w:shd w:val="clear" w:color="auto" w:fill="auto"/>
          <w:lang w:val="en-US" w:eastAsia="zh-CN" w:bidi="ar-SA"/>
        </w:rPr>
        <w:t>为进一步贯彻党中央、国务院有关落实最严格的耕地保护制度等决策部署，以铸牢中华民族共同体意识为工作主线，按照《鄂尔多斯市2025年耕地地力保护补贴实施方案》（鄂农牧发〔2025〕25号）</w:t>
      </w:r>
      <w:r>
        <w:rPr>
          <w:rFonts w:hint="default" w:ascii="Times New Roman" w:hAnsi="Times New Roman" w:eastAsia="仿宋_GB2312" w:cs="Times New Roman"/>
          <w:color w:val="auto"/>
          <w:spacing w:val="0"/>
          <w:sz w:val="32"/>
          <w:szCs w:val="32"/>
        </w:rPr>
        <w:t>的总体安排</w:t>
      </w:r>
      <w:r>
        <w:rPr>
          <w:rFonts w:hint="eastAsia" w:ascii="Times New Roman" w:hAnsi="Times New Roman" w:eastAsia="仿宋_GB2312" w:cs="Times New Roman"/>
          <w:snapToGrid w:val="0"/>
          <w:color w:val="auto"/>
          <w:spacing w:val="0"/>
          <w:kern w:val="0"/>
          <w:sz w:val="32"/>
          <w:szCs w:val="32"/>
          <w:u w:val="none"/>
          <w:shd w:val="clear" w:color="auto" w:fill="auto"/>
          <w:lang w:val="en-US" w:eastAsia="zh-CN" w:bidi="ar-SA"/>
        </w:rPr>
        <w:t>，</w:t>
      </w:r>
      <w:r>
        <w:rPr>
          <w:rFonts w:hint="default" w:ascii="Times New Roman" w:hAnsi="Times New Roman" w:eastAsia="仿宋_GB2312" w:cs="Times New Roman"/>
          <w:color w:val="auto"/>
          <w:spacing w:val="0"/>
          <w:sz w:val="32"/>
          <w:szCs w:val="32"/>
        </w:rPr>
        <w:t>结合我旗</w:t>
      </w:r>
      <w:r>
        <w:rPr>
          <w:rFonts w:hint="default" w:ascii="Times New Roman" w:hAnsi="Times New Roman" w:eastAsia="仿宋_GB2312" w:cs="Times New Roman"/>
          <w:color w:val="auto"/>
          <w:spacing w:val="0"/>
          <w:sz w:val="32"/>
          <w:szCs w:val="32"/>
          <w:lang w:eastAsia="zh-CN"/>
        </w:rPr>
        <w:t>耕地地力保护</w:t>
      </w:r>
      <w:r>
        <w:rPr>
          <w:rFonts w:hint="default" w:ascii="Times New Roman" w:hAnsi="Times New Roman" w:eastAsia="仿宋_GB2312" w:cs="Times New Roman"/>
          <w:color w:val="auto"/>
          <w:spacing w:val="0"/>
          <w:sz w:val="32"/>
          <w:szCs w:val="32"/>
        </w:rPr>
        <w:t>实际，制定本实施方案。</w:t>
      </w:r>
    </w:p>
    <w:p w14:paraId="1B03D994">
      <w:pPr>
        <w:keepNext w:val="0"/>
        <w:keepLines w:val="0"/>
        <w:pageBreakBefore w:val="0"/>
        <w:wordWrap/>
        <w:bidi w:val="0"/>
        <w:spacing w:line="560" w:lineRule="exact"/>
        <w:ind w:left="734"/>
        <w:outlineLvl w:val="0"/>
        <w:rPr>
          <w:rFonts w:ascii="黑体" w:hAnsi="黑体" w:eastAsia="黑体" w:cs="黑体"/>
          <w:b w:val="0"/>
          <w:bCs w:val="0"/>
          <w:sz w:val="32"/>
          <w:szCs w:val="32"/>
        </w:rPr>
      </w:pPr>
      <w:r>
        <w:rPr>
          <w:rFonts w:ascii="黑体" w:hAnsi="黑体" w:eastAsia="黑体" w:cs="黑体"/>
          <w:b w:val="0"/>
          <w:bCs w:val="0"/>
          <w:spacing w:val="4"/>
          <w:sz w:val="32"/>
          <w:szCs w:val="32"/>
        </w:rPr>
        <w:t>一、总体要求</w:t>
      </w:r>
    </w:p>
    <w:p w14:paraId="7D736FCB">
      <w:pPr>
        <w:pStyle w:val="4"/>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60" w:lineRule="exact"/>
        <w:ind w:left="0" w:leftChars="0" w:right="0" w:firstLine="656" w:firstLineChars="200"/>
        <w:jc w:val="both"/>
        <w:textAlignment w:val="baseline"/>
        <w:outlineLvl w:val="9"/>
        <w:rPr>
          <w:rFonts w:hint="eastAsia" w:ascii="Times New Roman" w:hAnsi="Times New Roman" w:eastAsia="仿宋_GB2312" w:cs="Times New Roman"/>
          <w:color w:val="auto"/>
          <w:spacing w:val="0"/>
          <w:sz w:val="32"/>
          <w:szCs w:val="32"/>
          <w:lang w:val="en-US" w:eastAsia="zh-CN"/>
        </w:rPr>
      </w:pPr>
      <w:r>
        <w:rPr>
          <w:rFonts w:hint="eastAsia" w:ascii="仿宋_GB2312" w:hAnsi="仿宋_GB2312" w:eastAsia="仿宋_GB2312" w:cs="仿宋_GB2312"/>
          <w:spacing w:val="4"/>
          <w:sz w:val="32"/>
          <w:szCs w:val="32"/>
        </w:rPr>
        <w:t>保持现行补贴政策和管理制度基本稳定的基础上，以维护农</w:t>
      </w:r>
      <w:r>
        <w:rPr>
          <w:rFonts w:hint="eastAsia" w:ascii="仿宋_GB2312" w:hAnsi="仿宋_GB2312" w:eastAsia="仿宋_GB2312" w:cs="仿宋_GB2312"/>
          <w:spacing w:val="5"/>
          <w:sz w:val="32"/>
          <w:szCs w:val="32"/>
        </w:rPr>
        <w:t>牧民利益为原则，兼顾生产与生态、公平与效率、指</w:t>
      </w:r>
      <w:r>
        <w:rPr>
          <w:rFonts w:hint="eastAsia" w:ascii="仿宋_GB2312" w:hAnsi="仿宋_GB2312" w:eastAsia="仿宋_GB2312" w:cs="仿宋_GB2312"/>
          <w:spacing w:val="4"/>
          <w:sz w:val="32"/>
          <w:szCs w:val="32"/>
        </w:rPr>
        <w:t>向性与操作</w:t>
      </w:r>
      <w:r>
        <w:rPr>
          <w:rFonts w:hint="eastAsia" w:ascii="仿宋_GB2312" w:hAnsi="仿宋_GB2312" w:eastAsia="仿宋_GB2312" w:cs="仿宋_GB2312"/>
          <w:spacing w:val="5"/>
          <w:sz w:val="32"/>
          <w:szCs w:val="32"/>
        </w:rPr>
        <w:t>性，提高补贴政策实施效能，鼓励实行差异化发放补贴，</w:t>
      </w:r>
      <w:r>
        <w:rPr>
          <w:rFonts w:hint="eastAsia" w:ascii="仿宋_GB2312" w:hAnsi="仿宋_GB2312" w:eastAsia="仿宋_GB2312" w:cs="仿宋_GB2312"/>
          <w:spacing w:val="4"/>
          <w:sz w:val="32"/>
          <w:szCs w:val="32"/>
        </w:rPr>
        <w:t>做到不</w:t>
      </w:r>
      <w:r>
        <w:rPr>
          <w:rFonts w:hint="eastAsia" w:ascii="仿宋_GB2312" w:hAnsi="仿宋_GB2312" w:eastAsia="仿宋_GB2312" w:cs="仿宋_GB2312"/>
          <w:spacing w:val="-3"/>
          <w:sz w:val="32"/>
          <w:szCs w:val="32"/>
        </w:rPr>
        <w:t>该发的坚决不发、该发的及时足额发，引导农牧民采取耕地保护、</w:t>
      </w:r>
      <w:r>
        <w:rPr>
          <w:rFonts w:hint="eastAsia" w:ascii="仿宋_GB2312" w:hAnsi="仿宋_GB2312" w:eastAsia="仿宋_GB2312" w:cs="仿宋_GB2312"/>
          <w:spacing w:val="6"/>
          <w:sz w:val="32"/>
          <w:szCs w:val="32"/>
        </w:rPr>
        <w:t>地力提升综合措施，带动耕地质量持</w:t>
      </w:r>
      <w:r>
        <w:rPr>
          <w:rFonts w:hint="eastAsia" w:ascii="Times New Roman" w:hAnsi="Times New Roman" w:eastAsia="仿宋_GB2312" w:cs="Times New Roman"/>
          <w:color w:val="auto"/>
          <w:spacing w:val="0"/>
          <w:sz w:val="32"/>
          <w:szCs w:val="32"/>
        </w:rPr>
        <w:t>续提高、粮食和重要农产品产能稳定提升。</w:t>
      </w:r>
    </w:p>
    <w:p w14:paraId="2BC6D32E">
      <w:pPr>
        <w:keepNext w:val="0"/>
        <w:keepLines w:val="0"/>
        <w:pageBreakBefore w:val="0"/>
        <w:wordWrap/>
        <w:bidi w:val="0"/>
        <w:spacing w:line="560" w:lineRule="exact"/>
        <w:ind w:left="734"/>
        <w:outlineLvl w:val="0"/>
        <w:rPr>
          <w:rFonts w:hint="default" w:ascii="黑体" w:hAnsi="黑体" w:eastAsia="黑体" w:cs="黑体"/>
          <w:b w:val="0"/>
          <w:bCs w:val="0"/>
          <w:spacing w:val="4"/>
          <w:sz w:val="32"/>
          <w:szCs w:val="32"/>
        </w:rPr>
      </w:pPr>
      <w:r>
        <w:rPr>
          <w:rFonts w:hint="default" w:ascii="黑体" w:hAnsi="黑体" w:eastAsia="黑体" w:cs="黑体"/>
          <w:b w:val="0"/>
          <w:bCs w:val="0"/>
          <w:spacing w:val="4"/>
          <w:sz w:val="32"/>
          <w:szCs w:val="32"/>
        </w:rPr>
        <w:t>二、精准补贴实施要求</w:t>
      </w:r>
    </w:p>
    <w:p w14:paraId="1417409D">
      <w:pPr>
        <w:pStyle w:val="4"/>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60" w:lineRule="exact"/>
        <w:ind w:right="0" w:firstLine="640" w:firstLineChars="200"/>
        <w:jc w:val="both"/>
        <w:textAlignment w:val="baseline"/>
        <w:outlineLvl w:val="9"/>
        <w:rPr>
          <w:rFonts w:ascii="仿宋" w:hAnsi="仿宋" w:eastAsia="仿宋" w:cs="仿宋"/>
          <w:spacing w:val="-4"/>
          <w:sz w:val="31"/>
          <w:szCs w:val="31"/>
        </w:rPr>
      </w:pPr>
      <w:r>
        <w:rPr>
          <w:rFonts w:hint="eastAsia"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（一）</w:t>
      </w: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补贴对象。</w:t>
      </w:r>
      <w:r>
        <w:rPr>
          <w:rFonts w:hint="eastAsia" w:ascii="仿宋_GB2312" w:hAnsi="仿宋_GB2312" w:eastAsia="仿宋_GB2312" w:cs="仿宋_GB2312"/>
          <w:color w:val="auto"/>
          <w:spacing w:val="0"/>
          <w:sz w:val="32"/>
          <w:szCs w:val="32"/>
        </w:rPr>
        <w:t>补贴对</w:t>
      </w:r>
      <w:r>
        <w:rPr>
          <w:rFonts w:hint="eastAsia" w:ascii="仿宋_GB2312" w:hAnsi="仿宋_GB2312" w:eastAsia="仿宋_GB2312" w:cs="仿宋_GB2312"/>
          <w:spacing w:val="11"/>
          <w:sz w:val="32"/>
          <w:szCs w:val="32"/>
        </w:rPr>
        <w:t>象原则上为拥有耕地承包权的种地</w:t>
      </w:r>
      <w:r>
        <w:rPr>
          <w:rFonts w:hint="eastAsia" w:ascii="仿宋_GB2312" w:hAnsi="仿宋_GB2312" w:eastAsia="仿宋_GB2312" w:cs="仿宋_GB2312"/>
          <w:spacing w:val="21"/>
          <w:sz w:val="32"/>
          <w:szCs w:val="32"/>
        </w:rPr>
        <w:t>农民(农场职工),公职人员不予补贴，补贴对象要保持基</w:t>
      </w:r>
      <w:r>
        <w:rPr>
          <w:rFonts w:hint="eastAsia" w:ascii="仿宋_GB2312" w:hAnsi="仿宋_GB2312" w:eastAsia="仿宋_GB2312" w:cs="仿宋_GB2312"/>
          <w:spacing w:val="5"/>
          <w:sz w:val="32"/>
          <w:szCs w:val="32"/>
        </w:rPr>
        <w:t>本稳定。公职人员范围参照《中华人民共和国公职人员政务处分</w:t>
      </w:r>
      <w:r>
        <w:rPr>
          <w:rFonts w:hint="eastAsia" w:ascii="仿宋_GB2312" w:hAnsi="仿宋_GB2312" w:eastAsia="仿宋_GB2312" w:cs="仿宋_GB2312"/>
          <w:spacing w:val="-4"/>
          <w:sz w:val="32"/>
          <w:szCs w:val="32"/>
        </w:rPr>
        <w:t>法》《中华人民共和国监察法》有关规定。</w:t>
      </w:r>
    </w:p>
    <w:p w14:paraId="085AB0F0">
      <w:pPr>
        <w:keepNext w:val="0"/>
        <w:keepLines w:val="0"/>
        <w:pageBreakBefore w:val="0"/>
        <w:widowControl/>
        <w:kinsoku/>
        <w:wordWrap/>
        <w:overflowPunct/>
        <w:topLinePunct w:val="0"/>
        <w:autoSpaceDE w:val="0"/>
        <w:autoSpaceDN w:val="0"/>
        <w:bidi w:val="0"/>
        <w:adjustRightInd w:val="0"/>
        <w:snapToGrid w:val="0"/>
        <w:spacing w:line="560" w:lineRule="exact"/>
        <w:ind w:right="0" w:firstLine="640" w:firstLineChars="200"/>
        <w:jc w:val="both"/>
        <w:textAlignment w:val="baseline"/>
        <w:rPr>
          <w:rFonts w:ascii="仿宋" w:hAnsi="仿宋" w:eastAsia="仿宋" w:cs="仿宋"/>
          <w:sz w:val="31"/>
          <w:szCs w:val="31"/>
        </w:rPr>
      </w:pPr>
      <w:r>
        <w:rPr>
          <w:rFonts w:hint="eastAsia"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（二）</w:t>
      </w: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补贴</w:t>
      </w:r>
      <w:r>
        <w:rPr>
          <w:rFonts w:hint="eastAsia"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方式及</w:t>
      </w: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依据。</w:t>
      </w:r>
      <w:r>
        <w:rPr>
          <w:rFonts w:hint="eastAsia" w:ascii="仿宋_GB2312" w:hAnsi="仿宋_GB2312" w:eastAsia="仿宋_GB2312" w:cs="仿宋_GB2312"/>
          <w:snapToGrid w:val="0"/>
          <w:color w:val="auto"/>
          <w:spacing w:val="0"/>
          <w:kern w:val="0"/>
          <w:sz w:val="32"/>
          <w:szCs w:val="32"/>
          <w:u w:val="none"/>
          <w:shd w:val="clear" w:color="auto" w:fill="auto"/>
          <w:lang w:val="en-US" w:eastAsia="zh-CN" w:bidi="ar-SA"/>
        </w:rPr>
        <w:t>补贴资金通过“一卡通”发放，资金分配依据为原计税耕地面积。</w:t>
      </w:r>
    </w:p>
    <w:p w14:paraId="7B408D3C">
      <w:pPr>
        <w:pStyle w:val="4"/>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60" w:lineRule="exact"/>
        <w:ind w:right="0" w:firstLine="640" w:firstLineChars="200"/>
        <w:jc w:val="both"/>
        <w:textAlignment w:val="baseline"/>
        <w:outlineLvl w:val="9"/>
        <w:rPr>
          <w:rFonts w:hint="eastAsia" w:ascii="仿宋_GB2312" w:hAnsi="仿宋_GB2312" w:eastAsia="仿宋_GB2312" w:cs="仿宋_GB2312"/>
          <w:spacing w:val="-3"/>
          <w:sz w:val="32"/>
          <w:szCs w:val="32"/>
        </w:rPr>
      </w:pPr>
      <w:r>
        <w:rPr>
          <w:rFonts w:hint="eastAsia"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（三）</w:t>
      </w: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不予补贴的情况。</w:t>
      </w:r>
      <w:r>
        <w:rPr>
          <w:rFonts w:hint="eastAsia" w:ascii="仿宋_GB2312" w:hAnsi="仿宋_GB2312" w:eastAsia="仿宋_GB2312" w:cs="仿宋_GB2312"/>
          <w:spacing w:val="9"/>
          <w:sz w:val="32"/>
          <w:szCs w:val="32"/>
        </w:rPr>
        <w:t>对</w:t>
      </w:r>
      <w:r>
        <w:rPr>
          <w:rFonts w:hint="eastAsia" w:ascii="Times New Roman" w:hAnsi="Times New Roman" w:eastAsia="仿宋_GB2312" w:cs="Times New Roman"/>
          <w:b w:val="0"/>
          <w:bCs w:val="0"/>
          <w:snapToGrid w:val="0"/>
          <w:color w:val="auto"/>
          <w:spacing w:val="0"/>
          <w:kern w:val="0"/>
          <w:sz w:val="32"/>
          <w:szCs w:val="32"/>
          <w:u w:val="none"/>
          <w:shd w:val="clear" w:color="auto" w:fill="auto"/>
          <w:lang w:val="en-US" w:eastAsia="zh-CN" w:bidi="ar-SA"/>
        </w:rPr>
        <w:t>2020</w:t>
      </w:r>
      <w:r>
        <w:rPr>
          <w:rFonts w:hint="eastAsia" w:ascii="仿宋_GB2312" w:hAnsi="仿宋_GB2312" w:eastAsia="仿宋_GB2312" w:cs="仿宋_GB2312"/>
          <w:spacing w:val="9"/>
          <w:sz w:val="32"/>
          <w:szCs w:val="32"/>
        </w:rPr>
        <w:t>年“三区三线</w:t>
      </w:r>
      <w:r>
        <w:rPr>
          <w:rFonts w:hint="eastAsia" w:ascii="仿宋_GB2312" w:hAnsi="仿宋_GB2312" w:eastAsia="仿宋_GB2312" w:cs="仿宋_GB2312"/>
          <w:spacing w:val="8"/>
          <w:sz w:val="32"/>
          <w:szCs w:val="32"/>
        </w:rPr>
        <w:t>”划定后，新</w:t>
      </w:r>
      <w:r>
        <w:rPr>
          <w:rFonts w:hint="eastAsia" w:ascii="仿宋_GB2312" w:hAnsi="仿宋_GB2312" w:eastAsia="仿宋_GB2312" w:cs="仿宋_GB2312"/>
          <w:spacing w:val="-3"/>
          <w:sz w:val="32"/>
          <w:szCs w:val="32"/>
        </w:rPr>
        <w:t>增违法开垦耕地不予补贴；已作为畜牧养殖场使用的耕地、林地、成片粮田转为设施农业用地、非农业征(占)用耕地等已改变用途的耕地，以及占补平衡中“补”的面积和质量达不到耕种条件的耕地等其他造成耕地面积减少或质量下降的</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不予发放当年补贴；对符合补贴发放基本条件但人为撂荒一年(含)以上的耕地，取消次年补贴；未按照有关法律法规等规定回收废旧地膜而被处罚且处罚后没有整改的地块，取消次年补贴。</w:t>
      </w:r>
    </w:p>
    <w:p w14:paraId="1965B7F6">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0000FF"/>
          <w:sz w:val="32"/>
          <w:szCs w:val="32"/>
        </w:rPr>
      </w:pPr>
      <w:r>
        <w:rPr>
          <w:rFonts w:hint="eastAsia"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（四）耕地流转。</w:t>
      </w:r>
      <w:r>
        <w:rPr>
          <w:rFonts w:hint="eastAsia" w:ascii="仿宋_GB2312" w:hAnsi="仿宋_GB2312" w:eastAsia="仿宋_GB2312" w:cs="仿宋_GB2312"/>
          <w:spacing w:val="6"/>
          <w:sz w:val="32"/>
          <w:szCs w:val="32"/>
        </w:rPr>
        <w:t>对于流转承包的耕地，在土地流转承包合同内要明确规定，流转人承担耕地保护的监督责任，具体种植户承担耕地保护的实施责任。</w:t>
      </w:r>
    </w:p>
    <w:p w14:paraId="0D6367E9">
      <w:pPr>
        <w:keepNext w:val="0"/>
        <w:keepLines w:val="0"/>
        <w:pageBreakBefore w:val="0"/>
        <w:wordWrap/>
        <w:bidi w:val="0"/>
        <w:spacing w:line="560" w:lineRule="exact"/>
        <w:ind w:left="734"/>
        <w:outlineLvl w:val="0"/>
        <w:rPr>
          <w:rFonts w:hint="eastAsia" w:ascii="黑体" w:hAnsi="黑体" w:eastAsia="黑体" w:cs="黑体"/>
          <w:b w:val="0"/>
          <w:bCs w:val="0"/>
          <w:spacing w:val="4"/>
          <w:sz w:val="32"/>
          <w:szCs w:val="32"/>
          <w:lang w:eastAsia="zh-CN"/>
        </w:rPr>
      </w:pPr>
      <w:r>
        <w:rPr>
          <w:rFonts w:hint="eastAsia" w:ascii="黑体" w:hAnsi="黑体" w:eastAsia="黑体" w:cs="黑体"/>
          <w:b w:val="0"/>
          <w:bCs w:val="0"/>
          <w:spacing w:val="4"/>
          <w:sz w:val="32"/>
          <w:szCs w:val="32"/>
          <w:lang w:eastAsia="zh-CN"/>
        </w:rPr>
        <w:t>三、</w:t>
      </w:r>
      <w:r>
        <w:rPr>
          <w:rFonts w:hint="default" w:ascii="黑体" w:hAnsi="黑体" w:eastAsia="黑体" w:cs="黑体"/>
          <w:b w:val="0"/>
          <w:bCs w:val="0"/>
          <w:spacing w:val="4"/>
          <w:sz w:val="32"/>
          <w:szCs w:val="32"/>
        </w:rPr>
        <w:t>补贴</w:t>
      </w:r>
      <w:r>
        <w:rPr>
          <w:rFonts w:hint="eastAsia" w:ascii="黑体" w:hAnsi="黑体" w:eastAsia="黑体" w:cs="黑体"/>
          <w:b w:val="0"/>
          <w:bCs w:val="0"/>
          <w:spacing w:val="4"/>
          <w:sz w:val="32"/>
          <w:szCs w:val="32"/>
          <w:lang w:eastAsia="zh-CN"/>
        </w:rPr>
        <w:t>流程</w:t>
      </w:r>
    </w:p>
    <w:p w14:paraId="6471347F">
      <w:pPr>
        <w:pStyle w:val="4"/>
        <w:keepNext w:val="0"/>
        <w:keepLines w:val="0"/>
        <w:pageBreakBefore w:val="0"/>
        <w:widowControl w:val="0"/>
        <w:kinsoku/>
        <w:wordWrap/>
        <w:overflowPunct/>
        <w:topLinePunct w:val="0"/>
        <w:autoSpaceDE w:val="0"/>
        <w:autoSpaceDN w:val="0"/>
        <w:bidi w:val="0"/>
        <w:spacing w:beforeAutospacing="0" w:after="0" w:afterAutospacing="0" w:line="560" w:lineRule="exact"/>
        <w:ind w:left="0" w:leftChars="0" w:right="0" w:firstLine="640" w:firstLineChars="200"/>
        <w:jc w:val="both"/>
        <w:outlineLvl w:val="9"/>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（一）核实补贴面积。</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按照“村级登记、两榜公示、苏木镇确认、旗级抽查”的程序，对补贴耕地面积进行核实。</w:t>
      </w:r>
    </w:p>
    <w:p w14:paraId="2B15E097">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leftChars="0" w:right="0" w:firstLine="643" w:firstLineChars="200"/>
        <w:jc w:val="both"/>
        <w:textAlignment w:val="baseline"/>
        <w:outlineLvl w:val="9"/>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pPr>
      <w:r>
        <w:rPr>
          <w:rStyle w:val="7"/>
          <w:rFonts w:hint="default" w:ascii="Times New Roman" w:hAnsi="Times New Roman" w:eastAsia="仿宋_GB2312" w:cs="Times New Roman"/>
          <w:b/>
          <w:bCs w:val="0"/>
          <w:color w:val="auto"/>
          <w:spacing w:val="0"/>
          <w:sz w:val="32"/>
          <w:szCs w:val="32"/>
        </w:rPr>
        <w:t>1.村级登记和两榜公示。</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嘎查（村）按照补贴面积界定的要求，对农户耕地地力补贴面积进行逐户登记，经农户签字确认、张榜公示等程序后，嘎查村将登记到户的耕地面积及补贴资金等整理上报苏木镇政府</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，对于不予补贴的面积依法予以核减</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w:t>
      </w:r>
    </w:p>
    <w:p w14:paraId="0C7896B4">
      <w:pPr>
        <w:keepNext w:val="0"/>
        <w:keepLines w:val="0"/>
        <w:pageBreakBefore w:val="0"/>
        <w:widowControl w:val="0"/>
        <w:kinsoku/>
        <w:wordWrap/>
        <w:overflowPunct/>
        <w:topLinePunct w:val="0"/>
        <w:autoSpaceDE w:val="0"/>
        <w:autoSpaceDN w:val="0"/>
        <w:bidi w:val="0"/>
        <w:spacing w:after="0" w:line="560" w:lineRule="exact"/>
        <w:ind w:left="0" w:leftChars="0" w:right="0" w:firstLine="643" w:firstLineChars="200"/>
        <w:jc w:val="both"/>
        <w:outlineLvl w:val="9"/>
        <w:rPr>
          <w:rFonts w:hint="default" w:ascii="Times New Roman" w:hAnsi="Times New Roman" w:eastAsia="仿宋_GB2312" w:cs="Times New Roman"/>
          <w:bCs w:val="0"/>
          <w:snapToGrid w:val="0"/>
          <w:color w:val="auto"/>
          <w:spacing w:val="0"/>
          <w:kern w:val="0"/>
          <w:sz w:val="32"/>
          <w:szCs w:val="32"/>
          <w:highlight w:val="none"/>
          <w:u w:val="none"/>
          <w:shd w:val="clear" w:color="auto" w:fill="auto"/>
          <w:lang w:val="en-US" w:eastAsia="zh-CN" w:bidi="ar-SA"/>
        </w:rPr>
      </w:pPr>
      <w:r>
        <w:rPr>
          <w:rStyle w:val="7"/>
          <w:rFonts w:hint="default" w:ascii="Times New Roman" w:hAnsi="Times New Roman" w:eastAsia="仿宋_GB2312" w:cs="Times New Roman"/>
          <w:color w:val="auto"/>
          <w:spacing w:val="0"/>
          <w:kern w:val="2"/>
          <w:sz w:val="32"/>
          <w:szCs w:val="32"/>
        </w:rPr>
        <w:t>2.苏木镇确认。</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苏木镇政府组织对嘎查村上报的农户、耕地面积和补贴资金等情况进行逐项核实，</w:t>
      </w:r>
      <w:r>
        <w:rPr>
          <w:rFonts w:hint="default" w:ascii="Times New Roman" w:hAnsi="Times New Roman" w:eastAsia="仿宋_GB2312" w:cs="Times New Roman"/>
          <w:bCs w:val="0"/>
          <w:snapToGrid w:val="0"/>
          <w:color w:val="auto"/>
          <w:spacing w:val="0"/>
          <w:kern w:val="0"/>
          <w:sz w:val="32"/>
          <w:szCs w:val="32"/>
          <w:highlight w:val="none"/>
          <w:u w:val="none"/>
          <w:shd w:val="clear" w:color="auto" w:fill="auto"/>
          <w:lang w:val="en-US" w:eastAsia="zh-CN" w:bidi="ar-SA"/>
        </w:rPr>
        <w:t>核实无误后</w:t>
      </w:r>
      <w:r>
        <w:rPr>
          <w:rFonts w:hint="eastAsia" w:ascii="Times New Roman" w:hAnsi="Times New Roman" w:eastAsia="仿宋_GB2312" w:cs="Times New Roman"/>
          <w:bCs w:val="0"/>
          <w:snapToGrid w:val="0"/>
          <w:color w:val="auto"/>
          <w:spacing w:val="0"/>
          <w:kern w:val="0"/>
          <w:sz w:val="32"/>
          <w:szCs w:val="32"/>
          <w:highlight w:val="none"/>
          <w:u w:val="none"/>
          <w:shd w:val="clear" w:color="auto" w:fill="auto"/>
          <w:lang w:val="en-US" w:eastAsia="zh-CN" w:bidi="ar-SA"/>
        </w:rPr>
        <w:t>进行公示并</w:t>
      </w:r>
      <w:r>
        <w:rPr>
          <w:rFonts w:hint="default" w:ascii="Times New Roman" w:hAnsi="Times New Roman" w:eastAsia="仿宋_GB2312" w:cs="Times New Roman"/>
          <w:bCs w:val="0"/>
          <w:snapToGrid w:val="0"/>
          <w:color w:val="auto"/>
          <w:spacing w:val="0"/>
          <w:kern w:val="0"/>
          <w:sz w:val="32"/>
          <w:szCs w:val="32"/>
          <w:highlight w:val="none"/>
          <w:u w:val="none"/>
          <w:shd w:val="clear" w:color="auto" w:fill="auto"/>
          <w:lang w:val="en-US" w:eastAsia="zh-CN" w:bidi="ar-SA"/>
        </w:rPr>
        <w:t>以正式文件（</w:t>
      </w:r>
      <w:r>
        <w:rPr>
          <w:rFonts w:hint="eastAsia" w:ascii="Times New Roman" w:hAnsi="Times New Roman" w:eastAsia="仿宋_GB2312" w:cs="Times New Roman"/>
          <w:bCs w:val="0"/>
          <w:snapToGrid w:val="0"/>
          <w:color w:val="auto"/>
          <w:spacing w:val="0"/>
          <w:kern w:val="0"/>
          <w:sz w:val="32"/>
          <w:szCs w:val="32"/>
          <w:highlight w:val="none"/>
          <w:u w:val="none"/>
          <w:shd w:val="clear" w:color="auto" w:fill="auto"/>
          <w:lang w:val="en-US" w:eastAsia="zh-CN" w:bidi="ar-SA"/>
        </w:rPr>
        <w:t>附</w:t>
      </w:r>
      <w:r>
        <w:rPr>
          <w:rFonts w:hint="default" w:ascii="Times New Roman" w:hAnsi="Times New Roman" w:eastAsia="仿宋_GB2312" w:cs="Times New Roman"/>
          <w:bCs w:val="0"/>
          <w:snapToGrid w:val="0"/>
          <w:color w:val="auto"/>
          <w:spacing w:val="0"/>
          <w:kern w:val="0"/>
          <w:sz w:val="32"/>
          <w:szCs w:val="32"/>
          <w:highlight w:val="none"/>
          <w:u w:val="none"/>
          <w:shd w:val="clear" w:color="auto" w:fill="auto"/>
          <w:lang w:val="en-US" w:eastAsia="zh-CN" w:bidi="ar-SA"/>
        </w:rPr>
        <w:t>资金认定单</w:t>
      </w:r>
      <w:r>
        <w:rPr>
          <w:rFonts w:hint="eastAsia" w:ascii="Times New Roman" w:hAnsi="Times New Roman" w:eastAsia="仿宋_GB2312" w:cs="Times New Roman"/>
          <w:bCs w:val="0"/>
          <w:snapToGrid w:val="0"/>
          <w:color w:val="auto"/>
          <w:spacing w:val="0"/>
          <w:kern w:val="0"/>
          <w:sz w:val="32"/>
          <w:szCs w:val="32"/>
          <w:highlight w:val="none"/>
          <w:u w:val="none"/>
          <w:shd w:val="clear" w:color="auto" w:fill="auto"/>
          <w:lang w:val="en-US" w:eastAsia="zh-CN" w:bidi="ar-SA"/>
        </w:rPr>
        <w:t>、电子清册及公示照片</w:t>
      </w:r>
      <w:r>
        <w:rPr>
          <w:rFonts w:hint="default" w:ascii="Times New Roman" w:hAnsi="Times New Roman" w:eastAsia="仿宋_GB2312" w:cs="Times New Roman"/>
          <w:bCs w:val="0"/>
          <w:snapToGrid w:val="0"/>
          <w:color w:val="auto"/>
          <w:spacing w:val="0"/>
          <w:kern w:val="0"/>
          <w:sz w:val="32"/>
          <w:szCs w:val="32"/>
          <w:highlight w:val="none"/>
          <w:u w:val="none"/>
          <w:shd w:val="clear" w:color="auto" w:fill="auto"/>
          <w:lang w:val="en-US" w:eastAsia="zh-CN" w:bidi="ar-SA"/>
        </w:rPr>
        <w:t>）上报旗农牧局。</w:t>
      </w:r>
    </w:p>
    <w:p w14:paraId="4A9A9217">
      <w:pPr>
        <w:keepNext w:val="0"/>
        <w:keepLines w:val="0"/>
        <w:pageBreakBefore w:val="0"/>
        <w:widowControl w:val="0"/>
        <w:kinsoku/>
        <w:wordWrap/>
        <w:overflowPunct/>
        <w:topLinePunct w:val="0"/>
        <w:autoSpaceDE w:val="0"/>
        <w:autoSpaceDN w:val="0"/>
        <w:bidi w:val="0"/>
        <w:spacing w:after="0" w:line="560" w:lineRule="exact"/>
        <w:ind w:left="0" w:leftChars="0" w:right="0" w:firstLine="643" w:firstLineChars="200"/>
        <w:jc w:val="both"/>
        <w:outlineLvl w:val="9"/>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pPr>
      <w:r>
        <w:rPr>
          <w:rStyle w:val="7"/>
          <w:rFonts w:hint="default" w:ascii="Times New Roman" w:hAnsi="Times New Roman" w:eastAsia="仿宋_GB2312" w:cs="Times New Roman"/>
          <w:color w:val="auto"/>
          <w:spacing w:val="0"/>
          <w:kern w:val="2"/>
          <w:sz w:val="32"/>
          <w:szCs w:val="32"/>
        </w:rPr>
        <w:t>3.旗级抽查。</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旗农牧局</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应</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邀请自然资源</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局</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、统计</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局</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等部门参与相关补贴数据的抽查，若发现问题，及时通知苏木镇限期整改，重新核实、公示。</w:t>
      </w:r>
    </w:p>
    <w:p w14:paraId="51617C24">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leftChars="0" w:right="0" w:firstLine="643" w:firstLineChars="200"/>
        <w:jc w:val="both"/>
        <w:textAlignment w:val="baseline"/>
        <w:outlineLvl w:val="9"/>
        <w:rPr>
          <w:rFonts w:hint="eastAsia" w:ascii="仿宋_GB2312" w:hAnsi="仿宋_GB2312" w:eastAsia="仿宋_GB2312" w:cs="仿宋_GB2312"/>
          <w:spacing w:val="6"/>
          <w:sz w:val="32"/>
          <w:szCs w:val="32"/>
        </w:rPr>
      </w:pPr>
      <w:r>
        <w:rPr>
          <w:rStyle w:val="7"/>
          <w:rFonts w:hint="eastAsia" w:ascii="Times New Roman" w:hAnsi="Times New Roman" w:eastAsia="仿宋_GB2312" w:cs="Times New Roman"/>
          <w:color w:val="auto"/>
          <w:spacing w:val="0"/>
          <w:kern w:val="2"/>
          <w:sz w:val="32"/>
          <w:szCs w:val="32"/>
          <w:lang w:val="en-US" w:eastAsia="zh-CN"/>
        </w:rPr>
        <w:t>4.</w:t>
      </w:r>
      <w:r>
        <w:rPr>
          <w:rStyle w:val="7"/>
          <w:rFonts w:hint="eastAsia" w:ascii="Times New Roman" w:hAnsi="Times New Roman" w:eastAsia="仿宋_GB2312" w:cs="Times New Roman"/>
          <w:color w:val="auto"/>
          <w:spacing w:val="0"/>
          <w:kern w:val="2"/>
          <w:sz w:val="32"/>
          <w:szCs w:val="32"/>
        </w:rPr>
        <w:t>落实好公示要求</w:t>
      </w:r>
      <w:r>
        <w:rPr>
          <w:rStyle w:val="7"/>
          <w:rFonts w:hint="eastAsia" w:ascii="Times New Roman" w:hAnsi="Times New Roman" w:eastAsia="仿宋_GB2312" w:cs="Times New Roman"/>
          <w:color w:val="auto"/>
          <w:spacing w:val="0"/>
          <w:kern w:val="2"/>
          <w:sz w:val="32"/>
          <w:szCs w:val="32"/>
          <w:lang w:eastAsia="zh-CN"/>
        </w:rPr>
        <w:t>。</w:t>
      </w:r>
      <w:r>
        <w:rPr>
          <w:rFonts w:hint="eastAsia" w:ascii="仿宋_GB2312" w:hAnsi="仿宋_GB2312" w:eastAsia="仿宋_GB2312" w:cs="仿宋_GB2312"/>
          <w:spacing w:val="-27"/>
          <w:sz w:val="32"/>
          <w:szCs w:val="32"/>
        </w:rPr>
        <w:t>让数据“多跑路”、农</w:t>
      </w:r>
      <w:r>
        <w:rPr>
          <w:rFonts w:hint="eastAsia" w:ascii="仿宋_GB2312" w:hAnsi="仿宋_GB2312" w:eastAsia="仿宋_GB2312" w:cs="仿宋_GB2312"/>
          <w:spacing w:val="-28"/>
          <w:sz w:val="32"/>
          <w:szCs w:val="32"/>
        </w:rPr>
        <w:t>牧民“少跑路”。村</w:t>
      </w:r>
      <w:r>
        <w:rPr>
          <w:rFonts w:hint="eastAsia" w:ascii="仿宋_GB2312" w:hAnsi="仿宋_GB2312" w:eastAsia="仿宋_GB2312" w:cs="仿宋_GB2312"/>
          <w:spacing w:val="6"/>
          <w:sz w:val="32"/>
          <w:szCs w:val="32"/>
        </w:rPr>
        <w:t>级公示由村委会采取方便农牧民查询和监督的方式在村务公开</w:t>
      </w:r>
      <w:r>
        <w:rPr>
          <w:rFonts w:hint="eastAsia" w:ascii="仿宋_GB2312" w:hAnsi="仿宋_GB2312" w:eastAsia="仿宋_GB2312" w:cs="仿宋_GB2312"/>
          <w:spacing w:val="-5"/>
          <w:sz w:val="32"/>
          <w:szCs w:val="32"/>
        </w:rPr>
        <w:t>场所进行公示，用好公示栏、喇叭广播、门户网站</w:t>
      </w:r>
      <w:r>
        <w:rPr>
          <w:rFonts w:hint="eastAsia" w:ascii="仿宋_GB2312" w:hAnsi="仿宋_GB2312" w:eastAsia="仿宋_GB2312" w:cs="仿宋_GB2312"/>
          <w:spacing w:val="-6"/>
          <w:sz w:val="32"/>
          <w:szCs w:val="32"/>
        </w:rPr>
        <w:t>、新媒体等渠</w:t>
      </w:r>
      <w:r>
        <w:rPr>
          <w:rFonts w:hint="eastAsia" w:ascii="仿宋_GB2312" w:hAnsi="仿宋_GB2312" w:eastAsia="仿宋_GB2312" w:cs="仿宋_GB2312"/>
          <w:spacing w:val="-5"/>
          <w:sz w:val="32"/>
          <w:szCs w:val="32"/>
        </w:rPr>
        <w:t>道，不断丰富公开公示内容。苏木镇负责组织对各村报送的补</w:t>
      </w:r>
      <w:r>
        <w:rPr>
          <w:rFonts w:hint="eastAsia" w:ascii="仿宋_GB2312" w:hAnsi="仿宋_GB2312" w:eastAsia="仿宋_GB2312" w:cs="仿宋_GB2312"/>
          <w:spacing w:val="6"/>
          <w:sz w:val="32"/>
          <w:szCs w:val="32"/>
        </w:rPr>
        <w:t>贴数据进行核实确认</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由苏木镇人民政府将经复核的补贴情</w:t>
      </w:r>
      <w:r>
        <w:rPr>
          <w:rFonts w:hint="eastAsia" w:ascii="仿宋_GB2312" w:hAnsi="仿宋_GB2312" w:eastAsia="仿宋_GB2312" w:cs="仿宋_GB2312"/>
          <w:spacing w:val="-5"/>
          <w:sz w:val="32"/>
          <w:szCs w:val="32"/>
        </w:rPr>
        <w:t>况，在</w:t>
      </w:r>
      <w:r>
        <w:rPr>
          <w:rFonts w:hint="eastAsia" w:ascii="仿宋_GB2312" w:hAnsi="仿宋_GB2312" w:eastAsia="仿宋_GB2312" w:cs="仿宋_GB2312"/>
          <w:spacing w:val="-5"/>
          <w:sz w:val="32"/>
          <w:szCs w:val="32"/>
          <w:lang w:val="en-US" w:eastAsia="zh-CN"/>
        </w:rPr>
        <w:t>苏木</w:t>
      </w:r>
      <w:r>
        <w:rPr>
          <w:rFonts w:hint="eastAsia" w:ascii="仿宋_GB2312" w:hAnsi="仿宋_GB2312" w:eastAsia="仿宋_GB2312" w:cs="仿宋_GB2312"/>
          <w:spacing w:val="-5"/>
          <w:sz w:val="32"/>
          <w:szCs w:val="32"/>
        </w:rPr>
        <w:t>镇公开场所公示。要设立</w:t>
      </w:r>
      <w:r>
        <w:rPr>
          <w:rFonts w:hint="eastAsia" w:ascii="仿宋_GB2312" w:hAnsi="仿宋_GB2312" w:eastAsia="仿宋_GB2312" w:cs="仿宋_GB2312"/>
          <w:spacing w:val="-5"/>
          <w:sz w:val="32"/>
          <w:szCs w:val="32"/>
          <w:lang w:val="en-US" w:eastAsia="zh-CN"/>
        </w:rPr>
        <w:t>旗级</w:t>
      </w:r>
      <w:r>
        <w:rPr>
          <w:rFonts w:hint="eastAsia" w:ascii="仿宋_GB2312" w:hAnsi="仿宋_GB2312" w:eastAsia="仿宋_GB2312" w:cs="仿宋_GB2312"/>
          <w:spacing w:val="-5"/>
          <w:sz w:val="32"/>
          <w:szCs w:val="32"/>
        </w:rPr>
        <w:t>政策</w:t>
      </w:r>
      <w:r>
        <w:rPr>
          <w:rFonts w:hint="eastAsia" w:ascii="仿宋_GB2312" w:hAnsi="仿宋_GB2312" w:eastAsia="仿宋_GB2312" w:cs="仿宋_GB2312"/>
          <w:spacing w:val="-6"/>
          <w:sz w:val="32"/>
          <w:szCs w:val="32"/>
        </w:rPr>
        <w:t>咨询电话，解答农</w:t>
      </w:r>
      <w:r>
        <w:rPr>
          <w:rFonts w:hint="eastAsia" w:ascii="仿宋_GB2312" w:hAnsi="仿宋_GB2312" w:eastAsia="仿宋_GB2312" w:cs="仿宋_GB2312"/>
          <w:spacing w:val="-15"/>
          <w:sz w:val="32"/>
          <w:szCs w:val="32"/>
        </w:rPr>
        <w:t>牧民疑问。</w:t>
      </w:r>
    </w:p>
    <w:p w14:paraId="77FB15A1">
      <w:pPr>
        <w:keepNext w:val="0"/>
        <w:keepLines w:val="0"/>
        <w:pageBreakBefore w:val="0"/>
        <w:widowControl w:val="0"/>
        <w:kinsoku/>
        <w:wordWrap/>
        <w:overflowPunct/>
        <w:topLinePunct w:val="0"/>
        <w:autoSpaceDE w:val="0"/>
        <w:autoSpaceDN w:val="0"/>
        <w:bidi w:val="0"/>
        <w:spacing w:line="560" w:lineRule="exact"/>
        <w:ind w:left="0" w:right="0" w:firstLine="780"/>
        <w:jc w:val="both"/>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pP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（二）</w:t>
      </w:r>
      <w:r>
        <w:rPr>
          <w:rFonts w:hint="eastAsia"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做好提级</w:t>
      </w: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发放</w:t>
      </w:r>
      <w:r>
        <w:rPr>
          <w:rFonts w:hint="default" w:ascii="Times New Roman" w:hAnsi="Times New Roman" w:eastAsia="楷体" w:cs="Times New Roman"/>
          <w:snapToGrid w:val="0"/>
          <w:color w:val="auto"/>
          <w:spacing w:val="0"/>
          <w:kern w:val="0"/>
          <w:sz w:val="32"/>
          <w:szCs w:val="32"/>
          <w:u w:val="none"/>
          <w:shd w:val="clear" w:color="070000" w:fill="auto"/>
          <w:lang w:val="en-US" w:eastAsia="zh-CN"/>
        </w:rPr>
        <w:t>。</w:t>
      </w:r>
      <w:r>
        <w:rPr>
          <w:rFonts w:hint="eastAsia" w:ascii="Times New Roman" w:hAnsi="Times New Roman" w:eastAsia="仿宋_GB2312" w:cs="Times New Roman"/>
          <w:b w:val="0"/>
          <w:bCs w:val="0"/>
          <w:snapToGrid w:val="0"/>
          <w:color w:val="auto"/>
          <w:spacing w:val="0"/>
          <w:kern w:val="0"/>
          <w:sz w:val="32"/>
          <w:szCs w:val="32"/>
          <w:u w:val="none"/>
          <w:shd w:val="clear" w:color="auto" w:fill="auto"/>
          <w:lang w:val="en-US" w:eastAsia="zh-CN" w:bidi="ar-SA"/>
        </w:rPr>
        <w:t>2025</w:t>
      </w:r>
      <w:r>
        <w:rPr>
          <w:rFonts w:hint="eastAsia" w:ascii="仿宋_GB2312" w:hAnsi="仿宋_GB2312" w:eastAsia="仿宋_GB2312" w:cs="仿宋_GB2312"/>
          <w:color w:val="auto"/>
          <w:spacing w:val="13"/>
          <w:sz w:val="32"/>
          <w:szCs w:val="32"/>
        </w:rPr>
        <w:t>年耕地地力保护补贴采取</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提级发放，由市财政部门直接兑付到补贴对象账户。</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旗农牧局根据</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原计税耕地</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面积，核算</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并</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分配补贴资金，将补贴资金分配情况以切块形式下达</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至</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各苏木镇</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。各苏木镇</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于</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5</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月</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10</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日前</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以正式文件（附资金认定单、</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补贴发放清册</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和公示照片等）</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上报至</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旗农牧局，</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旗农牧</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局将</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按照</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随时完成、随时上报</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的原则，</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将</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补贴发放清册或支付申请</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上报市财政局</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市财政局</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将补贴资金直接兑付到补贴对象</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“一卡通”</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账户</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中。</w:t>
      </w:r>
    </w:p>
    <w:p w14:paraId="0C7868F0">
      <w:pPr>
        <w:keepNext w:val="0"/>
        <w:keepLines w:val="0"/>
        <w:pageBreakBefore w:val="0"/>
        <w:widowControl/>
        <w:kinsoku/>
        <w:wordWrap/>
        <w:overflowPunct/>
        <w:topLinePunct/>
        <w:autoSpaceDE w:val="0"/>
        <w:autoSpaceDN w:val="0"/>
        <w:bidi w:val="0"/>
        <w:adjustRightInd w:val="0"/>
        <w:snapToGrid w:val="0"/>
        <w:spacing w:line="560" w:lineRule="exact"/>
        <w:ind w:right="0" w:firstLine="640" w:firstLineChars="200"/>
        <w:jc w:val="both"/>
        <w:textAlignment w:val="baseline"/>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pP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各苏木镇在2025年6月30日前将耕地地力保护补贴发放到户。发放时要配合财政等部门指导督促代理银行落实短信通知等要求，内容包括但不限于补贴名称、补贴金额、补贴标准、公示情况、应履行的义务、咨询单位、联系电话等，对不予发放补贴的，要明确金额和原因，让农牧民看得清楚、领的明白。</w:t>
      </w:r>
    </w:p>
    <w:p w14:paraId="0E38DD2F">
      <w:pPr>
        <w:pStyle w:val="9"/>
        <w:keepNext w:val="0"/>
        <w:keepLines w:val="0"/>
        <w:pageBreakBefore w:val="0"/>
        <w:widowControl w:val="0"/>
        <w:shd w:val="clear" w:color="auto" w:fill="auto"/>
        <w:kinsoku/>
        <w:wordWrap/>
        <w:overflowPunct/>
        <w:topLinePunct w:val="0"/>
        <w:autoSpaceDE w:val="0"/>
        <w:autoSpaceDN w:val="0"/>
        <w:bidi w:val="0"/>
        <w:adjustRightInd/>
        <w:snapToGrid/>
        <w:spacing w:after="0" w:line="560" w:lineRule="exact"/>
        <w:ind w:left="0" w:leftChars="0" w:right="0" w:firstLine="640" w:firstLineChars="200"/>
        <w:jc w:val="both"/>
        <w:textAlignment w:val="auto"/>
        <w:outlineLvl w:val="9"/>
        <w:rPr>
          <w:rFonts w:hint="default" w:ascii="Times New Roman" w:hAnsi="Times New Roman" w:eastAsia="黑体" w:cs="Times New Roman"/>
          <w:snapToGrid w:val="0"/>
          <w:color w:val="auto"/>
          <w:spacing w:val="0"/>
          <w:kern w:val="0"/>
          <w:sz w:val="32"/>
          <w:szCs w:val="32"/>
          <w:lang w:val="en-US" w:eastAsia="zh-CN" w:bidi="ar-SA"/>
        </w:rPr>
      </w:pPr>
      <w:r>
        <w:rPr>
          <w:rFonts w:hint="default" w:ascii="Times New Roman" w:hAnsi="Times New Roman" w:eastAsia="黑体" w:cs="Times New Roman"/>
          <w:snapToGrid w:val="0"/>
          <w:color w:val="auto"/>
          <w:spacing w:val="0"/>
          <w:kern w:val="0"/>
          <w:sz w:val="32"/>
          <w:szCs w:val="32"/>
          <w:lang w:val="en-US" w:eastAsia="zh-CN" w:bidi="ar-SA"/>
        </w:rPr>
        <w:t>四、其他相关要求</w:t>
      </w:r>
    </w:p>
    <w:p w14:paraId="6E090D82">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outlineLvl w:val="9"/>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pP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（一）加强组织领导。</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耕地地力保护补贴由旗人民政府负总责，旗农牧局</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要</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加强对耕地地力提升措施的技术培训与指导，做好补贴范围内未实施地膜离田或未达到离田标准的核实工作。</w:t>
      </w:r>
    </w:p>
    <w:p w14:paraId="56355BCB">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outlineLvl w:val="9"/>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pP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（二）严格管理督导。</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各苏木镇</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要</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做好数据采集审核、补贴资金发放等工作，严禁将不符合政策规定的补贴对象和补贴面积纳入补贴范围，严禁挤占挪用。对于骗取、套取、贪污或违规发放补贴资金的行为，要依法依规严肃处理。旗财政局会同农牧局，将对各苏木镇政策实施情况开展绩效</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管理</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相关结果将作为下一年度耕地地力保护补贴资金分配的重要参考依据</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w:t>
      </w:r>
    </w:p>
    <w:p w14:paraId="6CBB4AF0">
      <w:pPr>
        <w:keepNext w:val="0"/>
        <w:keepLines w:val="0"/>
        <w:pageBreakBefore w:val="0"/>
        <w:widowControl w:val="0"/>
        <w:kinsoku/>
        <w:wordWrap/>
        <w:overflowPunct/>
        <w:topLinePunct w:val="0"/>
        <w:autoSpaceDE w:val="0"/>
        <w:autoSpaceDN w:val="0"/>
        <w:bidi w:val="0"/>
        <w:spacing w:after="0" w:line="560" w:lineRule="exact"/>
        <w:ind w:left="0" w:leftChars="0" w:right="0" w:firstLine="640" w:firstLineChars="200"/>
        <w:jc w:val="both"/>
        <w:outlineLvl w:val="9"/>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pP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w:t>
      </w:r>
      <w:r>
        <w:rPr>
          <w:rFonts w:hint="eastAsia"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三</w:t>
      </w:r>
      <w:r>
        <w:rPr>
          <w:rFonts w:hint="default" w:ascii="Times New Roman" w:hAnsi="Times New Roman" w:eastAsia="楷体_GB2312" w:cs="Times New Roman"/>
          <w:b w:val="0"/>
          <w:bCs w:val="0"/>
          <w:snapToGrid w:val="0"/>
          <w:color w:val="auto"/>
          <w:spacing w:val="0"/>
          <w:kern w:val="0"/>
          <w:sz w:val="32"/>
          <w:szCs w:val="32"/>
          <w:u w:val="none"/>
          <w:shd w:val="clear" w:color="auto" w:fill="auto"/>
          <w:lang w:val="en-US" w:eastAsia="zh-CN" w:bidi="ar-SA"/>
        </w:rPr>
        <w:t>）开展宣传培训。</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各苏木镇、各部门要在春播前明确具体补贴政策，利用广播、电视、报纸、互联网、手机等媒体进行宣传，确保将补贴政策内容宣传到村到户，减少矛盾。同时，要争取更大程度发挥资金引导耕地地力提升作用，及时做好农民群众的咨询和答疑</w:t>
      </w:r>
      <w:r>
        <w:rPr>
          <w:rFonts w:hint="eastAsia" w:ascii="Times New Roman" w:hAnsi="Times New Roman" w:eastAsia="仿宋_GB2312" w:cs="Times New Roman"/>
          <w:bCs w:val="0"/>
          <w:snapToGrid w:val="0"/>
          <w:color w:val="auto"/>
          <w:spacing w:val="0"/>
          <w:kern w:val="0"/>
          <w:sz w:val="32"/>
          <w:szCs w:val="32"/>
          <w:u w:val="none"/>
          <w:shd w:val="clear" w:color="auto" w:fill="auto"/>
          <w:lang w:val="en-US" w:eastAsia="zh-CN" w:bidi="ar-SA"/>
        </w:rPr>
        <w:t>，有效调动农民群众自觉保护耕地地力提升的积极性和主动性</w:t>
      </w:r>
      <w:r>
        <w:rPr>
          <w:rFonts w:hint="default" w:ascii="Times New Roman" w:hAnsi="Times New Roman" w:eastAsia="仿宋_GB2312" w:cs="Times New Roman"/>
          <w:bCs w:val="0"/>
          <w:snapToGrid w:val="0"/>
          <w:color w:val="auto"/>
          <w:spacing w:val="0"/>
          <w:kern w:val="0"/>
          <w:sz w:val="32"/>
          <w:szCs w:val="32"/>
          <w:u w:val="none"/>
          <w:shd w:val="clear" w:color="auto" w:fill="auto"/>
          <w:lang w:val="en-US" w:eastAsia="zh-CN" w:bidi="ar-SA"/>
        </w:rPr>
        <w:t>。</w:t>
      </w:r>
    </w:p>
    <w:p w14:paraId="7EBD281D">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ascii="仿宋" w:hAnsi="仿宋" w:eastAsia="仿宋" w:cs="仿宋"/>
          <w:spacing w:val="6"/>
          <w:sz w:val="31"/>
          <w:szCs w:val="31"/>
        </w:rPr>
      </w:pPr>
    </w:p>
    <w:p w14:paraId="0F84D6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val="en-US" w:eastAsia="zh-CN"/>
        </w:rPr>
        <w:t>附件：</w:t>
      </w:r>
      <w:r>
        <w:rPr>
          <w:rFonts w:hint="default" w:ascii="Times New Roman" w:hAnsi="Times New Roman" w:eastAsia="仿宋_GB2312" w:cs="Times New Roman"/>
          <w:sz w:val="32"/>
          <w:lang w:eastAsia="zh-CN"/>
        </w:rPr>
        <w:t>2025年中央财政耕地地力保护补贴资金分配表</w:t>
      </w:r>
    </w:p>
    <w:p w14:paraId="3F814F30">
      <w:pPr>
        <w:keepNext w:val="0"/>
        <w:keepLines w:val="0"/>
        <w:pageBreakBefore w:val="0"/>
        <w:widowControl w:val="0"/>
        <w:kinsoku w:val="0"/>
        <w:wordWrap/>
        <w:overflowPunct w:val="0"/>
        <w:topLinePunct w:val="0"/>
        <w:autoSpaceDE w:val="0"/>
        <w:autoSpaceDN w:val="0"/>
        <w:bidi w:val="0"/>
        <w:adjustRightInd/>
        <w:snapToGrid/>
        <w:spacing w:before="0" w:after="0" w:line="700" w:lineRule="exact"/>
        <w:ind w:left="0" w:leftChars="0" w:right="0"/>
        <w:jc w:val="center"/>
        <w:textAlignment w:val="auto"/>
        <w:outlineLvl w:val="9"/>
        <w:rPr>
          <w:rFonts w:hint="default" w:ascii="Times New Roman" w:hAnsi="Times New Roman" w:eastAsia="方正小标宋简体" w:cs="Times New Roman"/>
          <w:snapToGrid w:val="0"/>
          <w:color w:val="auto"/>
          <w:spacing w:val="0"/>
          <w:kern w:val="0"/>
          <w:sz w:val="44"/>
          <w:szCs w:val="44"/>
          <w:lang w:val="en-US" w:eastAsia="zh-CN" w:bidi="ar-SA"/>
        </w:rPr>
      </w:pPr>
    </w:p>
    <w:p w14:paraId="2914F729">
      <w:pPr>
        <w:keepNext w:val="0"/>
        <w:keepLines w:val="0"/>
        <w:pageBreakBefore w:val="0"/>
        <w:widowControl w:val="0"/>
        <w:kinsoku w:val="0"/>
        <w:wordWrap/>
        <w:overflowPunct w:val="0"/>
        <w:topLinePunct w:val="0"/>
        <w:autoSpaceDE w:val="0"/>
        <w:autoSpaceDN w:val="0"/>
        <w:bidi w:val="0"/>
        <w:adjustRightInd/>
        <w:snapToGrid/>
        <w:spacing w:before="0" w:after="0" w:line="700" w:lineRule="exact"/>
        <w:ind w:left="0" w:leftChars="0" w:right="0"/>
        <w:jc w:val="center"/>
        <w:textAlignment w:val="auto"/>
        <w:outlineLvl w:val="9"/>
        <w:rPr>
          <w:rFonts w:hint="default" w:ascii="Times New Roman" w:hAnsi="Times New Roman" w:eastAsia="方正小标宋简体" w:cs="Times New Roman"/>
          <w:snapToGrid w:val="0"/>
          <w:color w:val="auto"/>
          <w:spacing w:val="0"/>
          <w:kern w:val="0"/>
          <w:sz w:val="44"/>
          <w:szCs w:val="44"/>
          <w:lang w:val="en-US" w:eastAsia="zh-CN" w:bidi="ar-SA"/>
        </w:rPr>
      </w:pPr>
    </w:p>
    <w:p w14:paraId="0A00AB81">
      <w:pPr>
        <w:keepNext w:val="0"/>
        <w:keepLines w:val="0"/>
        <w:pageBreakBefore w:val="0"/>
        <w:widowControl w:val="0"/>
        <w:kinsoku w:val="0"/>
        <w:wordWrap/>
        <w:overflowPunct w:val="0"/>
        <w:topLinePunct w:val="0"/>
        <w:autoSpaceDE w:val="0"/>
        <w:autoSpaceDN w:val="0"/>
        <w:bidi w:val="0"/>
        <w:adjustRightInd/>
        <w:snapToGrid/>
        <w:spacing w:before="0" w:after="0" w:line="700" w:lineRule="exact"/>
        <w:ind w:left="0" w:leftChars="0" w:right="0"/>
        <w:jc w:val="center"/>
        <w:textAlignment w:val="auto"/>
        <w:outlineLvl w:val="9"/>
        <w:rPr>
          <w:rFonts w:hint="default" w:ascii="Times New Roman" w:hAnsi="Times New Roman" w:eastAsia="方正小标宋简体" w:cs="Times New Roman"/>
          <w:snapToGrid w:val="0"/>
          <w:color w:val="auto"/>
          <w:spacing w:val="0"/>
          <w:kern w:val="0"/>
          <w:sz w:val="44"/>
          <w:szCs w:val="44"/>
          <w:lang w:val="en-US" w:eastAsia="zh-CN" w:bidi="ar-SA"/>
        </w:rPr>
      </w:pPr>
    </w:p>
    <w:p w14:paraId="0A106F42">
      <w:pPr>
        <w:keepNext w:val="0"/>
        <w:keepLines w:val="0"/>
        <w:pageBreakBefore w:val="0"/>
        <w:widowControl w:val="0"/>
        <w:kinsoku w:val="0"/>
        <w:wordWrap/>
        <w:overflowPunct w:val="0"/>
        <w:topLinePunct w:val="0"/>
        <w:autoSpaceDE w:val="0"/>
        <w:autoSpaceDN w:val="0"/>
        <w:bidi w:val="0"/>
        <w:adjustRightInd/>
        <w:snapToGrid/>
        <w:spacing w:before="0" w:after="0" w:line="700" w:lineRule="exact"/>
        <w:ind w:left="0" w:leftChars="0" w:right="0"/>
        <w:jc w:val="center"/>
        <w:textAlignment w:val="auto"/>
        <w:outlineLvl w:val="9"/>
        <w:rPr>
          <w:rFonts w:hint="default" w:ascii="Times New Roman" w:hAnsi="Times New Roman" w:eastAsia="方正小标宋简体" w:cs="Times New Roman"/>
          <w:snapToGrid w:val="0"/>
          <w:color w:val="auto"/>
          <w:spacing w:val="0"/>
          <w:kern w:val="0"/>
          <w:sz w:val="44"/>
          <w:szCs w:val="44"/>
          <w:lang w:val="en-US" w:eastAsia="zh-CN" w:bidi="ar-SA"/>
        </w:rPr>
      </w:pPr>
    </w:p>
    <w:p w14:paraId="15AA61AE">
      <w:pPr>
        <w:keepNext w:val="0"/>
        <w:keepLines w:val="0"/>
        <w:pageBreakBefore w:val="0"/>
        <w:widowControl w:val="0"/>
        <w:wordWrap/>
        <w:overflowPunct w:val="0"/>
        <w:topLinePunct w:val="0"/>
        <w:bidi w:val="0"/>
        <w:adjustRightInd/>
        <w:snapToGrid/>
        <w:spacing w:before="0" w:beforeLines="0" w:after="0" w:afterLines="0" w:line="560" w:lineRule="exact"/>
        <w:ind w:left="0" w:leftChars="0" w:right="0"/>
        <w:jc w:val="both"/>
        <w:textAlignment w:val="auto"/>
        <w:outlineLvl w:val="9"/>
        <w:rPr>
          <w:rFonts w:hint="eastAsia" w:ascii="Times New Roman" w:hAnsi="Times New Roman" w:eastAsia="黑体" w:cs="Times New Roman"/>
          <w:snapToGrid w:val="0"/>
          <w:color w:val="auto"/>
          <w:spacing w:val="0"/>
          <w:kern w:val="0"/>
          <w:sz w:val="32"/>
          <w:szCs w:val="32"/>
          <w:lang w:val="en-US" w:eastAsia="zh-CN" w:bidi="ar-SA"/>
        </w:rPr>
      </w:pPr>
      <w:bookmarkStart w:id="0" w:name="_GoBack"/>
      <w:bookmarkEnd w:id="0"/>
      <w:r>
        <w:rPr>
          <w:rFonts w:hint="eastAsia" w:ascii="Times New Roman" w:hAnsi="Times New Roman" w:eastAsia="黑体" w:cs="Times New Roman"/>
          <w:snapToGrid w:val="0"/>
          <w:color w:val="auto"/>
          <w:spacing w:val="0"/>
          <w:kern w:val="0"/>
          <w:sz w:val="32"/>
          <w:szCs w:val="32"/>
          <w:lang w:val="en-US" w:eastAsia="zh-CN" w:bidi="ar-SA"/>
        </w:rPr>
        <w:t>附件</w:t>
      </w:r>
    </w:p>
    <w:p w14:paraId="3D05DF2B">
      <w:pPr>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jc w:val="center"/>
        <w:textAlignment w:val="auto"/>
        <w:outlineLvl w:val="9"/>
        <w:rPr>
          <w:rFonts w:hint="default" w:ascii="Times New Roman" w:hAnsi="Times New Roman" w:eastAsia="方正小标宋简体" w:cs="Times New Roman"/>
          <w:snapToGrid w:val="0"/>
          <w:color w:val="auto"/>
          <w:spacing w:val="0"/>
          <w:kern w:val="0"/>
          <w:sz w:val="44"/>
          <w:szCs w:val="44"/>
          <w:lang w:val="en-US" w:eastAsia="zh-CN" w:bidi="ar-SA"/>
        </w:rPr>
      </w:pPr>
      <w:r>
        <w:rPr>
          <w:rFonts w:hint="default" w:ascii="Times New Roman" w:hAnsi="Times New Roman" w:eastAsia="方正小标宋简体" w:cs="Times New Roman"/>
          <w:snapToGrid w:val="0"/>
          <w:color w:val="auto"/>
          <w:spacing w:val="0"/>
          <w:kern w:val="0"/>
          <w:sz w:val="44"/>
          <w:szCs w:val="44"/>
          <w:lang w:val="en-US" w:eastAsia="zh-CN" w:bidi="ar-SA"/>
        </w:rPr>
        <w:t>20</w:t>
      </w:r>
      <w:r>
        <w:rPr>
          <w:rFonts w:hint="eastAsia" w:ascii="Times New Roman" w:hAnsi="Times New Roman" w:eastAsia="方正小标宋简体" w:cs="Times New Roman"/>
          <w:snapToGrid w:val="0"/>
          <w:color w:val="auto"/>
          <w:spacing w:val="0"/>
          <w:kern w:val="0"/>
          <w:sz w:val="44"/>
          <w:szCs w:val="44"/>
          <w:lang w:val="en-US" w:eastAsia="zh-CN" w:bidi="ar-SA"/>
        </w:rPr>
        <w:t>25</w:t>
      </w:r>
      <w:r>
        <w:rPr>
          <w:rFonts w:hint="default" w:ascii="Times New Roman" w:hAnsi="Times New Roman" w:eastAsia="方正小标宋简体" w:cs="Times New Roman"/>
          <w:snapToGrid w:val="0"/>
          <w:color w:val="auto"/>
          <w:spacing w:val="0"/>
          <w:kern w:val="0"/>
          <w:sz w:val="44"/>
          <w:szCs w:val="44"/>
          <w:lang w:val="en-US" w:eastAsia="zh-CN" w:bidi="ar-SA"/>
        </w:rPr>
        <w:t>年中央财政耕地地力保护补贴</w:t>
      </w:r>
    </w:p>
    <w:p w14:paraId="65457BEC">
      <w:pPr>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jc w:val="center"/>
        <w:textAlignment w:val="auto"/>
        <w:outlineLvl w:val="9"/>
        <w:rPr>
          <w:rFonts w:hint="eastAsia" w:ascii="Times New Roman" w:hAnsi="Times New Roman" w:eastAsia="方正小标宋简体" w:cs="Times New Roman"/>
          <w:snapToGrid w:val="0"/>
          <w:color w:val="auto"/>
          <w:spacing w:val="0"/>
          <w:kern w:val="0"/>
          <w:sz w:val="44"/>
          <w:szCs w:val="44"/>
          <w:lang w:val="en-US" w:eastAsia="zh-CN" w:bidi="ar-SA"/>
        </w:rPr>
      </w:pPr>
      <w:r>
        <w:rPr>
          <w:rFonts w:hint="default" w:ascii="Times New Roman" w:hAnsi="Times New Roman" w:eastAsia="方正小标宋简体" w:cs="Times New Roman"/>
          <w:snapToGrid w:val="0"/>
          <w:color w:val="auto"/>
          <w:spacing w:val="0"/>
          <w:kern w:val="0"/>
          <w:sz w:val="44"/>
          <w:szCs w:val="44"/>
          <w:lang w:val="en-US" w:eastAsia="zh-CN" w:bidi="ar-SA"/>
        </w:rPr>
        <w:t>资金</w:t>
      </w:r>
      <w:r>
        <w:rPr>
          <w:rFonts w:hint="eastAsia" w:ascii="Times New Roman" w:hAnsi="Times New Roman" w:eastAsia="方正小标宋简体" w:cs="Times New Roman"/>
          <w:snapToGrid w:val="0"/>
          <w:color w:val="auto"/>
          <w:spacing w:val="0"/>
          <w:kern w:val="0"/>
          <w:sz w:val="44"/>
          <w:szCs w:val="44"/>
          <w:lang w:val="en-US" w:eastAsia="zh-CN" w:bidi="ar-SA"/>
        </w:rPr>
        <w:t>分配表</w:t>
      </w:r>
    </w:p>
    <w:p w14:paraId="396E0B4C">
      <w:pPr>
        <w:keepNext w:val="0"/>
        <w:keepLines w:val="0"/>
        <w:pageBreakBefore w:val="0"/>
        <w:widowControl w:val="0"/>
        <w:kinsoku w:val="0"/>
        <w:wordWrap/>
        <w:overflowPunct w:val="0"/>
        <w:topLinePunct w:val="0"/>
        <w:autoSpaceDE w:val="0"/>
        <w:autoSpaceDN w:val="0"/>
        <w:bidi w:val="0"/>
        <w:adjustRightInd/>
        <w:snapToGrid/>
        <w:spacing w:before="0" w:beforeLines="0" w:after="0" w:afterLines="0" w:line="700" w:lineRule="exact"/>
        <w:ind w:left="0" w:leftChars="0" w:right="0"/>
        <w:jc w:val="center"/>
        <w:textAlignment w:val="auto"/>
        <w:outlineLvl w:val="9"/>
        <w:rPr>
          <w:rFonts w:hint="eastAsia" w:ascii="Times New Roman" w:hAnsi="Times New Roman" w:eastAsia="方正小标宋简体" w:cs="Times New Roman"/>
          <w:snapToGrid w:val="0"/>
          <w:color w:val="auto"/>
          <w:spacing w:val="0"/>
          <w:kern w:val="0"/>
          <w:sz w:val="44"/>
          <w:szCs w:val="44"/>
          <w:lang w:val="en-US" w:eastAsia="zh-CN" w:bidi="ar-SA"/>
        </w:rPr>
      </w:pPr>
    </w:p>
    <w:tbl>
      <w:tblPr>
        <w:tblStyle w:val="5"/>
        <w:tblW w:w="0" w:type="auto"/>
        <w:jc w:val="center"/>
        <w:tblLayout w:type="fixed"/>
        <w:tblCellMar>
          <w:top w:w="0" w:type="dxa"/>
          <w:left w:w="0" w:type="dxa"/>
          <w:bottom w:w="0" w:type="dxa"/>
          <w:right w:w="0" w:type="dxa"/>
        </w:tblCellMar>
      </w:tblPr>
      <w:tblGrid>
        <w:gridCol w:w="1306"/>
        <w:gridCol w:w="2336"/>
        <w:gridCol w:w="2650"/>
        <w:gridCol w:w="1375"/>
      </w:tblGrid>
      <w:tr w14:paraId="2E05866B">
        <w:tblPrEx>
          <w:tblCellMar>
            <w:top w:w="0" w:type="dxa"/>
            <w:left w:w="0" w:type="dxa"/>
            <w:bottom w:w="0" w:type="dxa"/>
            <w:right w:w="0" w:type="dxa"/>
          </w:tblCellMar>
        </w:tblPrEx>
        <w:trPr>
          <w:trHeight w:val="499" w:hRule="atLeast"/>
          <w:jc w:val="center"/>
        </w:trPr>
        <w:tc>
          <w:tcPr>
            <w:tcW w:w="1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7433C">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b/>
                <w:bCs/>
                <w:i w:val="0"/>
                <w:color w:val="000000"/>
                <w:sz w:val="28"/>
                <w:szCs w:val="28"/>
                <w:u w:val="none"/>
              </w:rPr>
            </w:pPr>
            <w:r>
              <w:rPr>
                <w:rFonts w:hint="default" w:ascii="Times New Roman" w:hAnsi="Times New Roman" w:eastAsia="仿宋_GB2312" w:cs="Times New Roman"/>
                <w:b/>
                <w:bCs/>
                <w:i w:val="0"/>
                <w:color w:val="000000"/>
                <w:kern w:val="0"/>
                <w:sz w:val="28"/>
                <w:szCs w:val="28"/>
                <w:u w:val="none"/>
                <w:lang w:val="en-US" w:eastAsia="zh-CN" w:bidi="ar"/>
              </w:rPr>
              <w:t>序号</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9028F">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b/>
                <w:bCs/>
                <w:i w:val="0"/>
                <w:color w:val="000000"/>
                <w:sz w:val="28"/>
                <w:szCs w:val="28"/>
                <w:u w:val="none"/>
                <w:lang w:val="en-US"/>
              </w:rPr>
            </w:pPr>
            <w:r>
              <w:rPr>
                <w:rFonts w:hint="default" w:ascii="Times New Roman" w:hAnsi="Times New Roman" w:eastAsia="仿宋_GB2312" w:cs="Times New Roman"/>
                <w:b/>
                <w:bCs/>
                <w:i w:val="0"/>
                <w:color w:val="000000"/>
                <w:kern w:val="0"/>
                <w:sz w:val="28"/>
                <w:szCs w:val="28"/>
                <w:u w:val="none"/>
                <w:lang w:val="en-US" w:eastAsia="zh-CN" w:bidi="ar"/>
              </w:rPr>
              <w:t>单位名称</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77FD8">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b/>
                <w:bCs/>
                <w:i w:val="0"/>
                <w:color w:val="000000"/>
                <w:sz w:val="28"/>
                <w:szCs w:val="28"/>
                <w:u w:val="none"/>
              </w:rPr>
            </w:pPr>
            <w:r>
              <w:rPr>
                <w:rFonts w:hint="default" w:ascii="Times New Roman" w:hAnsi="Times New Roman" w:eastAsia="仿宋_GB2312" w:cs="Times New Roman"/>
                <w:b/>
                <w:bCs/>
                <w:i w:val="0"/>
                <w:color w:val="000000"/>
                <w:kern w:val="0"/>
                <w:sz w:val="28"/>
                <w:szCs w:val="28"/>
                <w:u w:val="none"/>
                <w:lang w:val="en-US" w:eastAsia="zh-CN" w:bidi="ar"/>
              </w:rPr>
              <w:t>补贴金额（</w:t>
            </w:r>
            <w:r>
              <w:rPr>
                <w:rFonts w:hint="eastAsia" w:ascii="Times New Roman" w:hAnsi="Times New Roman" w:eastAsia="仿宋_GB2312" w:cs="Times New Roman"/>
                <w:b/>
                <w:bCs/>
                <w:i w:val="0"/>
                <w:color w:val="000000"/>
                <w:kern w:val="0"/>
                <w:sz w:val="28"/>
                <w:szCs w:val="28"/>
                <w:u w:val="none"/>
                <w:lang w:val="en-US" w:eastAsia="zh-CN" w:bidi="ar"/>
              </w:rPr>
              <w:t>万</w:t>
            </w:r>
            <w:r>
              <w:rPr>
                <w:rFonts w:hint="default" w:ascii="Times New Roman" w:hAnsi="Times New Roman" w:eastAsia="仿宋_GB2312" w:cs="Times New Roman"/>
                <w:b/>
                <w:bCs/>
                <w:i w:val="0"/>
                <w:color w:val="000000"/>
                <w:kern w:val="0"/>
                <w:sz w:val="28"/>
                <w:szCs w:val="28"/>
                <w:u w:val="none"/>
                <w:lang w:val="en-US" w:eastAsia="zh-CN" w:bidi="ar"/>
              </w:rPr>
              <w:t>元）</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CDE32">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b/>
                <w:bCs/>
                <w:i w:val="0"/>
                <w:color w:val="000000"/>
                <w:kern w:val="0"/>
                <w:sz w:val="28"/>
                <w:szCs w:val="28"/>
                <w:u w:val="none"/>
                <w:lang w:val="en-US" w:eastAsia="zh-CN" w:bidi="ar"/>
              </w:rPr>
            </w:pPr>
            <w:r>
              <w:rPr>
                <w:rFonts w:hint="default" w:ascii="Times New Roman" w:hAnsi="Times New Roman" w:eastAsia="仿宋_GB2312" w:cs="Times New Roman"/>
                <w:b/>
                <w:bCs/>
                <w:i w:val="0"/>
                <w:color w:val="000000"/>
                <w:kern w:val="0"/>
                <w:sz w:val="28"/>
                <w:szCs w:val="28"/>
                <w:u w:val="none"/>
                <w:lang w:val="en-US" w:eastAsia="zh-CN" w:bidi="ar"/>
              </w:rPr>
              <w:t>备注</w:t>
            </w:r>
          </w:p>
        </w:tc>
      </w:tr>
      <w:tr w14:paraId="43FCA2DB">
        <w:tblPrEx>
          <w:tblCellMar>
            <w:top w:w="0" w:type="dxa"/>
            <w:left w:w="0" w:type="dxa"/>
            <w:bottom w:w="0" w:type="dxa"/>
            <w:right w:w="0" w:type="dxa"/>
          </w:tblCellMar>
        </w:tblPrEx>
        <w:trPr>
          <w:trHeight w:val="499" w:hRule="atLeast"/>
          <w:jc w:val="center"/>
        </w:trPr>
        <w:tc>
          <w:tcPr>
            <w:tcW w:w="1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1CB03">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29B60">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中和西镇</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B1176">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eastAsia" w:ascii="仿宋_GB2312" w:hAnsi="宋体" w:eastAsia="仿宋_GB2312" w:cs="仿宋_GB2312"/>
                <w:i w:val="0"/>
                <w:iCs w:val="0"/>
                <w:snapToGrid w:val="0"/>
                <w:color w:val="000000"/>
                <w:kern w:val="0"/>
                <w:sz w:val="28"/>
                <w:szCs w:val="28"/>
                <w:u w:val="none"/>
                <w:lang w:val="en-US" w:eastAsia="zh-CN" w:bidi="ar"/>
              </w:rPr>
              <w:t xml:space="preserve">747.39 </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B2937">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p>
        </w:tc>
      </w:tr>
      <w:tr w14:paraId="1228AEB1">
        <w:tblPrEx>
          <w:tblCellMar>
            <w:top w:w="0" w:type="dxa"/>
            <w:left w:w="0" w:type="dxa"/>
            <w:bottom w:w="0" w:type="dxa"/>
            <w:right w:w="0" w:type="dxa"/>
          </w:tblCellMar>
        </w:tblPrEx>
        <w:trPr>
          <w:trHeight w:val="499" w:hRule="atLeast"/>
          <w:jc w:val="center"/>
        </w:trPr>
        <w:tc>
          <w:tcPr>
            <w:tcW w:w="1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353B4">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9EECE">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恩格贝镇</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BB73F">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lang w:val="en-US"/>
              </w:rPr>
            </w:pPr>
            <w:r>
              <w:rPr>
                <w:rFonts w:hint="eastAsia" w:ascii="仿宋_GB2312" w:hAnsi="宋体" w:eastAsia="仿宋_GB2312" w:cs="仿宋_GB2312"/>
                <w:i w:val="0"/>
                <w:iCs w:val="0"/>
                <w:snapToGrid w:val="0"/>
                <w:color w:val="000000"/>
                <w:kern w:val="0"/>
                <w:sz w:val="28"/>
                <w:szCs w:val="28"/>
                <w:u w:val="none"/>
                <w:lang w:val="en-US" w:eastAsia="zh-CN" w:bidi="ar"/>
              </w:rPr>
              <w:t xml:space="preserve">747.16 </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B882D">
            <w:pPr>
              <w:keepNext w:val="0"/>
              <w:keepLines w:val="0"/>
              <w:pageBreakBefore w:val="0"/>
              <w:kinsoku/>
              <w:wordWrap/>
              <w:overflowPunct/>
              <w:topLinePunct w:val="0"/>
              <w:bidi w:val="0"/>
              <w:jc w:val="center"/>
              <w:rPr>
                <w:rFonts w:hint="default" w:ascii="Times New Roman" w:hAnsi="Times New Roman" w:eastAsia="仿宋_GB2312" w:cs="Times New Roman"/>
                <w:i w:val="0"/>
                <w:color w:val="000000"/>
                <w:sz w:val="28"/>
                <w:szCs w:val="28"/>
                <w:u w:val="none"/>
              </w:rPr>
            </w:pPr>
          </w:p>
        </w:tc>
      </w:tr>
      <w:tr w14:paraId="124CB8C6">
        <w:tblPrEx>
          <w:tblCellMar>
            <w:top w:w="0" w:type="dxa"/>
            <w:left w:w="0" w:type="dxa"/>
            <w:bottom w:w="0" w:type="dxa"/>
            <w:right w:w="0" w:type="dxa"/>
          </w:tblCellMar>
        </w:tblPrEx>
        <w:trPr>
          <w:trHeight w:val="499" w:hRule="atLeast"/>
          <w:jc w:val="center"/>
        </w:trPr>
        <w:tc>
          <w:tcPr>
            <w:tcW w:w="1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C3CE5">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98994">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昭君镇</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3A99F">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lang w:val="en-US"/>
              </w:rPr>
            </w:pPr>
            <w:r>
              <w:rPr>
                <w:rFonts w:hint="eastAsia" w:ascii="仿宋_GB2312" w:hAnsi="宋体" w:eastAsia="仿宋_GB2312" w:cs="仿宋_GB2312"/>
                <w:i w:val="0"/>
                <w:iCs w:val="0"/>
                <w:snapToGrid w:val="0"/>
                <w:color w:val="000000"/>
                <w:kern w:val="0"/>
                <w:sz w:val="28"/>
                <w:szCs w:val="28"/>
                <w:u w:val="none"/>
                <w:lang w:val="en-US" w:eastAsia="zh-CN" w:bidi="ar"/>
              </w:rPr>
              <w:t xml:space="preserve">1447.18 </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D53C3">
            <w:pPr>
              <w:keepNext w:val="0"/>
              <w:keepLines w:val="0"/>
              <w:pageBreakBefore w:val="0"/>
              <w:kinsoku/>
              <w:wordWrap/>
              <w:overflowPunct/>
              <w:topLinePunct w:val="0"/>
              <w:bidi w:val="0"/>
              <w:jc w:val="center"/>
              <w:rPr>
                <w:rFonts w:hint="default" w:ascii="Times New Roman" w:hAnsi="Times New Roman" w:eastAsia="仿宋_GB2312" w:cs="Times New Roman"/>
                <w:i w:val="0"/>
                <w:color w:val="000000"/>
                <w:sz w:val="28"/>
                <w:szCs w:val="28"/>
                <w:u w:val="none"/>
              </w:rPr>
            </w:pPr>
          </w:p>
        </w:tc>
      </w:tr>
      <w:tr w14:paraId="13BC5BBB">
        <w:tblPrEx>
          <w:tblCellMar>
            <w:top w:w="0" w:type="dxa"/>
            <w:left w:w="0" w:type="dxa"/>
            <w:bottom w:w="0" w:type="dxa"/>
            <w:right w:w="0" w:type="dxa"/>
          </w:tblCellMar>
        </w:tblPrEx>
        <w:trPr>
          <w:trHeight w:val="499" w:hRule="atLeast"/>
          <w:jc w:val="center"/>
        </w:trPr>
        <w:tc>
          <w:tcPr>
            <w:tcW w:w="1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D8096">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0EA78">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展旦召苏木</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D699B">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lang w:val="en-US"/>
              </w:rPr>
            </w:pPr>
            <w:r>
              <w:rPr>
                <w:rFonts w:hint="eastAsia" w:ascii="仿宋_GB2312" w:hAnsi="宋体" w:eastAsia="仿宋_GB2312" w:cs="仿宋_GB2312"/>
                <w:i w:val="0"/>
                <w:iCs w:val="0"/>
                <w:snapToGrid w:val="0"/>
                <w:color w:val="000000"/>
                <w:kern w:val="0"/>
                <w:sz w:val="28"/>
                <w:szCs w:val="28"/>
                <w:u w:val="none"/>
                <w:lang w:val="en-US" w:eastAsia="zh-CN" w:bidi="ar"/>
              </w:rPr>
              <w:t xml:space="preserve">1385.69 </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89C0E">
            <w:pPr>
              <w:keepNext w:val="0"/>
              <w:keepLines w:val="0"/>
              <w:pageBreakBefore w:val="0"/>
              <w:kinsoku/>
              <w:wordWrap/>
              <w:overflowPunct/>
              <w:topLinePunct w:val="0"/>
              <w:bidi w:val="0"/>
              <w:jc w:val="center"/>
              <w:rPr>
                <w:rFonts w:hint="default" w:ascii="Times New Roman" w:hAnsi="Times New Roman" w:eastAsia="仿宋_GB2312" w:cs="Times New Roman"/>
                <w:i w:val="0"/>
                <w:color w:val="000000"/>
                <w:sz w:val="28"/>
                <w:szCs w:val="28"/>
                <w:u w:val="none"/>
              </w:rPr>
            </w:pPr>
          </w:p>
        </w:tc>
      </w:tr>
      <w:tr w14:paraId="6BD9CF22">
        <w:tblPrEx>
          <w:tblCellMar>
            <w:top w:w="0" w:type="dxa"/>
            <w:left w:w="0" w:type="dxa"/>
            <w:bottom w:w="0" w:type="dxa"/>
            <w:right w:w="0" w:type="dxa"/>
          </w:tblCellMar>
        </w:tblPrEx>
        <w:trPr>
          <w:trHeight w:val="499" w:hRule="atLeast"/>
          <w:jc w:val="center"/>
        </w:trPr>
        <w:tc>
          <w:tcPr>
            <w:tcW w:w="1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AFF9E">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6BA7E">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树林召镇</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C0658">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lang w:val="en-US"/>
              </w:rPr>
            </w:pPr>
            <w:r>
              <w:rPr>
                <w:rFonts w:hint="eastAsia" w:ascii="仿宋_GB2312" w:hAnsi="宋体" w:eastAsia="仿宋_GB2312" w:cs="仿宋_GB2312"/>
                <w:i w:val="0"/>
                <w:iCs w:val="0"/>
                <w:snapToGrid w:val="0"/>
                <w:color w:val="000000"/>
                <w:kern w:val="0"/>
                <w:sz w:val="28"/>
                <w:szCs w:val="28"/>
                <w:u w:val="none"/>
                <w:lang w:val="en-US" w:eastAsia="zh-CN" w:bidi="ar"/>
              </w:rPr>
              <w:t xml:space="preserve">2710.24 </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91335">
            <w:pPr>
              <w:keepNext w:val="0"/>
              <w:keepLines w:val="0"/>
              <w:pageBreakBefore w:val="0"/>
              <w:kinsoku/>
              <w:wordWrap/>
              <w:overflowPunct/>
              <w:topLinePunct w:val="0"/>
              <w:bidi w:val="0"/>
              <w:jc w:val="center"/>
              <w:rPr>
                <w:rFonts w:hint="default" w:ascii="Times New Roman" w:hAnsi="Times New Roman" w:eastAsia="仿宋_GB2312" w:cs="Times New Roman"/>
                <w:i w:val="0"/>
                <w:color w:val="000000"/>
                <w:sz w:val="28"/>
                <w:szCs w:val="28"/>
                <w:u w:val="none"/>
              </w:rPr>
            </w:pPr>
          </w:p>
        </w:tc>
      </w:tr>
      <w:tr w14:paraId="599547CE">
        <w:tblPrEx>
          <w:tblCellMar>
            <w:top w:w="0" w:type="dxa"/>
            <w:left w:w="0" w:type="dxa"/>
            <w:bottom w:w="0" w:type="dxa"/>
            <w:right w:w="0" w:type="dxa"/>
          </w:tblCellMar>
        </w:tblPrEx>
        <w:trPr>
          <w:trHeight w:val="499" w:hRule="atLeast"/>
          <w:jc w:val="center"/>
        </w:trPr>
        <w:tc>
          <w:tcPr>
            <w:tcW w:w="1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242F4">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E39A7">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王爱召镇</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7B120">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lang w:val="en-US"/>
              </w:rPr>
            </w:pPr>
            <w:r>
              <w:rPr>
                <w:rFonts w:hint="eastAsia" w:ascii="仿宋_GB2312" w:hAnsi="宋体" w:eastAsia="仿宋_GB2312" w:cs="仿宋_GB2312"/>
                <w:i w:val="0"/>
                <w:iCs w:val="0"/>
                <w:snapToGrid w:val="0"/>
                <w:color w:val="000000"/>
                <w:kern w:val="0"/>
                <w:sz w:val="28"/>
                <w:szCs w:val="28"/>
                <w:u w:val="none"/>
                <w:lang w:val="en-US" w:eastAsia="zh-CN" w:bidi="ar"/>
              </w:rPr>
              <w:t xml:space="preserve">2259.35 </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A1624">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p>
        </w:tc>
      </w:tr>
      <w:tr w14:paraId="3391923F">
        <w:tblPrEx>
          <w:tblCellMar>
            <w:top w:w="0" w:type="dxa"/>
            <w:left w:w="0" w:type="dxa"/>
            <w:bottom w:w="0" w:type="dxa"/>
            <w:right w:w="0" w:type="dxa"/>
          </w:tblCellMar>
        </w:tblPrEx>
        <w:trPr>
          <w:trHeight w:val="499" w:hRule="atLeast"/>
          <w:jc w:val="center"/>
        </w:trPr>
        <w:tc>
          <w:tcPr>
            <w:tcW w:w="1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01CC9">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7</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96F62">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白泥井镇</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7C576">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lang w:val="en-US"/>
              </w:rPr>
            </w:pPr>
            <w:r>
              <w:rPr>
                <w:rFonts w:hint="eastAsia" w:ascii="仿宋_GB2312" w:hAnsi="宋体" w:eastAsia="仿宋_GB2312" w:cs="仿宋_GB2312"/>
                <w:i w:val="0"/>
                <w:iCs w:val="0"/>
                <w:snapToGrid w:val="0"/>
                <w:color w:val="000000"/>
                <w:kern w:val="0"/>
                <w:sz w:val="28"/>
                <w:szCs w:val="28"/>
                <w:u w:val="none"/>
                <w:lang w:val="en-US" w:eastAsia="zh-CN" w:bidi="ar"/>
              </w:rPr>
              <w:t xml:space="preserve">1190.31 </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7A880">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p>
        </w:tc>
      </w:tr>
      <w:tr w14:paraId="1CBA0185">
        <w:tblPrEx>
          <w:tblCellMar>
            <w:top w:w="0" w:type="dxa"/>
            <w:left w:w="0" w:type="dxa"/>
            <w:bottom w:w="0" w:type="dxa"/>
            <w:right w:w="0" w:type="dxa"/>
          </w:tblCellMar>
        </w:tblPrEx>
        <w:trPr>
          <w:trHeight w:val="499" w:hRule="atLeast"/>
          <w:jc w:val="center"/>
        </w:trPr>
        <w:tc>
          <w:tcPr>
            <w:tcW w:w="1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65560">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8</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185C7">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吉格斯太镇</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6E215">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lang w:val="en-US"/>
              </w:rPr>
            </w:pPr>
            <w:r>
              <w:rPr>
                <w:rFonts w:hint="eastAsia" w:ascii="仿宋_GB2312" w:hAnsi="宋体" w:eastAsia="仿宋_GB2312" w:cs="仿宋_GB2312"/>
                <w:i w:val="0"/>
                <w:iCs w:val="0"/>
                <w:snapToGrid w:val="0"/>
                <w:color w:val="000000"/>
                <w:kern w:val="0"/>
                <w:sz w:val="28"/>
                <w:szCs w:val="28"/>
                <w:u w:val="none"/>
                <w:lang w:val="en-US" w:eastAsia="zh-CN" w:bidi="ar"/>
              </w:rPr>
              <w:t xml:space="preserve">912.60 </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D1813">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p>
        </w:tc>
      </w:tr>
      <w:tr w14:paraId="38AC576F">
        <w:tblPrEx>
          <w:tblCellMar>
            <w:top w:w="0" w:type="dxa"/>
            <w:left w:w="0" w:type="dxa"/>
            <w:bottom w:w="0" w:type="dxa"/>
            <w:right w:w="0" w:type="dxa"/>
          </w:tblCellMar>
        </w:tblPrEx>
        <w:trPr>
          <w:trHeight w:val="499" w:hRule="atLeast"/>
          <w:jc w:val="center"/>
        </w:trPr>
        <w:tc>
          <w:tcPr>
            <w:tcW w:w="13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5A75E">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9</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2BBA7">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风水梁镇</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3DCF3">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eastAsia" w:ascii="仿宋_GB2312" w:hAnsi="宋体" w:eastAsia="仿宋_GB2312" w:cs="仿宋_GB2312"/>
                <w:i w:val="0"/>
                <w:iCs w:val="0"/>
                <w:snapToGrid w:val="0"/>
                <w:color w:val="000000"/>
                <w:kern w:val="0"/>
                <w:sz w:val="28"/>
                <w:szCs w:val="28"/>
                <w:u w:val="none"/>
                <w:lang w:val="en-US" w:eastAsia="zh-CN" w:bidi="ar"/>
              </w:rPr>
              <w:t xml:space="preserve">441.67 </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CE4AE">
            <w:pPr>
              <w:keepNext w:val="0"/>
              <w:keepLines w:val="0"/>
              <w:pageBreakBefore w:val="0"/>
              <w:kinsoku/>
              <w:wordWrap/>
              <w:overflowPunct/>
              <w:topLinePunct w:val="0"/>
              <w:bidi w:val="0"/>
              <w:jc w:val="center"/>
              <w:rPr>
                <w:rFonts w:hint="default" w:ascii="Times New Roman" w:hAnsi="Times New Roman" w:eastAsia="仿宋_GB2312" w:cs="Times New Roman"/>
                <w:i w:val="0"/>
                <w:color w:val="000000"/>
                <w:sz w:val="28"/>
                <w:szCs w:val="28"/>
                <w:u w:val="none"/>
              </w:rPr>
            </w:pPr>
          </w:p>
        </w:tc>
      </w:tr>
      <w:tr w14:paraId="2AC707A5">
        <w:tblPrEx>
          <w:tblCellMar>
            <w:top w:w="0" w:type="dxa"/>
            <w:left w:w="0" w:type="dxa"/>
            <w:bottom w:w="0" w:type="dxa"/>
            <w:right w:w="0" w:type="dxa"/>
          </w:tblCellMar>
        </w:tblPrEx>
        <w:trPr>
          <w:trHeight w:val="499" w:hRule="atLeast"/>
          <w:jc w:val="center"/>
        </w:trPr>
        <w:tc>
          <w:tcPr>
            <w:tcW w:w="36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B7802">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仿宋_GB2312" w:cs="Times New Roman"/>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合计</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E9CD1">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lang w:val="en-US" w:eastAsia="zh-CN"/>
              </w:rPr>
            </w:pPr>
            <w:r>
              <w:rPr>
                <w:rFonts w:hint="eastAsia" w:ascii="仿宋_GB2312" w:hAnsi="宋体" w:eastAsia="仿宋_GB2312" w:cs="仿宋_GB2312"/>
                <w:i w:val="0"/>
                <w:iCs w:val="0"/>
                <w:snapToGrid w:val="0"/>
                <w:color w:val="000000"/>
                <w:kern w:val="0"/>
                <w:sz w:val="28"/>
                <w:szCs w:val="28"/>
                <w:u w:val="none"/>
                <w:lang w:val="en-US" w:eastAsia="zh-CN" w:bidi="ar"/>
              </w:rPr>
              <w:t>11841.59</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2407B">
            <w:pPr>
              <w:keepNext w:val="0"/>
              <w:keepLines w:val="0"/>
              <w:pageBreakBefore w:val="0"/>
              <w:kinsoku/>
              <w:wordWrap/>
              <w:overflowPunct/>
              <w:topLinePunct w:val="0"/>
              <w:bidi w:val="0"/>
              <w:jc w:val="center"/>
              <w:rPr>
                <w:rFonts w:hint="default" w:ascii="Times New Roman" w:hAnsi="Times New Roman" w:eastAsia="仿宋_GB2312" w:cs="Times New Roman"/>
                <w:i w:val="0"/>
                <w:color w:val="000000"/>
                <w:sz w:val="28"/>
                <w:szCs w:val="28"/>
                <w:u w:val="none"/>
              </w:rPr>
            </w:pPr>
          </w:p>
        </w:tc>
      </w:tr>
    </w:tbl>
    <w:p w14:paraId="5C60D136">
      <w:pPr>
        <w:pStyle w:val="2"/>
        <w:keepNext w:val="0"/>
        <w:keepLines w:val="0"/>
        <w:pageBreakBefore w:val="0"/>
        <w:kinsoku/>
        <w:overflowPunct/>
        <w:topLinePunct w:val="0"/>
        <w:autoSpaceDE/>
        <w:autoSpaceDN/>
        <w:bidi w:val="0"/>
        <w:spacing w:before="0" w:beforeLines="0" w:after="0" w:afterLines="0" w:line="560" w:lineRule="exact"/>
        <w:rPr>
          <w:rFonts w:hint="default"/>
          <w:lang w:val="en-US" w:eastAsia="zh-CN"/>
        </w:rPr>
      </w:pPr>
    </w:p>
    <w:p w14:paraId="37DE06D8"/>
    <w:sectPr>
      <w:footerReference r:id="rId3" w:type="default"/>
      <w:footerReference r:id="rId4" w:type="even"/>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5A2AF">
    <w:pPr>
      <w:pStyle w:val="3"/>
      <w:rPr>
        <w:rStyle w:val="8"/>
        <w:rFonts w:hint="eastAsia" w:ascii="仿宋_GB2312" w:eastAsia="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17C7D07">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- 18 -</w:t>
                          </w:r>
                          <w:r>
                            <w:rPr>
                              <w:rFonts w:hint="eastAsia" w:ascii="宋体" w:hAnsi="宋体" w:eastAsia="宋体" w:cs="宋体"/>
                              <w:sz w:val="28"/>
                              <w:szCs w:val="4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717C7D07">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- 18 -</w:t>
                    </w:r>
                    <w:r>
                      <w:rPr>
                        <w:rFonts w:hint="eastAsia" w:ascii="宋体" w:hAnsi="宋体" w:eastAsia="宋体" w:cs="宋体"/>
                        <w:sz w:val="28"/>
                        <w:szCs w:val="44"/>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-123825</wp:posOffset>
              </wp:positionV>
              <wp:extent cx="779145" cy="2565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79145" cy="256540"/>
                      </a:xfrm>
                      <a:prstGeom prst="rect">
                        <a:avLst/>
                      </a:prstGeom>
                      <a:noFill/>
                      <a:ln>
                        <a:noFill/>
                      </a:ln>
                    </wps:spPr>
                    <wps:txbx>
                      <w:txbxContent>
                        <w:p w14:paraId="46374FE8">
                          <w:pPr>
                            <w:snapToGrid w:val="0"/>
                            <w:rPr>
                              <w:rFonts w:hint="eastAsia" w:ascii="宋体" w:hAnsi="宋体" w:cs="宋体"/>
                              <w:sz w:val="28"/>
                              <w:szCs w:val="28"/>
                            </w:rPr>
                          </w:pPr>
                        </w:p>
                      </w:txbxContent>
                    </wps:txbx>
                    <wps:bodyPr lIns="0" tIns="0" rIns="0" bIns="0" upright="0"/>
                  </wps:wsp>
                </a:graphicData>
              </a:graphic>
            </wp:anchor>
          </w:drawing>
        </mc:Choice>
        <mc:Fallback>
          <w:pict>
            <v:shape id="_x0000_s1026" o:spid="_x0000_s1026" o:spt="202" type="#_x0000_t202" style="position:absolute;left:0pt;margin-top:-9.75pt;height:20.2pt;width:61.35pt;mso-position-horizontal:outside;mso-position-horizontal-relative:margin;z-index:251659264;mso-width-relative:page;mso-height-relative:page;" filled="f" stroked="f" coordsize="21600,21600" o:gfxdata="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EipLfWAAAABwEAAA8AAAAAAAAAAQAgAAAAIgAAAGRycy9kb3ducmV2LnhtbFBLAQIU&#10;ABQAAAAIAIdO4kCkHfurvAEAAHEDAAAOAAAAAAAAAAEAIAAAACUBAABkcnMvZTJvRG9jLnhtbFBL&#10;BQYAAAAABgAGAFkBAABTBQAAAAA=&#10;">
              <v:fill on="f" focussize="0,0"/>
              <v:stroke on="f"/>
              <v:imagedata o:title=""/>
              <o:lock v:ext="edit" aspectratio="f"/>
              <v:textbox inset="0mm,0mm,0mm,0mm">
                <w:txbxContent>
                  <w:p w14:paraId="46374FE8">
                    <w:pPr>
                      <w:snapToGrid w:val="0"/>
                      <w:rPr>
                        <w:rFonts w:hint="eastAsia" w:ascii="宋体" w:hAnsi="宋体" w:cs="宋体"/>
                        <w:sz w:val="28"/>
                        <w:szCs w:val="28"/>
                      </w:rPr>
                    </w:pPr>
                  </w:p>
                </w:txbxContent>
              </v:textbox>
            </v:shape>
          </w:pict>
        </mc:Fallback>
      </mc:AlternateContent>
    </w:r>
  </w:p>
  <w:p w14:paraId="35991B15">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0117E">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-190500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2E96CAA">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60288;mso-width-relative:page;mso-height-relative:page;" filled="f" stroked="f" coordsize="21600,21600" o:gfxdata="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KXU3G1gAAAAgBAAAPAAAAAAAAAAEAIAAAACIA&#10;AABkcnMvZG93bnJldi54bWxQSwECFAAUAAAACACHTuJA97vqatIBAACjAwAADgAAAAAAAAABACAA&#10;AAAlAQAAZHJzL2Uyb0RvYy54bWxQSwUGAAAAAAYABgBZAQAAaQUAAAAA&#10;">
              <v:fill on="f" focussize="0,0"/>
              <v:stroke on="f" weight="1.25pt"/>
              <v:imagedata o:title=""/>
              <o:lock v:ext="edit" aspectratio="f"/>
              <v:textbox inset="0mm,0mm,0mm,0mm" style="mso-fit-shape-to-text:t;">
                <w:txbxContent>
                  <w:p w14:paraId="72E96CAA">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3AE6C39"/>
    <w:rsid w:val="14E346E3"/>
    <w:rsid w:val="15935C4D"/>
    <w:rsid w:val="16505D95"/>
    <w:rsid w:val="16F314F1"/>
    <w:rsid w:val="179B481B"/>
    <w:rsid w:val="1BC73A3A"/>
    <w:rsid w:val="1CD64F48"/>
    <w:rsid w:val="1DD10DE3"/>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F817AB6"/>
    <w:rsid w:val="2FB45466"/>
    <w:rsid w:val="31BB57A6"/>
    <w:rsid w:val="339B1E96"/>
    <w:rsid w:val="34C16D42"/>
    <w:rsid w:val="38093CF4"/>
    <w:rsid w:val="392A6928"/>
    <w:rsid w:val="3A600E6E"/>
    <w:rsid w:val="3A7541F9"/>
    <w:rsid w:val="3B042863"/>
    <w:rsid w:val="3BC738FD"/>
    <w:rsid w:val="3C760918"/>
    <w:rsid w:val="3C7714F5"/>
    <w:rsid w:val="3D3A7F4D"/>
    <w:rsid w:val="3DA43FAB"/>
    <w:rsid w:val="3EEA2EDF"/>
    <w:rsid w:val="3F447220"/>
    <w:rsid w:val="409D238F"/>
    <w:rsid w:val="426943E0"/>
    <w:rsid w:val="42E979B3"/>
    <w:rsid w:val="42FC48EC"/>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F2E1793"/>
    <w:rsid w:val="5F775017"/>
    <w:rsid w:val="61BC1668"/>
    <w:rsid w:val="62ED72E2"/>
    <w:rsid w:val="633E0F26"/>
    <w:rsid w:val="634420AD"/>
    <w:rsid w:val="670747A8"/>
    <w:rsid w:val="679B0858"/>
    <w:rsid w:val="681A56BD"/>
    <w:rsid w:val="68DF53F7"/>
    <w:rsid w:val="6A1B2DDD"/>
    <w:rsid w:val="6B8B10F7"/>
    <w:rsid w:val="6C3635C3"/>
    <w:rsid w:val="6D4437BB"/>
    <w:rsid w:val="6E5129A0"/>
    <w:rsid w:val="6EF900D3"/>
    <w:rsid w:val="708970E2"/>
    <w:rsid w:val="7152505D"/>
    <w:rsid w:val="71D339FF"/>
    <w:rsid w:val="725E0538"/>
    <w:rsid w:val="741407BE"/>
    <w:rsid w:val="74E047F8"/>
    <w:rsid w:val="768E6ABA"/>
    <w:rsid w:val="773B4DD7"/>
    <w:rsid w:val="79F631A3"/>
    <w:rsid w:val="7BE9446F"/>
    <w:rsid w:val="7C407FF3"/>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rFonts w:ascii="Times New Roman" w:hAnsi="Times New Roman" w:eastAsia="宋体" w:cs="Times New Roman"/>
      <w:kern w:val="0"/>
      <w:sz w:val="24"/>
    </w:rPr>
  </w:style>
  <w:style w:type="character" w:styleId="7">
    <w:name w:val="Strong"/>
    <w:qFormat/>
    <w:uiPriority w:val="0"/>
    <w:rPr>
      <w:b/>
    </w:rPr>
  </w:style>
  <w:style w:type="character" w:styleId="8">
    <w:name w:val="page number"/>
    <w:basedOn w:val="6"/>
    <w:uiPriority w:val="0"/>
  </w:style>
  <w:style w:type="paragraph" w:customStyle="1" w:styleId="9">
    <w:name w:val="Body text|1"/>
    <w:basedOn w:val="1"/>
    <w:qFormat/>
    <w:uiPriority w:val="0"/>
    <w:pPr>
      <w:widowControl w:val="0"/>
      <w:shd w:val="clear" w:color="auto" w:fill="auto"/>
      <w:spacing w:line="420" w:lineRule="auto"/>
      <w:ind w:firstLine="400"/>
    </w:pPr>
    <w:rPr>
      <w:rFonts w:ascii="宋体" w:hAnsi="宋体" w:eastAsia="宋体" w:cs="宋体"/>
      <w:color w:val="342E47"/>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达拉特旗人民政府(拟稿)</cp:lastModifiedBy>
  <dcterms:modified xsi:type="dcterms:W3CDTF">2025-11-24T02:40:00Z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