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2136">
      <w:pPr>
        <w:spacing w:line="560" w:lineRule="exact"/>
        <w:rPr>
          <w:rFonts w:ascii="黑体" w:hAnsi="黑体" w:eastAsia="黑体" w:cs="黑体"/>
          <w:sz w:val="36"/>
          <w:szCs w:val="36"/>
        </w:rPr>
      </w:pPr>
      <w:r>
        <w:rPr>
          <w:rFonts w:hint="eastAsia" w:ascii="黑体" w:hAnsi="黑体" w:eastAsia="黑体" w:cs="黑体"/>
          <w:sz w:val="32"/>
          <w:szCs w:val="32"/>
        </w:rPr>
        <w:t>附件2</w:t>
      </w:r>
    </w:p>
    <w:p w14:paraId="6EC1E4D9">
      <w:pPr>
        <w:keepNext w:val="0"/>
        <w:keepLines w:val="0"/>
        <w:pageBreakBefore w:val="0"/>
        <w:kinsoku/>
        <w:wordWrap/>
        <w:overflowPunct/>
        <w:topLinePunct/>
        <w:autoSpaceDE w:val="0"/>
        <w:autoSpaceDN/>
        <w:bidi w:val="0"/>
        <w:adjustRightInd/>
        <w:snapToGrid/>
        <w:spacing w:line="4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达拉特旗节水行动方案项目清单</w:t>
      </w:r>
    </w:p>
    <w:tbl>
      <w:tblPr>
        <w:tblStyle w:val="6"/>
        <w:tblpPr w:leftFromText="180" w:rightFromText="180" w:vertAnchor="text" w:tblpY="1"/>
        <w:tblOverlap w:val="never"/>
        <w:tblW w:w="0" w:type="auto"/>
        <w:tblInd w:w="93" w:type="dxa"/>
        <w:tblLayout w:type="fixed"/>
        <w:tblCellMar>
          <w:top w:w="0" w:type="dxa"/>
          <w:left w:w="108" w:type="dxa"/>
          <w:bottom w:w="0" w:type="dxa"/>
          <w:right w:w="108" w:type="dxa"/>
        </w:tblCellMar>
      </w:tblPr>
      <w:tblGrid>
        <w:gridCol w:w="484"/>
        <w:gridCol w:w="2412"/>
        <w:gridCol w:w="3555"/>
        <w:gridCol w:w="1195"/>
        <w:gridCol w:w="1300"/>
        <w:gridCol w:w="850"/>
        <w:gridCol w:w="3260"/>
        <w:gridCol w:w="1134"/>
        <w:gridCol w:w="1134"/>
      </w:tblGrid>
      <w:tr w14:paraId="7332B582">
        <w:tblPrEx>
          <w:tblCellMar>
            <w:top w:w="0" w:type="dxa"/>
            <w:left w:w="108" w:type="dxa"/>
            <w:bottom w:w="0" w:type="dxa"/>
            <w:right w:w="108" w:type="dxa"/>
          </w:tblCellMar>
        </w:tblPrEx>
        <w:trPr>
          <w:trHeight w:val="617"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4099FC06">
            <w:pPr>
              <w:keepNext w:val="0"/>
              <w:keepLines w:val="0"/>
              <w:pageBreakBefore w:val="0"/>
              <w:widowControl/>
              <w:kinsoku/>
              <w:wordWrap/>
              <w:overflowPunct/>
              <w:autoSpaceDN/>
              <w:bidi w:val="0"/>
              <w:adjustRightInd/>
              <w:snapToGrid/>
              <w:spacing w:line="4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98D6F42">
            <w:pPr>
              <w:keepNext w:val="0"/>
              <w:keepLines w:val="0"/>
              <w:pageBreakBefore w:val="0"/>
              <w:widowControl/>
              <w:kinsoku/>
              <w:wordWrap/>
              <w:overflowPunct/>
              <w:autoSpaceDN/>
              <w:bidi w:val="0"/>
              <w:adjustRightInd/>
              <w:snapToGrid/>
              <w:spacing w:line="480" w:lineRule="exact"/>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项目名称</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0F68DBA3">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建设内容</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6AA25CC">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投资金额（万元）</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633B39F2">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上级资金</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F28C064">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sz w:val="24"/>
              </w:rPr>
              <w:t>旗级资金</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5D73FA2A">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责任单位</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791C51FE">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落实情况</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579DB38C">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kern w:val="0"/>
                <w:sz w:val="24"/>
                <w:lang w:val="en-US" w:eastAsia="zh-CN" w:bidi="ar"/>
              </w:rPr>
            </w:pPr>
            <w:r>
              <w:rPr>
                <w:rFonts w:hint="eastAsia" w:ascii="黑体" w:hAnsi="宋体" w:eastAsia="黑体" w:cs="黑体"/>
                <w:color w:val="000000"/>
                <w:kern w:val="0"/>
                <w:sz w:val="24"/>
                <w:lang w:val="en-US" w:eastAsia="zh-CN" w:bidi="ar"/>
              </w:rPr>
              <w:t>备注</w:t>
            </w:r>
          </w:p>
        </w:tc>
      </w:tr>
      <w:tr w14:paraId="788BB104">
        <w:tblPrEx>
          <w:tblCellMar>
            <w:top w:w="0" w:type="dxa"/>
            <w:left w:w="108" w:type="dxa"/>
            <w:bottom w:w="0" w:type="dxa"/>
            <w:right w:w="108" w:type="dxa"/>
          </w:tblCellMar>
        </w:tblPrEx>
        <w:trPr>
          <w:trHeight w:val="525"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798D64BD">
            <w:pPr>
              <w:keepNext w:val="0"/>
              <w:keepLines w:val="0"/>
              <w:pageBreakBefore w:val="0"/>
              <w:widowControl/>
              <w:kinsoku/>
              <w:wordWrap/>
              <w:overflowPunct/>
              <w:autoSpaceDN/>
              <w:bidi w:val="0"/>
              <w:adjustRightInd/>
              <w:snapToGrid/>
              <w:spacing w:line="480" w:lineRule="exact"/>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一、强化水资源刚性约束</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7079B33">
            <w:pPr>
              <w:keepNext w:val="0"/>
              <w:keepLines w:val="0"/>
              <w:pageBreakBefore w:val="0"/>
              <w:kinsoku/>
              <w:wordWrap/>
              <w:overflowPunct/>
              <w:autoSpaceDN/>
              <w:bidi w:val="0"/>
              <w:adjustRightInd/>
              <w:snapToGrid/>
              <w:spacing w:line="480" w:lineRule="exact"/>
              <w:jc w:val="center"/>
              <w:rPr>
                <w:rFonts w:ascii="黑体" w:hAnsi="宋体" w:eastAsia="黑体" w:cs="黑体"/>
                <w:color w:val="000000"/>
                <w:sz w:val="24"/>
              </w:rPr>
            </w:pPr>
            <w:r>
              <w:rPr>
                <w:rFonts w:hint="eastAsia" w:ascii="黑体" w:hAnsi="宋体" w:eastAsia="黑体" w:cs="黑体"/>
                <w:color w:val="000000"/>
                <w:sz w:val="24"/>
              </w:rPr>
              <w:t>38084</w:t>
            </w:r>
          </w:p>
        </w:tc>
        <w:tc>
          <w:tcPr>
            <w:tcW w:w="1300" w:type="dxa"/>
            <w:tcBorders>
              <w:top w:val="single" w:color="000000" w:sz="4" w:space="0"/>
              <w:left w:val="single" w:color="000000" w:sz="4" w:space="0"/>
              <w:bottom w:val="single" w:color="000000" w:sz="4" w:space="0"/>
              <w:right w:val="single" w:color="000000" w:sz="4" w:space="0"/>
            </w:tcBorders>
            <w:noWrap w:val="0"/>
            <w:vAlign w:val="top"/>
          </w:tcPr>
          <w:p w14:paraId="2B916D9B">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c>
          <w:tcPr>
            <w:tcW w:w="850" w:type="dxa"/>
            <w:tcBorders>
              <w:top w:val="single" w:color="000000" w:sz="4" w:space="0"/>
              <w:left w:val="single" w:color="000000" w:sz="4" w:space="0"/>
              <w:bottom w:val="single" w:color="000000" w:sz="4" w:space="0"/>
              <w:right w:val="single" w:color="auto" w:sz="4" w:space="0"/>
            </w:tcBorders>
            <w:noWrap w:val="0"/>
            <w:vAlign w:val="top"/>
          </w:tcPr>
          <w:p w14:paraId="19036437">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c>
          <w:tcPr>
            <w:tcW w:w="5528" w:type="dxa"/>
            <w:gridSpan w:val="3"/>
            <w:tcBorders>
              <w:top w:val="single" w:color="000000" w:sz="4" w:space="0"/>
              <w:left w:val="single" w:color="000000" w:sz="4" w:space="0"/>
              <w:bottom w:val="single" w:color="000000" w:sz="4" w:space="0"/>
              <w:right w:val="single" w:color="auto" w:sz="4" w:space="0"/>
            </w:tcBorders>
            <w:noWrap w:val="0"/>
            <w:vAlign w:val="top"/>
          </w:tcPr>
          <w:p w14:paraId="56730ACF">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r>
      <w:tr w14:paraId="26706B21">
        <w:tblPrEx>
          <w:tblCellMar>
            <w:top w:w="0" w:type="dxa"/>
            <w:left w:w="108" w:type="dxa"/>
            <w:bottom w:w="0" w:type="dxa"/>
            <w:right w:w="108" w:type="dxa"/>
          </w:tblCellMar>
        </w:tblPrEx>
        <w:trPr>
          <w:trHeight w:val="114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4FABD186">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2FBD93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达拉特旗地下水超采区腹地水资源置换工程</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4F09D8A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对白泥井镇七份子村、五柜村及周边水位下降幅度较大区域输送黄河水，置换地下水水源灌溉控制面积6000亩，替代置换70眼机电井的滴管灌溉频次，年置换水量约70多万立方米</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029DE77">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4ACFD1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14704E0">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1624</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71E3E8A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水利局、展旦召苏木、树林召镇、王爱召镇、白泥井镇、吉格斯太镇</w:t>
            </w:r>
          </w:p>
        </w:tc>
        <w:tc>
          <w:tcPr>
            <w:tcW w:w="1134" w:type="dxa"/>
            <w:tcBorders>
              <w:top w:val="single" w:color="000000" w:sz="4" w:space="0"/>
              <w:left w:val="nil"/>
              <w:bottom w:val="single" w:color="000000" w:sz="4" w:space="0"/>
              <w:right w:val="single" w:color="auto" w:sz="4" w:space="0"/>
            </w:tcBorders>
            <w:noWrap w:val="0"/>
            <w:vAlign w:val="center"/>
          </w:tcPr>
          <w:p w14:paraId="1D80483F">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nil"/>
              <w:bottom w:val="single" w:color="000000" w:sz="4" w:space="0"/>
              <w:right w:val="single" w:color="auto" w:sz="4" w:space="0"/>
            </w:tcBorders>
            <w:noWrap w:val="0"/>
            <w:vAlign w:val="top"/>
          </w:tcPr>
          <w:p w14:paraId="1DCB35B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70056C70">
        <w:tblPrEx>
          <w:tblCellMar>
            <w:top w:w="0" w:type="dxa"/>
            <w:left w:w="108" w:type="dxa"/>
            <w:bottom w:w="0" w:type="dxa"/>
            <w:right w:w="108" w:type="dxa"/>
          </w:tblCellMar>
        </w:tblPrEx>
        <w:trPr>
          <w:trHeight w:val="74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4F2F941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2BA049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达拉特旗地下水超采区压采暨农业灌溉井电双控项目</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6B26B7D9">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FF0000"/>
                <w:sz w:val="22"/>
                <w:szCs w:val="22"/>
              </w:rPr>
            </w:pPr>
            <w:r>
              <w:rPr>
                <w:rFonts w:hint="eastAsia" w:ascii="宋体" w:hAnsi="宋体" w:cs="宋体"/>
                <w:kern w:val="0"/>
                <w:sz w:val="22"/>
                <w:szCs w:val="22"/>
                <w:lang w:bidi="ar"/>
              </w:rPr>
              <w:t>计划在超采区内安装机电井计量设施3100多套</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38C7D5B">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FF0000"/>
                <w:sz w:val="22"/>
                <w:szCs w:val="22"/>
              </w:rPr>
            </w:pPr>
            <w:r>
              <w:rPr>
                <w:rFonts w:hint="eastAsia" w:ascii="宋体" w:hAnsi="宋体" w:cs="宋体"/>
                <w:kern w:val="0"/>
                <w:sz w:val="22"/>
                <w:szCs w:val="22"/>
                <w:lang w:bidi="ar"/>
              </w:rPr>
              <w:t>3576</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9B2038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DFD1C7">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3576</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40CB07F">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水利局、展旦召苏木、树林召镇、王爱召镇、白泥井镇、吉格斯太镇</w:t>
            </w:r>
          </w:p>
        </w:tc>
        <w:tc>
          <w:tcPr>
            <w:tcW w:w="1134" w:type="dxa"/>
            <w:tcBorders>
              <w:top w:val="single" w:color="000000" w:sz="4" w:space="0"/>
              <w:left w:val="nil"/>
              <w:bottom w:val="single" w:color="000000" w:sz="4" w:space="0"/>
              <w:right w:val="single" w:color="auto" w:sz="4" w:space="0"/>
            </w:tcBorders>
            <w:noWrap w:val="0"/>
            <w:vAlign w:val="center"/>
          </w:tcPr>
          <w:p w14:paraId="4826C2B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nil"/>
              <w:bottom w:val="single" w:color="000000" w:sz="4" w:space="0"/>
              <w:right w:val="single" w:color="auto" w:sz="4" w:space="0"/>
            </w:tcBorders>
            <w:noWrap w:val="0"/>
            <w:vAlign w:val="top"/>
          </w:tcPr>
          <w:p w14:paraId="780AA824">
            <w:pPr>
              <w:keepNext w:val="0"/>
              <w:keepLines w:val="0"/>
              <w:pageBreakBefore w:val="0"/>
              <w:widowControl/>
              <w:kinsoku/>
              <w:wordWrap/>
              <w:overflowPunct/>
              <w:autoSpaceDN/>
              <w:bidi w:val="0"/>
              <w:adjustRightInd/>
              <w:snapToGrid/>
              <w:spacing w:line="480" w:lineRule="exact"/>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广汇水务公司申请专项债</w:t>
            </w:r>
          </w:p>
        </w:tc>
      </w:tr>
      <w:tr w14:paraId="05FC1D56">
        <w:tblPrEx>
          <w:tblCellMar>
            <w:top w:w="0" w:type="dxa"/>
            <w:left w:w="108" w:type="dxa"/>
            <w:bottom w:w="0" w:type="dxa"/>
            <w:right w:w="108" w:type="dxa"/>
          </w:tblCellMar>
        </w:tblPrEx>
        <w:trPr>
          <w:trHeight w:val="859"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6A0034D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E8E8943">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达拉特旗调整超采区范围内种植结构</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1441C496">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拟在超采区内调整种植结构6000亩</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B31244F">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FF0000"/>
                <w:sz w:val="22"/>
                <w:szCs w:val="22"/>
              </w:rPr>
            </w:pPr>
            <w:r>
              <w:rPr>
                <w:rFonts w:hint="eastAsia" w:ascii="宋体" w:hAnsi="宋体" w:cs="宋体"/>
                <w:kern w:val="0"/>
                <w:sz w:val="22"/>
                <w:szCs w:val="22"/>
                <w:lang w:bidi="ar"/>
              </w:rPr>
              <w:t>120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1804F5B">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0DF3E9">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120</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677BA9C3">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农牧局、展旦召苏木、树林召镇、王爱召镇、白泥井镇、吉格斯太镇</w:t>
            </w:r>
          </w:p>
        </w:tc>
        <w:tc>
          <w:tcPr>
            <w:tcW w:w="1134" w:type="dxa"/>
            <w:tcBorders>
              <w:top w:val="single" w:color="000000" w:sz="4" w:space="0"/>
              <w:left w:val="nil"/>
              <w:bottom w:val="single" w:color="000000" w:sz="4" w:space="0"/>
              <w:right w:val="single" w:color="auto" w:sz="4" w:space="0"/>
            </w:tcBorders>
            <w:noWrap w:val="0"/>
            <w:vAlign w:val="center"/>
          </w:tcPr>
          <w:p w14:paraId="70ECADE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未落实</w:t>
            </w:r>
          </w:p>
        </w:tc>
        <w:tc>
          <w:tcPr>
            <w:tcW w:w="1134" w:type="dxa"/>
            <w:tcBorders>
              <w:top w:val="single" w:color="000000" w:sz="4" w:space="0"/>
              <w:left w:val="nil"/>
              <w:bottom w:val="single" w:color="000000" w:sz="4" w:space="0"/>
              <w:right w:val="single" w:color="auto" w:sz="4" w:space="0"/>
            </w:tcBorders>
            <w:noWrap w:val="0"/>
            <w:vAlign w:val="top"/>
          </w:tcPr>
          <w:p w14:paraId="4F2BCD1C">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2CE7A60A">
        <w:tblPrEx>
          <w:tblCellMar>
            <w:top w:w="0" w:type="dxa"/>
            <w:left w:w="108" w:type="dxa"/>
            <w:bottom w:w="0" w:type="dxa"/>
            <w:right w:w="108" w:type="dxa"/>
          </w:tblCellMar>
        </w:tblPrEx>
        <w:trPr>
          <w:trHeight w:val="702"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1792792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79DFC22F">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达拉特旗改造盐碱地工程</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6CBB9E77">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拟改造盐碱地22864亩，其中：东海心11494亩，田家营子11370亩</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CAC8E2B">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20000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1E6D34D">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中央20000万元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5D5039">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57388C9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农牧局、树林召镇</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5EDD1D4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single" w:color="000000" w:sz="4" w:space="0"/>
              <w:bottom w:val="single" w:color="000000" w:sz="4" w:space="0"/>
              <w:right w:val="single" w:color="auto" w:sz="4" w:space="0"/>
            </w:tcBorders>
            <w:noWrap w:val="0"/>
            <w:vAlign w:val="top"/>
          </w:tcPr>
          <w:p w14:paraId="41B7C1A5">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32822E77">
        <w:tblPrEx>
          <w:tblCellMar>
            <w:top w:w="0" w:type="dxa"/>
            <w:left w:w="108" w:type="dxa"/>
            <w:bottom w:w="0" w:type="dxa"/>
            <w:right w:w="108" w:type="dxa"/>
          </w:tblCellMar>
        </w:tblPrEx>
        <w:trPr>
          <w:trHeight w:val="702"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5D7B76CF">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EF761D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达拉特旗2025年高标准农田建设项目</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4866AE3C">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新建3.02万亩高标准农田，改造提升2万亩高标准农田</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941E9F4">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12262</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BE01846">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中央11648万元、自治区614万元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1C627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7604784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农牧局、各苏木镇</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7F7D0A90">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single" w:color="000000" w:sz="4" w:space="0"/>
              <w:bottom w:val="single" w:color="000000" w:sz="4" w:space="0"/>
              <w:right w:val="single" w:color="auto" w:sz="4" w:space="0"/>
            </w:tcBorders>
            <w:noWrap w:val="0"/>
            <w:vAlign w:val="top"/>
          </w:tcPr>
          <w:p w14:paraId="0F4EF64B">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22CD5306">
        <w:tblPrEx>
          <w:tblCellMar>
            <w:top w:w="0" w:type="dxa"/>
            <w:left w:w="108" w:type="dxa"/>
            <w:bottom w:w="0" w:type="dxa"/>
            <w:right w:w="108" w:type="dxa"/>
          </w:tblCellMar>
        </w:tblPrEx>
        <w:trPr>
          <w:trHeight w:val="481"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7331A8C8">
            <w:pPr>
              <w:keepNext w:val="0"/>
              <w:keepLines w:val="0"/>
              <w:pageBreakBefore w:val="0"/>
              <w:widowControl/>
              <w:kinsoku/>
              <w:wordWrap/>
              <w:overflowPunct/>
              <w:autoSpaceDN/>
              <w:bidi w:val="0"/>
              <w:adjustRightInd/>
              <w:snapToGrid/>
              <w:spacing w:line="480" w:lineRule="exact"/>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二、全力推进农业节水增效</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E9A15FA">
            <w:pPr>
              <w:keepNext w:val="0"/>
              <w:keepLines w:val="0"/>
              <w:pageBreakBefore w:val="0"/>
              <w:widowControl/>
              <w:kinsoku/>
              <w:wordWrap/>
              <w:overflowPunct/>
              <w:autoSpaceDN/>
              <w:bidi w:val="0"/>
              <w:adjustRightInd/>
              <w:snapToGrid/>
              <w:spacing w:line="48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2480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287BDF4">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c>
          <w:tcPr>
            <w:tcW w:w="850" w:type="dxa"/>
            <w:tcBorders>
              <w:top w:val="single" w:color="000000" w:sz="4" w:space="0"/>
              <w:left w:val="single" w:color="000000" w:sz="4" w:space="0"/>
              <w:bottom w:val="single" w:color="000000" w:sz="4" w:space="0"/>
              <w:right w:val="single" w:color="auto" w:sz="4" w:space="0"/>
            </w:tcBorders>
            <w:noWrap w:val="0"/>
            <w:vAlign w:val="center"/>
          </w:tcPr>
          <w:p w14:paraId="66032B60">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c>
          <w:tcPr>
            <w:tcW w:w="5528" w:type="dxa"/>
            <w:gridSpan w:val="3"/>
            <w:tcBorders>
              <w:top w:val="single" w:color="000000" w:sz="4" w:space="0"/>
              <w:left w:val="single" w:color="000000" w:sz="4" w:space="0"/>
              <w:bottom w:val="single" w:color="000000" w:sz="4" w:space="0"/>
              <w:right w:val="single" w:color="auto" w:sz="4" w:space="0"/>
            </w:tcBorders>
            <w:noWrap w:val="0"/>
            <w:vAlign w:val="top"/>
          </w:tcPr>
          <w:p w14:paraId="6BED1036">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r>
      <w:tr w14:paraId="170B0286">
        <w:tblPrEx>
          <w:tblCellMar>
            <w:top w:w="0" w:type="dxa"/>
            <w:left w:w="108" w:type="dxa"/>
            <w:bottom w:w="0" w:type="dxa"/>
            <w:right w:w="108" w:type="dxa"/>
          </w:tblCellMar>
        </w:tblPrEx>
        <w:trPr>
          <w:trHeight w:val="1484"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52A620A7">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52EF83F">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达拉特旗乌兰水库下游灌区续建配套与节水改造工程</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3D5B7117">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该项目将原有土渠大改造为混凝土衬砌渠道，共布置4个引水口，衬砌干渠5条，长度为11.007km；衬砌支渠12条，长度为19.409km，布置渠系建筑物538座。</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79CF223">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FF593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自治区800万、市级680万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E3199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9923D7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水利局、各苏木镇</w:t>
            </w:r>
          </w:p>
        </w:tc>
        <w:tc>
          <w:tcPr>
            <w:tcW w:w="1134" w:type="dxa"/>
            <w:tcBorders>
              <w:top w:val="single" w:color="000000" w:sz="4" w:space="0"/>
              <w:left w:val="nil"/>
              <w:bottom w:val="single" w:color="000000" w:sz="4" w:space="0"/>
              <w:right w:val="single" w:color="auto" w:sz="4" w:space="0"/>
            </w:tcBorders>
            <w:noWrap w:val="0"/>
            <w:vAlign w:val="center"/>
          </w:tcPr>
          <w:p w14:paraId="3D447955">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nil"/>
              <w:bottom w:val="single" w:color="000000" w:sz="4" w:space="0"/>
              <w:right w:val="single" w:color="auto" w:sz="4" w:space="0"/>
            </w:tcBorders>
            <w:noWrap w:val="0"/>
            <w:vAlign w:val="top"/>
          </w:tcPr>
          <w:p w14:paraId="51C019A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2739D84F">
        <w:tblPrEx>
          <w:tblCellMar>
            <w:top w:w="0" w:type="dxa"/>
            <w:left w:w="108" w:type="dxa"/>
            <w:bottom w:w="0" w:type="dxa"/>
            <w:right w:w="108"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2AAB015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7AA115A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达拉特旗扬水灌区水权转换维修养护项目</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1F10606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渠道衬砌5km，建筑物改建20座</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26630A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E2400E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市级1000万元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A0AB083">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ACE387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水利局、各苏木镇</w:t>
            </w:r>
          </w:p>
        </w:tc>
        <w:tc>
          <w:tcPr>
            <w:tcW w:w="1134" w:type="dxa"/>
            <w:tcBorders>
              <w:top w:val="single" w:color="000000" w:sz="4" w:space="0"/>
              <w:left w:val="nil"/>
              <w:bottom w:val="single" w:color="000000" w:sz="4" w:space="0"/>
              <w:right w:val="single" w:color="auto" w:sz="4" w:space="0"/>
            </w:tcBorders>
            <w:noWrap w:val="0"/>
            <w:vAlign w:val="center"/>
          </w:tcPr>
          <w:p w14:paraId="373530C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nil"/>
              <w:bottom w:val="single" w:color="000000" w:sz="4" w:space="0"/>
              <w:right w:val="single" w:color="auto" w:sz="4" w:space="0"/>
            </w:tcBorders>
            <w:noWrap w:val="0"/>
            <w:vAlign w:val="top"/>
          </w:tcPr>
          <w:p w14:paraId="5846338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2C6EBBE3">
        <w:tblPrEx>
          <w:tblCellMar>
            <w:top w:w="0" w:type="dxa"/>
            <w:left w:w="108" w:type="dxa"/>
            <w:bottom w:w="0" w:type="dxa"/>
            <w:right w:w="108" w:type="dxa"/>
          </w:tblCellMar>
        </w:tblPrEx>
        <w:trPr>
          <w:trHeight w:val="497"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3ED03AAC">
            <w:pPr>
              <w:keepNext w:val="0"/>
              <w:keepLines w:val="0"/>
              <w:pageBreakBefore w:val="0"/>
              <w:widowControl/>
              <w:kinsoku/>
              <w:wordWrap/>
              <w:overflowPunct/>
              <w:autoSpaceDN/>
              <w:bidi w:val="0"/>
              <w:adjustRightInd/>
              <w:snapToGrid/>
              <w:spacing w:line="480" w:lineRule="exact"/>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三、全力推进工业节水减排</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42D3FA6">
            <w:pPr>
              <w:keepNext w:val="0"/>
              <w:keepLines w:val="0"/>
              <w:pageBreakBefore w:val="0"/>
              <w:widowControl/>
              <w:kinsoku/>
              <w:wordWrap/>
              <w:overflowPunct/>
              <w:autoSpaceDN/>
              <w:bidi w:val="0"/>
              <w:adjustRightInd/>
              <w:snapToGrid/>
              <w:spacing w:line="480" w:lineRule="exact"/>
              <w:jc w:val="center"/>
              <w:textAlignment w:val="center"/>
              <w:rPr>
                <w:rFonts w:hint="default" w:ascii="黑体" w:hAnsi="宋体" w:eastAsia="黑体" w:cs="黑体"/>
                <w:color w:val="000000"/>
                <w:sz w:val="24"/>
                <w:lang w:val="en-US" w:eastAsia="zh-CN"/>
              </w:rPr>
            </w:pPr>
            <w:r>
              <w:rPr>
                <w:rFonts w:hint="eastAsia" w:ascii="黑体" w:hAnsi="宋体" w:eastAsia="黑体" w:cs="黑体"/>
                <w:color w:val="000000"/>
                <w:kern w:val="0"/>
                <w:sz w:val="24"/>
                <w:lang w:val="en-US" w:eastAsia="zh-CN" w:bidi="ar"/>
              </w:rPr>
              <w:t>445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07A9734">
            <w:pPr>
              <w:keepNext w:val="0"/>
              <w:keepLines w:val="0"/>
              <w:pageBreakBefore w:val="0"/>
              <w:kinsoku/>
              <w:wordWrap/>
              <w:overflowPunct/>
              <w:autoSpaceDN/>
              <w:bidi w:val="0"/>
              <w:adjustRightInd/>
              <w:snapToGrid/>
              <w:spacing w:line="480" w:lineRule="exact"/>
              <w:jc w:val="center"/>
              <w:rPr>
                <w:rFonts w:hint="eastAsia" w:ascii="宋体" w:hAnsi="宋体" w:cs="宋体"/>
                <w:color w:val="000000"/>
                <w:sz w:val="28"/>
                <w:szCs w:val="28"/>
              </w:rPr>
            </w:pPr>
          </w:p>
        </w:tc>
        <w:tc>
          <w:tcPr>
            <w:tcW w:w="850" w:type="dxa"/>
            <w:tcBorders>
              <w:top w:val="single" w:color="000000" w:sz="4" w:space="0"/>
              <w:left w:val="single" w:color="000000" w:sz="4" w:space="0"/>
              <w:bottom w:val="single" w:color="000000" w:sz="4" w:space="0"/>
              <w:right w:val="single" w:color="auto" w:sz="4" w:space="0"/>
            </w:tcBorders>
            <w:noWrap w:val="0"/>
            <w:vAlign w:val="center"/>
          </w:tcPr>
          <w:p w14:paraId="3AAA1856">
            <w:pPr>
              <w:keepNext w:val="0"/>
              <w:keepLines w:val="0"/>
              <w:pageBreakBefore w:val="0"/>
              <w:kinsoku/>
              <w:wordWrap/>
              <w:overflowPunct/>
              <w:autoSpaceDN/>
              <w:bidi w:val="0"/>
              <w:adjustRightInd/>
              <w:snapToGrid/>
              <w:spacing w:line="480" w:lineRule="exact"/>
              <w:jc w:val="center"/>
              <w:rPr>
                <w:rFonts w:hint="eastAsia" w:ascii="宋体" w:hAnsi="宋体" w:cs="宋体"/>
                <w:color w:val="000000"/>
                <w:sz w:val="28"/>
                <w:szCs w:val="28"/>
              </w:rPr>
            </w:pPr>
          </w:p>
        </w:tc>
        <w:tc>
          <w:tcPr>
            <w:tcW w:w="5528" w:type="dxa"/>
            <w:gridSpan w:val="3"/>
            <w:tcBorders>
              <w:top w:val="single" w:color="000000" w:sz="4" w:space="0"/>
              <w:left w:val="single" w:color="000000" w:sz="4" w:space="0"/>
              <w:bottom w:val="single" w:color="000000" w:sz="4" w:space="0"/>
              <w:right w:val="single" w:color="auto" w:sz="4" w:space="0"/>
            </w:tcBorders>
            <w:noWrap w:val="0"/>
            <w:vAlign w:val="top"/>
          </w:tcPr>
          <w:p w14:paraId="444D300E">
            <w:pPr>
              <w:keepNext w:val="0"/>
              <w:keepLines w:val="0"/>
              <w:pageBreakBefore w:val="0"/>
              <w:kinsoku/>
              <w:wordWrap/>
              <w:overflowPunct/>
              <w:autoSpaceDN/>
              <w:bidi w:val="0"/>
              <w:adjustRightInd/>
              <w:snapToGrid/>
              <w:spacing w:line="480" w:lineRule="exact"/>
              <w:jc w:val="center"/>
              <w:rPr>
                <w:rFonts w:hint="eastAsia" w:ascii="宋体" w:hAnsi="宋体" w:cs="宋体"/>
                <w:color w:val="000000"/>
                <w:sz w:val="28"/>
                <w:szCs w:val="28"/>
              </w:rPr>
            </w:pPr>
          </w:p>
        </w:tc>
      </w:tr>
      <w:tr w14:paraId="1ECD2277">
        <w:tblPrEx>
          <w:tblCellMar>
            <w:top w:w="0" w:type="dxa"/>
            <w:left w:w="108" w:type="dxa"/>
            <w:bottom w:w="0" w:type="dxa"/>
            <w:right w:w="108" w:type="dxa"/>
          </w:tblCellMar>
        </w:tblPrEx>
        <w:trPr>
          <w:trHeight w:val="90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036216A9">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0F72F6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化工行业节水技术改造项目：内蒙古新威远生物化工有限公司开展2项；内蒙古荣信化工有限公司开展1项</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5EAB6F00">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内蒙古新威远生物化工有限公司实施蒸汽冷凝液回收项目和中水代替新水项目；内蒙古荣信化工有限公司气化车间捞渣机增加脱水装置项目</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9EC9661">
            <w:pPr>
              <w:keepNext w:val="0"/>
              <w:keepLines w:val="0"/>
              <w:pageBreakBefore w:val="0"/>
              <w:widowControl/>
              <w:kinsoku/>
              <w:wordWrap/>
              <w:overflowPunct/>
              <w:autoSpaceDN/>
              <w:bidi w:val="0"/>
              <w:adjustRightInd/>
              <w:snapToGrid/>
              <w:spacing w:line="480" w:lineRule="exact"/>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317</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53C3F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6F1E2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507F1156">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工信和科技局、水利局</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1F3E1A3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single" w:color="000000" w:sz="4" w:space="0"/>
              <w:bottom w:val="single" w:color="000000" w:sz="4" w:space="0"/>
              <w:right w:val="single" w:color="auto" w:sz="4" w:space="0"/>
            </w:tcBorders>
            <w:noWrap w:val="0"/>
            <w:vAlign w:val="top"/>
          </w:tcPr>
          <w:p w14:paraId="5B977DAC">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20E68031">
        <w:tblPrEx>
          <w:tblCellMar>
            <w:top w:w="0" w:type="dxa"/>
            <w:left w:w="108" w:type="dxa"/>
            <w:bottom w:w="0" w:type="dxa"/>
            <w:right w:w="108" w:type="dxa"/>
          </w:tblCellMar>
        </w:tblPrEx>
        <w:trPr>
          <w:trHeight w:val="90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09369E42">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7F73F820">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火电行业节水技术改造项目：达拉特发电厂全厂节水及废水综合治理改造项目</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6697077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达拉特发电厂软化水系统出力不足，将原微滤水泵、反洗泵、加药泵等更换。</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35AEACF">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128</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E644983">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56107BF">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1DAE4F4F">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能源局</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14:paraId="2C30E305">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已落实</w:t>
            </w:r>
          </w:p>
        </w:tc>
        <w:tc>
          <w:tcPr>
            <w:tcW w:w="1134" w:type="dxa"/>
            <w:tcBorders>
              <w:top w:val="single" w:color="000000" w:sz="4" w:space="0"/>
              <w:left w:val="single" w:color="000000" w:sz="4" w:space="0"/>
              <w:bottom w:val="single" w:color="000000" w:sz="4" w:space="0"/>
              <w:right w:val="single" w:color="auto" w:sz="4" w:space="0"/>
            </w:tcBorders>
            <w:noWrap w:val="0"/>
            <w:vAlign w:val="top"/>
          </w:tcPr>
          <w:p w14:paraId="6B7C23B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455891B7">
        <w:tblPrEx>
          <w:tblCellMar>
            <w:top w:w="0" w:type="dxa"/>
            <w:left w:w="108" w:type="dxa"/>
            <w:bottom w:w="0" w:type="dxa"/>
            <w:right w:w="108" w:type="dxa"/>
          </w:tblCellMar>
        </w:tblPrEx>
        <w:trPr>
          <w:trHeight w:val="431"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6297CA88">
            <w:pPr>
              <w:keepNext w:val="0"/>
              <w:keepLines w:val="0"/>
              <w:pageBreakBefore w:val="0"/>
              <w:widowControl/>
              <w:kinsoku/>
              <w:wordWrap/>
              <w:overflowPunct/>
              <w:autoSpaceDN/>
              <w:bidi w:val="0"/>
              <w:adjustRightInd/>
              <w:snapToGrid/>
              <w:spacing w:line="480" w:lineRule="exact"/>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四、全力推进城镇节水降损</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CCBDACF">
            <w:pPr>
              <w:keepNext w:val="0"/>
              <w:keepLines w:val="0"/>
              <w:pageBreakBefore w:val="0"/>
              <w:widowControl/>
              <w:kinsoku/>
              <w:wordWrap/>
              <w:overflowPunct/>
              <w:autoSpaceDN/>
              <w:bidi w:val="0"/>
              <w:adjustRightInd/>
              <w:snapToGrid/>
              <w:spacing w:line="4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15913</w:t>
            </w:r>
          </w:p>
        </w:tc>
        <w:tc>
          <w:tcPr>
            <w:tcW w:w="7678" w:type="dxa"/>
            <w:gridSpan w:val="5"/>
            <w:tcBorders>
              <w:top w:val="single" w:color="000000" w:sz="4" w:space="0"/>
              <w:left w:val="single" w:color="000000" w:sz="4" w:space="0"/>
              <w:bottom w:val="single" w:color="000000" w:sz="4" w:space="0"/>
              <w:right w:val="single" w:color="auto" w:sz="4" w:space="0"/>
            </w:tcBorders>
            <w:noWrap w:val="0"/>
            <w:vAlign w:val="center"/>
          </w:tcPr>
          <w:p w14:paraId="5D75E2F2">
            <w:pPr>
              <w:keepNext w:val="0"/>
              <w:keepLines w:val="0"/>
              <w:pageBreakBefore w:val="0"/>
              <w:kinsoku/>
              <w:wordWrap/>
              <w:overflowPunct/>
              <w:autoSpaceDN/>
              <w:bidi w:val="0"/>
              <w:adjustRightInd/>
              <w:snapToGrid/>
              <w:spacing w:line="480" w:lineRule="exact"/>
              <w:jc w:val="center"/>
              <w:rPr>
                <w:rFonts w:hint="eastAsia" w:ascii="宋体" w:hAnsi="宋体" w:cs="宋体"/>
                <w:color w:val="000000"/>
                <w:sz w:val="28"/>
                <w:szCs w:val="28"/>
              </w:rPr>
            </w:pPr>
          </w:p>
        </w:tc>
      </w:tr>
      <w:tr w14:paraId="7BE2439C">
        <w:tblPrEx>
          <w:tblCellMar>
            <w:top w:w="0" w:type="dxa"/>
            <w:left w:w="108" w:type="dxa"/>
            <w:bottom w:w="0" w:type="dxa"/>
            <w:right w:w="108" w:type="dxa"/>
          </w:tblCellMar>
        </w:tblPrEx>
        <w:trPr>
          <w:trHeight w:val="145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1EDBFBFD">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62D0D87">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2025年达拉特旗城区平房片区供排水管网改造工程</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33D7946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对达拉特旗中心城区22个平房区的供水管网进行改造，及其中13个平房区的排水管网改造。改造供水管网197.08Km，改造排水管网26.38Km。</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850EEFC">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15913</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77270D">
            <w:pPr>
              <w:keepNext w:val="0"/>
              <w:keepLines w:val="0"/>
              <w:pageBreakBefore w:val="0"/>
              <w:widowControl/>
              <w:kinsoku/>
              <w:wordWrap/>
              <w:overflowPunct/>
              <w:autoSpaceDN/>
              <w:bidi w:val="0"/>
              <w:adjustRightInd/>
              <w:snapToGrid/>
              <w:spacing w:line="480" w:lineRule="exact"/>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15913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A328CD">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1A8FCA38">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住房和城乡建设局、东源水务公司</w:t>
            </w:r>
          </w:p>
        </w:tc>
        <w:tc>
          <w:tcPr>
            <w:tcW w:w="1134" w:type="dxa"/>
            <w:tcBorders>
              <w:top w:val="single" w:color="000000" w:sz="4" w:space="0"/>
              <w:left w:val="nil"/>
              <w:bottom w:val="single" w:color="000000" w:sz="4" w:space="0"/>
              <w:right w:val="single" w:color="auto" w:sz="4" w:space="0"/>
            </w:tcBorders>
            <w:noWrap w:val="0"/>
            <w:vAlign w:val="center"/>
          </w:tcPr>
          <w:p w14:paraId="4A383C45">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未落实</w:t>
            </w:r>
          </w:p>
        </w:tc>
        <w:tc>
          <w:tcPr>
            <w:tcW w:w="1134" w:type="dxa"/>
            <w:tcBorders>
              <w:top w:val="single" w:color="000000" w:sz="4" w:space="0"/>
              <w:left w:val="nil"/>
              <w:bottom w:val="single" w:color="000000" w:sz="4" w:space="0"/>
              <w:right w:val="single" w:color="auto" w:sz="4" w:space="0"/>
            </w:tcBorders>
            <w:noWrap w:val="0"/>
            <w:vAlign w:val="top"/>
          </w:tcPr>
          <w:p w14:paraId="1443ECF0">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争取超长期国债和地下管网类项目资金</w:t>
            </w:r>
          </w:p>
        </w:tc>
      </w:tr>
      <w:tr w14:paraId="43432DA7">
        <w:tblPrEx>
          <w:tblCellMar>
            <w:top w:w="0" w:type="dxa"/>
            <w:left w:w="108" w:type="dxa"/>
            <w:bottom w:w="0" w:type="dxa"/>
            <w:right w:w="108" w:type="dxa"/>
          </w:tblCellMar>
        </w:tblPrEx>
        <w:trPr>
          <w:trHeight w:val="592"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7087D8DF">
            <w:pPr>
              <w:keepNext w:val="0"/>
              <w:keepLines w:val="0"/>
              <w:pageBreakBefore w:val="0"/>
              <w:widowControl/>
              <w:kinsoku/>
              <w:wordWrap/>
              <w:overflowPunct/>
              <w:autoSpaceDN/>
              <w:bidi w:val="0"/>
              <w:adjustRightInd/>
              <w:snapToGrid/>
              <w:spacing w:line="480" w:lineRule="exact"/>
              <w:jc w:val="left"/>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五、加强非常规水资源化利用</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BD8B199">
            <w:pPr>
              <w:keepNext w:val="0"/>
              <w:keepLines w:val="0"/>
              <w:pageBreakBefore w:val="0"/>
              <w:kinsoku/>
              <w:wordWrap/>
              <w:overflowPunct/>
              <w:autoSpaceDN/>
              <w:bidi w:val="0"/>
              <w:adjustRightInd/>
              <w:snapToGrid/>
              <w:spacing w:line="480" w:lineRule="exact"/>
              <w:jc w:val="center"/>
              <w:rPr>
                <w:rFonts w:ascii="黑体" w:hAnsi="宋体" w:eastAsia="黑体" w:cs="黑体"/>
                <w:color w:val="000000"/>
                <w:sz w:val="24"/>
              </w:rPr>
            </w:pPr>
            <w:r>
              <w:rPr>
                <w:rFonts w:hint="eastAsia" w:ascii="黑体" w:hAnsi="宋体" w:eastAsia="黑体" w:cs="黑体"/>
                <w:color w:val="000000"/>
                <w:kern w:val="0"/>
                <w:sz w:val="24"/>
                <w:lang w:bidi="ar"/>
              </w:rPr>
              <w:t>1669</w:t>
            </w:r>
          </w:p>
        </w:tc>
        <w:tc>
          <w:tcPr>
            <w:tcW w:w="7678" w:type="dxa"/>
            <w:gridSpan w:val="5"/>
            <w:tcBorders>
              <w:top w:val="single" w:color="000000" w:sz="4" w:space="0"/>
              <w:left w:val="single" w:color="000000" w:sz="4" w:space="0"/>
              <w:bottom w:val="single" w:color="000000" w:sz="4" w:space="0"/>
              <w:right w:val="single" w:color="auto" w:sz="4" w:space="0"/>
            </w:tcBorders>
            <w:noWrap w:val="0"/>
            <w:vAlign w:val="center"/>
          </w:tcPr>
          <w:p w14:paraId="6AAE5723">
            <w:pPr>
              <w:keepNext w:val="0"/>
              <w:keepLines w:val="0"/>
              <w:pageBreakBefore w:val="0"/>
              <w:kinsoku/>
              <w:wordWrap/>
              <w:overflowPunct/>
              <w:autoSpaceDN/>
              <w:bidi w:val="0"/>
              <w:adjustRightInd/>
              <w:snapToGrid/>
              <w:spacing w:line="480" w:lineRule="exact"/>
              <w:jc w:val="left"/>
              <w:rPr>
                <w:rFonts w:hint="eastAsia" w:ascii="宋体" w:hAnsi="宋体" w:cs="宋体"/>
                <w:color w:val="000000"/>
                <w:sz w:val="28"/>
                <w:szCs w:val="28"/>
              </w:rPr>
            </w:pPr>
          </w:p>
        </w:tc>
      </w:tr>
      <w:tr w14:paraId="74A073A4">
        <w:tblPrEx>
          <w:tblCellMar>
            <w:top w:w="0" w:type="dxa"/>
            <w:left w:w="108" w:type="dxa"/>
            <w:bottom w:w="0" w:type="dxa"/>
            <w:right w:w="108"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7D032C9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3C830D5">
            <w:pPr>
              <w:keepNext w:val="0"/>
              <w:keepLines w:val="0"/>
              <w:pageBreakBefore w:val="0"/>
              <w:widowControl/>
              <w:kinsoku/>
              <w:wordWrap/>
              <w:overflowPunct/>
              <w:autoSpaceDN/>
              <w:bidi w:val="0"/>
              <w:adjustRightInd/>
              <w:snapToGrid/>
              <w:spacing w:line="480" w:lineRule="exac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达拉特旗新建展旦召苏木管网工程</w:t>
            </w:r>
          </w:p>
        </w:tc>
        <w:tc>
          <w:tcPr>
            <w:tcW w:w="3555" w:type="dxa"/>
            <w:tcBorders>
              <w:top w:val="single" w:color="000000" w:sz="4" w:space="0"/>
              <w:left w:val="single" w:color="000000" w:sz="4" w:space="0"/>
              <w:bottom w:val="single" w:color="000000" w:sz="4" w:space="0"/>
              <w:right w:val="single" w:color="000000" w:sz="4" w:space="0"/>
            </w:tcBorders>
            <w:noWrap w:val="0"/>
            <w:vAlign w:val="center"/>
          </w:tcPr>
          <w:p w14:paraId="0C108202">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新建污水收集管网DN300,长度6207米，新建污水管管径DN400，长度3281米，PE压力管DN200，长度为429米，新建污水压力提升泵站2座，直径为1100的检查井83座，直径800的检查井为156座。</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8DCD46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9668A3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自治区794万元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84CC0D">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875</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BF66FB6">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展旦召苏木人民政府</w:t>
            </w:r>
          </w:p>
        </w:tc>
        <w:tc>
          <w:tcPr>
            <w:tcW w:w="1134" w:type="dxa"/>
            <w:tcBorders>
              <w:top w:val="single" w:color="000000" w:sz="4" w:space="0"/>
              <w:left w:val="nil"/>
              <w:bottom w:val="single" w:color="000000" w:sz="4" w:space="0"/>
              <w:right w:val="single" w:color="auto" w:sz="4" w:space="0"/>
            </w:tcBorders>
            <w:noWrap w:val="0"/>
            <w:vAlign w:val="center"/>
          </w:tcPr>
          <w:p w14:paraId="278D9CCE">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已落实</w:t>
            </w:r>
          </w:p>
        </w:tc>
        <w:tc>
          <w:tcPr>
            <w:tcW w:w="1134" w:type="dxa"/>
            <w:tcBorders>
              <w:top w:val="single" w:color="000000" w:sz="4" w:space="0"/>
              <w:left w:val="nil"/>
              <w:bottom w:val="single" w:color="000000" w:sz="4" w:space="0"/>
              <w:right w:val="single" w:color="auto" w:sz="4" w:space="0"/>
            </w:tcBorders>
            <w:noWrap w:val="0"/>
            <w:vAlign w:val="top"/>
          </w:tcPr>
          <w:p w14:paraId="1B4C4E29">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color w:val="000000"/>
                <w:kern w:val="0"/>
                <w:sz w:val="22"/>
                <w:szCs w:val="22"/>
                <w:lang w:bidi="ar"/>
              </w:rPr>
            </w:pPr>
          </w:p>
        </w:tc>
      </w:tr>
      <w:tr w14:paraId="4C1C0B1B">
        <w:tblPrEx>
          <w:tblCellMar>
            <w:top w:w="0" w:type="dxa"/>
            <w:left w:w="108" w:type="dxa"/>
            <w:bottom w:w="0" w:type="dxa"/>
            <w:right w:w="108" w:type="dxa"/>
          </w:tblCellMar>
        </w:tblPrEx>
        <w:trPr>
          <w:trHeight w:val="847" w:hRule="atLeast"/>
        </w:trPr>
        <w:tc>
          <w:tcPr>
            <w:tcW w:w="6451" w:type="dxa"/>
            <w:gridSpan w:val="3"/>
            <w:tcBorders>
              <w:top w:val="single" w:color="000000" w:sz="4" w:space="0"/>
              <w:left w:val="single" w:color="000000" w:sz="4" w:space="0"/>
              <w:bottom w:val="single" w:color="000000" w:sz="4" w:space="0"/>
              <w:right w:val="single" w:color="000000" w:sz="4" w:space="0"/>
            </w:tcBorders>
            <w:noWrap w:val="0"/>
            <w:vAlign w:val="center"/>
          </w:tcPr>
          <w:p w14:paraId="4B8BCAC3">
            <w:pPr>
              <w:keepNext w:val="0"/>
              <w:keepLines w:val="0"/>
              <w:pageBreakBefore w:val="0"/>
              <w:widowControl/>
              <w:kinsoku/>
              <w:wordWrap/>
              <w:overflowPunct/>
              <w:autoSpaceDN/>
              <w:bidi w:val="0"/>
              <w:adjustRightInd/>
              <w:snapToGrid/>
              <w:spacing w:line="480" w:lineRule="exact"/>
              <w:jc w:val="center"/>
              <w:textAlignment w:val="center"/>
              <w:rPr>
                <w:rFonts w:ascii="宋体" w:hAnsi="宋体" w:cs="宋体"/>
                <w:b/>
                <w:bCs/>
                <w:color w:val="000000"/>
                <w:kern w:val="0"/>
                <w:sz w:val="22"/>
                <w:szCs w:val="22"/>
                <w:lang w:bidi="ar"/>
              </w:rPr>
            </w:pPr>
            <w:r>
              <w:rPr>
                <w:rFonts w:hint="eastAsia" w:ascii="黑体" w:hAnsi="宋体" w:eastAsia="黑体" w:cs="黑体"/>
                <w:b/>
                <w:bCs/>
                <w:color w:val="000000"/>
                <w:kern w:val="0"/>
                <w:sz w:val="24"/>
                <w:lang w:bidi="ar"/>
              </w:rPr>
              <w:t>总计</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D7D4584">
            <w:pPr>
              <w:keepNext w:val="0"/>
              <w:keepLines w:val="0"/>
              <w:pageBreakBefore w:val="0"/>
              <w:widowControl/>
              <w:kinsoku/>
              <w:wordWrap/>
              <w:overflowPunct/>
              <w:autoSpaceDN/>
              <w:bidi w:val="0"/>
              <w:adjustRightInd/>
              <w:snapToGrid/>
              <w:spacing w:line="480" w:lineRule="exact"/>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bidi="ar"/>
              </w:rPr>
              <w:t>580</w:t>
            </w:r>
            <w:r>
              <w:rPr>
                <w:rFonts w:hint="eastAsia" w:ascii="宋体" w:hAnsi="宋体" w:cs="宋体"/>
                <w:b/>
                <w:bCs/>
                <w:color w:val="000000"/>
                <w:kern w:val="0"/>
                <w:sz w:val="22"/>
                <w:szCs w:val="22"/>
                <w:lang w:val="en-US" w:eastAsia="zh-CN" w:bidi="ar"/>
              </w:rPr>
              <w:t>89</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BEAA72E">
            <w:pPr>
              <w:keepNext w:val="0"/>
              <w:keepLines w:val="0"/>
              <w:pageBreakBefore w:val="0"/>
              <w:widowControl/>
              <w:kinsoku/>
              <w:wordWrap/>
              <w:overflowPunct/>
              <w:autoSpaceDN/>
              <w:bidi w:val="0"/>
              <w:adjustRightInd/>
              <w:snapToGrid/>
              <w:spacing w:line="480" w:lineRule="exact"/>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51449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3094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6195</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BD0BE2D">
            <w:pPr>
              <w:keepNext w:val="0"/>
              <w:keepLines w:val="0"/>
              <w:pageBreakBefore w:val="0"/>
              <w:widowControl/>
              <w:kinsoku/>
              <w:wordWrap/>
              <w:overflowPunct/>
              <w:autoSpaceDN/>
              <w:bidi w:val="0"/>
              <w:adjustRightInd/>
              <w:snapToGrid/>
              <w:spacing w:line="480" w:lineRule="exact"/>
              <w:textAlignment w:val="center"/>
              <w:rPr>
                <w:rFonts w:hint="eastAsia" w:ascii="宋体" w:hAnsi="宋体" w:cs="宋体"/>
                <w:b/>
                <w:bCs/>
                <w:color w:val="000000"/>
                <w:kern w:val="0"/>
                <w:sz w:val="22"/>
                <w:szCs w:val="22"/>
                <w:lang w:bidi="ar"/>
              </w:rPr>
            </w:pPr>
          </w:p>
        </w:tc>
        <w:tc>
          <w:tcPr>
            <w:tcW w:w="1134" w:type="dxa"/>
            <w:tcBorders>
              <w:top w:val="single" w:color="000000" w:sz="4" w:space="0"/>
              <w:left w:val="nil"/>
              <w:bottom w:val="single" w:color="000000" w:sz="4" w:space="0"/>
              <w:right w:val="single" w:color="auto" w:sz="4" w:space="0"/>
            </w:tcBorders>
            <w:noWrap w:val="0"/>
            <w:vAlign w:val="center"/>
          </w:tcPr>
          <w:p w14:paraId="53D6C1FA">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b/>
                <w:bCs/>
                <w:color w:val="000000"/>
                <w:kern w:val="0"/>
                <w:sz w:val="22"/>
                <w:szCs w:val="22"/>
                <w:lang w:bidi="ar"/>
              </w:rPr>
            </w:pPr>
          </w:p>
        </w:tc>
        <w:tc>
          <w:tcPr>
            <w:tcW w:w="1134" w:type="dxa"/>
            <w:tcBorders>
              <w:top w:val="single" w:color="000000" w:sz="4" w:space="0"/>
              <w:left w:val="nil"/>
              <w:bottom w:val="single" w:color="000000" w:sz="4" w:space="0"/>
              <w:right w:val="single" w:color="auto" w:sz="4" w:space="0"/>
            </w:tcBorders>
            <w:noWrap w:val="0"/>
            <w:vAlign w:val="top"/>
          </w:tcPr>
          <w:p w14:paraId="2D99DDA4">
            <w:pPr>
              <w:keepNext w:val="0"/>
              <w:keepLines w:val="0"/>
              <w:pageBreakBefore w:val="0"/>
              <w:widowControl/>
              <w:kinsoku/>
              <w:wordWrap/>
              <w:overflowPunct/>
              <w:autoSpaceDN/>
              <w:bidi w:val="0"/>
              <w:adjustRightInd/>
              <w:snapToGrid/>
              <w:spacing w:line="480" w:lineRule="exact"/>
              <w:jc w:val="center"/>
              <w:textAlignment w:val="center"/>
              <w:rPr>
                <w:rFonts w:hint="eastAsia" w:ascii="宋体" w:hAnsi="宋体" w:cs="宋体"/>
                <w:b/>
                <w:bCs/>
                <w:color w:val="000000"/>
                <w:kern w:val="0"/>
                <w:sz w:val="22"/>
                <w:szCs w:val="22"/>
                <w:lang w:bidi="ar"/>
              </w:rPr>
            </w:pPr>
          </w:p>
        </w:tc>
      </w:tr>
    </w:tbl>
    <w:p w14:paraId="302037F8">
      <w:pPr>
        <w:keepNext w:val="0"/>
        <w:keepLines w:val="0"/>
        <w:pageBreakBefore w:val="0"/>
        <w:kinsoku/>
        <w:wordWrap/>
        <w:overflowPunct/>
        <w:autoSpaceDN/>
        <w:bidi w:val="0"/>
        <w:adjustRightInd/>
        <w:snapToGrid/>
        <w:spacing w:line="480" w:lineRule="exact"/>
      </w:pPr>
      <w:r>
        <w:rPr>
          <w:rFonts w:ascii="仿宋_GB2312" w:hAnsi="仿宋_GB2312" w:eastAsia="仿宋_GB2312" w:cs="仿宋_GB2312"/>
          <w:sz w:val="32"/>
          <w:szCs w:val="32"/>
        </w:rPr>
        <w:br w:type="textWrapping" w:clear="all"/>
      </w:r>
      <w:bookmarkStart w:id="0" w:name="_GoBack"/>
      <w:bookmarkEnd w:id="0"/>
    </w:p>
    <w:sectPr>
      <w:footerReference r:id="rId3" w:type="default"/>
      <w:pgSz w:w="16838" w:h="11906" w:orient="landscape"/>
      <w:pgMar w:top="720" w:right="720" w:bottom="720" w:left="720" w:header="1020" w:footer="1531" w:gutter="0"/>
      <w:pgNumType w:fmt="numberInDash" w:start="2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882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301625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74EF1">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- 19 -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3.75pt;height:144pt;width:144pt;mso-position-horizontal:outside;mso-position-horizontal-relative:margin;mso-wrap-style:none;z-index:251659264;mso-width-relative:page;mso-height-relative:page;" filled="f" stroked="f" coordsize="21600,21600" o:gfxdata="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UdIL1AAAAAc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0B474EF1">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- 19 -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 w:val="7F24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jc w:val="center"/>
    </w:pPr>
    <w:rPr>
      <w:rFonts w:ascii="宋体" w:hAnsi="宋体" w:eastAsia="宋体"/>
      <w:b/>
      <w:bCs/>
      <w:sz w:val="44"/>
      <w:lang w:bidi="ar-SA"/>
    </w:rPr>
  </w:style>
  <w:style w:type="paragraph" w:styleId="4">
    <w:name w:val="Body Text 2"/>
    <w:basedOn w:val="1"/>
    <w:next w:val="5"/>
    <w:qFormat/>
    <w:uiPriority w:val="0"/>
    <w:pPr>
      <w:spacing w:after="120" w:line="480" w:lineRule="auto"/>
    </w:pPr>
  </w:style>
  <w:style w:type="paragraph" w:styleId="5">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2025-11-26T05:30:47Z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