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52"/>
          <w:szCs w:val="52"/>
          <w:lang w:val="en-US" w:eastAsia="zh-CN"/>
        </w:rPr>
      </w:pPr>
    </w:p>
    <w:p>
      <w:pPr>
        <w:jc w:val="center"/>
        <w:rPr>
          <w:rFonts w:hint="eastAsia" w:ascii="仿宋" w:hAnsi="仿宋" w:eastAsia="仿宋" w:cs="仿宋"/>
          <w:b/>
          <w:bCs/>
          <w:color w:val="auto"/>
          <w:sz w:val="52"/>
          <w:szCs w:val="52"/>
          <w:lang w:val="en-US" w:eastAsia="zh-CN"/>
        </w:rPr>
      </w:pPr>
    </w:p>
    <w:p>
      <w:pPr>
        <w:jc w:val="center"/>
        <w:rPr>
          <w:rFonts w:hint="eastAsia" w:ascii="方正小标宋简体" w:hAnsi="方正小标宋简体" w:eastAsia="方正小标宋简体" w:cs="方正小标宋简体"/>
          <w:b/>
          <w:bCs/>
          <w:color w:val="auto"/>
          <w:sz w:val="56"/>
          <w:szCs w:val="56"/>
          <w:lang w:val="en-US" w:eastAsia="zh-CN"/>
        </w:rPr>
      </w:pPr>
      <w:r>
        <w:rPr>
          <w:rFonts w:hint="eastAsia" w:ascii="方正小标宋简体" w:hAnsi="方正小标宋简体" w:eastAsia="方正小标宋简体" w:cs="方正小标宋简体"/>
          <w:b/>
          <w:bCs/>
          <w:color w:val="auto"/>
          <w:sz w:val="72"/>
          <w:szCs w:val="72"/>
          <w:lang w:val="en-US" w:eastAsia="zh-CN"/>
        </w:rPr>
        <w:t>达拉特旗市场监督管理局工业产品监督抽查</w:t>
      </w:r>
    </w:p>
    <w:p>
      <w:pPr>
        <w:pStyle w:val="13"/>
        <w:rPr>
          <w:rFonts w:hint="eastAsia"/>
          <w:color w:val="auto"/>
          <w:lang w:val="en-US" w:eastAsia="zh-CN"/>
        </w:rPr>
      </w:pPr>
    </w:p>
    <w:p>
      <w:pPr>
        <w:pStyle w:val="13"/>
        <w:rPr>
          <w:rFonts w:hint="eastAsia"/>
          <w:color w:val="auto"/>
          <w:lang w:val="en-US" w:eastAsia="zh-CN"/>
        </w:rPr>
      </w:pPr>
    </w:p>
    <w:p>
      <w:pPr>
        <w:jc w:val="center"/>
        <w:rPr>
          <w:rFonts w:hint="eastAsia" w:ascii="方正小标宋简体" w:hAnsi="方正小标宋简体" w:eastAsia="方正小标宋简体" w:cs="方正小标宋简体"/>
          <w:b/>
          <w:bCs/>
          <w:color w:val="auto"/>
          <w:sz w:val="72"/>
          <w:szCs w:val="72"/>
          <w:lang w:val="en-US" w:eastAsia="zh-CN"/>
        </w:rPr>
      </w:pPr>
      <w:r>
        <w:rPr>
          <w:rFonts w:hint="eastAsia" w:ascii="方正小标宋简体" w:hAnsi="方正小标宋简体" w:eastAsia="方正小标宋简体" w:cs="方正小标宋简体"/>
          <w:b/>
          <w:bCs/>
          <w:color w:val="auto"/>
          <w:sz w:val="72"/>
          <w:szCs w:val="72"/>
          <w:lang w:val="en-US" w:eastAsia="zh-CN"/>
        </w:rPr>
        <w:t>实</w:t>
      </w:r>
    </w:p>
    <w:p>
      <w:pPr>
        <w:jc w:val="center"/>
        <w:rPr>
          <w:rFonts w:hint="eastAsia" w:ascii="方正小标宋简体" w:hAnsi="方正小标宋简体" w:eastAsia="方正小标宋简体" w:cs="方正小标宋简体"/>
          <w:b/>
          <w:bCs/>
          <w:color w:val="auto"/>
          <w:sz w:val="72"/>
          <w:szCs w:val="72"/>
          <w:lang w:val="en-US" w:eastAsia="zh-CN"/>
        </w:rPr>
      </w:pPr>
      <w:r>
        <w:rPr>
          <w:rFonts w:hint="eastAsia" w:ascii="方正小标宋简体" w:hAnsi="方正小标宋简体" w:eastAsia="方正小标宋简体" w:cs="方正小标宋简体"/>
          <w:b/>
          <w:bCs/>
          <w:color w:val="auto"/>
          <w:sz w:val="72"/>
          <w:szCs w:val="72"/>
          <w:lang w:val="en-US" w:eastAsia="zh-CN"/>
        </w:rPr>
        <w:t>施</w:t>
      </w:r>
    </w:p>
    <w:p>
      <w:pPr>
        <w:jc w:val="center"/>
        <w:rPr>
          <w:rFonts w:hint="eastAsia" w:ascii="方正小标宋简体" w:hAnsi="方正小标宋简体" w:eastAsia="方正小标宋简体" w:cs="方正小标宋简体"/>
          <w:b/>
          <w:bCs/>
          <w:color w:val="auto"/>
          <w:sz w:val="72"/>
          <w:szCs w:val="72"/>
          <w:lang w:val="en-US" w:eastAsia="zh-CN"/>
        </w:rPr>
      </w:pPr>
      <w:r>
        <w:rPr>
          <w:rFonts w:hint="eastAsia" w:ascii="方正小标宋简体" w:hAnsi="方正小标宋简体" w:eastAsia="方正小标宋简体" w:cs="方正小标宋简体"/>
          <w:b/>
          <w:bCs/>
          <w:color w:val="auto"/>
          <w:sz w:val="72"/>
          <w:szCs w:val="72"/>
          <w:lang w:val="en-US" w:eastAsia="zh-CN"/>
        </w:rPr>
        <w:t>方</w:t>
      </w:r>
    </w:p>
    <w:p>
      <w:pPr>
        <w:jc w:val="center"/>
        <w:rPr>
          <w:rFonts w:hint="eastAsia" w:ascii="宋体" w:hAnsi="宋体" w:eastAsia="宋体" w:cs="宋体"/>
          <w:b/>
          <w:bCs/>
          <w:color w:val="auto"/>
          <w:sz w:val="72"/>
          <w:szCs w:val="72"/>
          <w:u w:val="none"/>
          <w:lang w:eastAsia="zh-CN"/>
        </w:rPr>
      </w:pPr>
      <w:r>
        <w:rPr>
          <w:rFonts w:hint="eastAsia" w:ascii="方正小标宋简体" w:hAnsi="方正小标宋简体" w:eastAsia="方正小标宋简体" w:cs="方正小标宋简体"/>
          <w:b/>
          <w:bCs/>
          <w:color w:val="auto"/>
          <w:sz w:val="72"/>
          <w:szCs w:val="72"/>
          <w:lang w:val="en-US" w:eastAsia="zh-CN"/>
        </w:rPr>
        <w:t>案</w:t>
      </w:r>
    </w:p>
    <w:p>
      <w:pPr>
        <w:pStyle w:val="6"/>
        <w:ind w:left="0" w:leftChars="0" w:firstLine="0" w:firstLineChars="0"/>
        <w:rPr>
          <w:rFonts w:hint="eastAsia" w:ascii="仿宋" w:hAnsi="仿宋" w:eastAsia="仿宋" w:cs="仿宋"/>
          <w:b/>
          <w:bCs/>
          <w:color w:val="auto"/>
          <w:spacing w:val="10"/>
          <w:sz w:val="36"/>
          <w:szCs w:val="36"/>
          <w:lang w:val="en-US" w:eastAsia="zh-CN"/>
        </w:rPr>
      </w:pPr>
    </w:p>
    <w:p>
      <w:pPr>
        <w:pStyle w:val="13"/>
        <w:rPr>
          <w:rFonts w:hint="eastAsia" w:ascii="仿宋" w:hAnsi="仿宋" w:eastAsia="仿宋" w:cs="仿宋"/>
          <w:b/>
          <w:bCs/>
          <w:color w:val="auto"/>
          <w:spacing w:val="10"/>
          <w:sz w:val="36"/>
          <w:szCs w:val="36"/>
          <w:lang w:val="en-US" w:eastAsia="zh-CN"/>
        </w:rPr>
      </w:pPr>
    </w:p>
    <w:p>
      <w:pPr>
        <w:ind w:firstLine="1600" w:firstLineChars="400"/>
        <w:jc w:val="both"/>
        <w:rPr>
          <w:rFonts w:hint="eastAsia" w:ascii="仿宋_GB2312" w:hAnsi="仿宋_GB2312" w:eastAsia="仿宋_GB2312" w:cs="仿宋_GB2312"/>
          <w:b w:val="0"/>
          <w:bCs/>
          <w:color w:val="auto"/>
          <w:sz w:val="36"/>
          <w:szCs w:val="36"/>
        </w:rPr>
      </w:pPr>
      <w:r>
        <w:rPr>
          <w:rFonts w:hint="eastAsia" w:ascii="仿宋_GB2312" w:hAnsi="仿宋_GB2312" w:eastAsia="仿宋_GB2312" w:cs="仿宋_GB2312"/>
          <w:b w:val="0"/>
          <w:bCs/>
          <w:color w:val="auto"/>
          <w:spacing w:val="20"/>
          <w:sz w:val="36"/>
          <w:szCs w:val="36"/>
        </w:rPr>
        <w:t>委托单位：</w:t>
      </w:r>
      <w:r>
        <w:rPr>
          <w:rFonts w:hint="eastAsia" w:ascii="仿宋_GB2312" w:hAnsi="仿宋_GB2312" w:eastAsia="仿宋_GB2312" w:cs="仿宋_GB2312"/>
          <w:b w:val="0"/>
          <w:bCs/>
          <w:color w:val="auto"/>
          <w:spacing w:val="20"/>
          <w:sz w:val="36"/>
          <w:szCs w:val="36"/>
          <w:lang w:val="en-US" w:eastAsia="zh-CN"/>
        </w:rPr>
        <w:t>达拉特旗</w:t>
      </w:r>
      <w:r>
        <w:rPr>
          <w:rFonts w:hint="eastAsia" w:ascii="仿宋_GB2312" w:hAnsi="仿宋_GB2312" w:eastAsia="仿宋_GB2312" w:cs="仿宋_GB2312"/>
          <w:b w:val="0"/>
          <w:bCs/>
          <w:color w:val="auto"/>
          <w:spacing w:val="20"/>
          <w:sz w:val="36"/>
          <w:szCs w:val="36"/>
          <w:lang w:eastAsia="zh-CN"/>
        </w:rPr>
        <w:t>市场监督管理局</w:t>
      </w:r>
    </w:p>
    <w:p>
      <w:pPr>
        <w:wordWrap w:val="0"/>
        <w:ind w:firstLine="1600" w:firstLineChars="400"/>
        <w:jc w:val="both"/>
        <w:rPr>
          <w:rFonts w:hint="eastAsia" w:ascii="仿宋_GB2312" w:hAnsi="仿宋_GB2312" w:eastAsia="仿宋_GB2312" w:cs="仿宋_GB2312"/>
          <w:b w:val="0"/>
          <w:bCs/>
          <w:color w:val="auto"/>
          <w:spacing w:val="20"/>
          <w:sz w:val="36"/>
          <w:szCs w:val="36"/>
        </w:rPr>
      </w:pPr>
      <w:r>
        <w:rPr>
          <w:rFonts w:hint="eastAsia" w:ascii="仿宋_GB2312" w:hAnsi="仿宋_GB2312" w:eastAsia="仿宋_GB2312" w:cs="仿宋_GB2312"/>
          <w:b w:val="0"/>
          <w:bCs/>
          <w:color w:val="auto"/>
          <w:spacing w:val="20"/>
          <w:sz w:val="36"/>
          <w:szCs w:val="36"/>
          <w:lang w:eastAsia="zh-CN"/>
        </w:rPr>
        <w:t>抽检</w:t>
      </w:r>
      <w:r>
        <w:rPr>
          <w:rFonts w:hint="eastAsia" w:ascii="仿宋_GB2312" w:hAnsi="仿宋_GB2312" w:eastAsia="仿宋_GB2312" w:cs="仿宋_GB2312"/>
          <w:b w:val="0"/>
          <w:bCs/>
          <w:color w:val="auto"/>
          <w:spacing w:val="20"/>
          <w:sz w:val="36"/>
          <w:szCs w:val="36"/>
        </w:rPr>
        <w:t>单位：山东三方联检检测技术有限公司</w:t>
      </w:r>
    </w:p>
    <w:p>
      <w:pPr>
        <w:ind w:firstLine="1600" w:firstLineChars="400"/>
        <w:jc w:val="both"/>
        <w:rPr>
          <w:rFonts w:hint="eastAsia" w:ascii="仿宋_GB2312" w:hAnsi="仿宋_GB2312" w:eastAsia="仿宋_GB2312" w:cs="仿宋_GB2312"/>
          <w:b w:val="0"/>
          <w:bCs/>
          <w:color w:val="auto"/>
          <w:spacing w:val="20"/>
          <w:sz w:val="36"/>
          <w:szCs w:val="36"/>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b w:val="0"/>
          <w:bCs/>
          <w:color w:val="auto"/>
          <w:spacing w:val="20"/>
          <w:sz w:val="36"/>
          <w:szCs w:val="36"/>
        </w:rPr>
        <w:t>抽查时间：二〇</w:t>
      </w:r>
      <w:r>
        <w:rPr>
          <w:rFonts w:hint="eastAsia" w:ascii="仿宋_GB2312" w:hAnsi="仿宋_GB2312" w:eastAsia="仿宋_GB2312" w:cs="仿宋_GB2312"/>
          <w:b w:val="0"/>
          <w:bCs/>
          <w:color w:val="auto"/>
          <w:spacing w:val="20"/>
          <w:sz w:val="36"/>
          <w:szCs w:val="36"/>
          <w:lang w:eastAsia="zh-CN"/>
        </w:rPr>
        <w:t>二</w:t>
      </w:r>
      <w:r>
        <w:rPr>
          <w:rFonts w:hint="eastAsia" w:ascii="仿宋_GB2312" w:hAnsi="仿宋_GB2312" w:eastAsia="仿宋_GB2312" w:cs="仿宋_GB2312"/>
          <w:b w:val="0"/>
          <w:bCs/>
          <w:color w:val="auto"/>
          <w:spacing w:val="20"/>
          <w:sz w:val="36"/>
          <w:szCs w:val="36"/>
          <w:lang w:val="en-US" w:eastAsia="zh-CN"/>
        </w:rPr>
        <w:t>四</w:t>
      </w:r>
      <w:r>
        <w:rPr>
          <w:rFonts w:hint="eastAsia" w:ascii="仿宋_GB2312" w:hAnsi="仿宋_GB2312" w:eastAsia="仿宋_GB2312" w:cs="仿宋_GB2312"/>
          <w:b w:val="0"/>
          <w:bCs/>
          <w:color w:val="auto"/>
          <w:spacing w:val="20"/>
          <w:sz w:val="36"/>
          <w:szCs w:val="36"/>
        </w:rPr>
        <w:t>年</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达拉特旗市场监督管理局工业产品</w:t>
      </w:r>
    </w:p>
    <w:p>
      <w:pPr>
        <w:keepNext w:val="0"/>
        <w:keepLines w:val="0"/>
        <w:pageBreakBefore w:val="0"/>
        <w:widowControl w:val="0"/>
        <w:kinsoku/>
        <w:wordWrap/>
        <w:overflowPunct/>
        <w:topLinePunct w:val="0"/>
        <w:autoSpaceDE w:val="0"/>
        <w:autoSpaceDN w:val="0"/>
        <w:bidi w:val="0"/>
        <w:adjustRightInd w:val="0"/>
        <w:snapToGrid w:val="0"/>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lang w:val="en-US" w:eastAsia="zh-CN"/>
        </w:rPr>
        <w:t>监督抽查实施方案</w:t>
      </w:r>
    </w:p>
    <w:p>
      <w:pPr>
        <w:keepNext w:val="0"/>
        <w:keepLines w:val="0"/>
        <w:pageBreakBefore w:val="0"/>
        <w:kinsoku/>
        <w:wordWrap/>
        <w:overflowPunct/>
        <w:autoSpaceDE w:val="0"/>
        <w:autoSpaceDN w:val="0"/>
        <w:bidi w:val="0"/>
        <w:adjustRightInd w:val="0"/>
        <w:snapToGrid w:val="0"/>
        <w:spacing w:line="360" w:lineRule="auto"/>
        <w:jc w:val="left"/>
        <w:rPr>
          <w:rFonts w:hint="eastAsia" w:ascii="宋体" w:hAnsi="宋体" w:cs="宋体"/>
          <w:color w:val="auto"/>
          <w:sz w:val="28"/>
          <w:szCs w:val="28"/>
          <w:lang w:eastAsia="zh-CN"/>
        </w:rPr>
      </w:pPr>
    </w:p>
    <w:p>
      <w:pPr>
        <w:keepNext w:val="0"/>
        <w:keepLines w:val="0"/>
        <w:pageBreakBefore w:val="0"/>
        <w:kinsoku/>
        <w:wordWrap/>
        <w:overflowPunct/>
        <w:autoSpaceDE w:val="0"/>
        <w:autoSpaceDN w:val="0"/>
        <w:bidi w:val="0"/>
        <w:adjustRightInd w:val="0"/>
        <w:snapToGrid w:val="0"/>
        <w:spacing w:line="36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质量监管和标准化股</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autoSpaceDE w:val="0"/>
        <w:autoSpaceDN w:val="0"/>
        <w:bidi w:val="0"/>
        <w:adjustRightInd w:val="0"/>
        <w:snapToGrid w:val="0"/>
        <w:spacing w:line="36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为提高产品质量安全监管效能，预防化解产品质量领域重大风险，保障人民群众人身财产安全，着力营造公平竞争的市场环境和安全放心的消费环境，</w:t>
      </w:r>
      <w:r>
        <w:rPr>
          <w:rFonts w:hint="eastAsia" w:ascii="仿宋_GB2312" w:hAnsi="仿宋_GB2312" w:eastAsia="仿宋_GB2312" w:cs="仿宋_GB2312"/>
          <w:color w:val="auto"/>
          <w:sz w:val="28"/>
          <w:szCs w:val="28"/>
          <w:lang w:val="en-US" w:eastAsia="zh-CN"/>
        </w:rPr>
        <w:t>达拉特旗</w:t>
      </w:r>
      <w:r>
        <w:rPr>
          <w:rFonts w:hint="eastAsia" w:ascii="仿宋_GB2312" w:hAnsi="仿宋_GB2312" w:eastAsia="仿宋_GB2312" w:cs="仿宋_GB2312"/>
          <w:color w:val="auto"/>
          <w:sz w:val="28"/>
          <w:szCs w:val="28"/>
          <w:lang w:eastAsia="zh-CN"/>
        </w:rPr>
        <w:t>市场监督管理局</w:t>
      </w:r>
      <w:r>
        <w:rPr>
          <w:rFonts w:hint="eastAsia" w:ascii="仿宋_GB2312" w:hAnsi="仿宋_GB2312" w:eastAsia="仿宋_GB2312" w:cs="仿宋_GB2312"/>
          <w:color w:val="auto"/>
          <w:sz w:val="28"/>
          <w:szCs w:val="28"/>
        </w:rPr>
        <w:t>拟于</w:t>
      </w:r>
      <w:r>
        <w:rPr>
          <w:rFonts w:hint="eastAsia" w:ascii="仿宋_GB2312" w:hAnsi="仿宋_GB2312" w:eastAsia="仿宋_GB2312" w:cs="仿宋_GB2312"/>
          <w:color w:val="auto"/>
          <w:sz w:val="28"/>
          <w:szCs w:val="28"/>
          <w:lang w:val="en-US" w:eastAsia="zh-CN"/>
        </w:rPr>
        <w:t>2024</w:t>
      </w:r>
      <w:r>
        <w:rPr>
          <w:rFonts w:hint="eastAsia" w:ascii="仿宋_GB2312" w:hAnsi="仿宋_GB2312" w:eastAsia="仿宋_GB2312" w:cs="仿宋_GB2312"/>
          <w:color w:val="auto"/>
          <w:sz w:val="28"/>
          <w:szCs w:val="28"/>
        </w:rPr>
        <w:t>年组织开展</w:t>
      </w:r>
      <w:r>
        <w:rPr>
          <w:rFonts w:hint="eastAsia" w:ascii="仿宋_GB2312" w:hAnsi="仿宋_GB2312" w:eastAsia="仿宋_GB2312" w:cs="仿宋_GB2312"/>
          <w:color w:val="auto"/>
          <w:sz w:val="28"/>
          <w:szCs w:val="28"/>
          <w:lang w:val="en-US" w:eastAsia="zh-CN"/>
        </w:rPr>
        <w:t>达拉特旗工业</w:t>
      </w:r>
      <w:r>
        <w:rPr>
          <w:rFonts w:hint="eastAsia" w:ascii="仿宋_GB2312" w:hAnsi="仿宋_GB2312" w:eastAsia="仿宋_GB2312" w:cs="仿宋_GB2312"/>
          <w:color w:val="auto"/>
          <w:sz w:val="28"/>
          <w:szCs w:val="28"/>
        </w:rPr>
        <w:t>产品质量监督抽查，特制定方案如下。</w:t>
      </w:r>
    </w:p>
    <w:p>
      <w:pPr>
        <w:keepNext w:val="0"/>
        <w:keepLines w:val="0"/>
        <w:pageBreakBefore w:val="0"/>
        <w:widowControl/>
        <w:tabs>
          <w:tab w:val="left" w:pos="720"/>
        </w:tabs>
        <w:kinsoku/>
        <w:wordWrap/>
        <w:overflowPunct/>
        <w:bidi w:val="0"/>
        <w:adjustRightInd w:val="0"/>
        <w:snapToGrid w:val="0"/>
        <w:spacing w:line="360" w:lineRule="auto"/>
        <w:ind w:firstLine="562" w:firstLineChars="200"/>
        <w:jc w:val="left"/>
        <w:outlineLvl w:val="0"/>
        <w:rPr>
          <w:rFonts w:hint="eastAsia" w:ascii="黑体" w:hAnsi="黑体" w:eastAsia="黑体" w:cs="黑体"/>
          <w:b/>
          <w:color w:val="auto"/>
          <w:sz w:val="28"/>
          <w:szCs w:val="28"/>
        </w:rPr>
      </w:pPr>
      <w:r>
        <w:rPr>
          <w:rFonts w:hint="eastAsia" w:ascii="黑体" w:hAnsi="黑体" w:eastAsia="黑体" w:cs="黑体"/>
          <w:b/>
          <w:color w:val="auto"/>
          <w:sz w:val="28"/>
          <w:szCs w:val="28"/>
        </w:rPr>
        <w:t>一、抽检品种及分类</w:t>
      </w:r>
    </w:p>
    <w:p>
      <w:pPr>
        <w:keepNext w:val="0"/>
        <w:keepLines w:val="0"/>
        <w:pageBreakBefore w:val="0"/>
        <w:kinsoku/>
        <w:wordWrap/>
        <w:overflowPunct/>
        <w:bidi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本次监督抽查的品种</w:t>
      </w:r>
      <w:r>
        <w:rPr>
          <w:rFonts w:hint="eastAsia" w:ascii="仿宋_GB2312" w:hAnsi="仿宋_GB2312" w:eastAsia="仿宋_GB2312" w:cs="仿宋_GB2312"/>
          <w:color w:val="auto"/>
          <w:sz w:val="28"/>
          <w:szCs w:val="28"/>
          <w:lang w:eastAsia="zh-CN"/>
        </w:rPr>
        <w:t>为电动自行车、头盔、电池、燃气灶具、食品相关产品</w:t>
      </w:r>
      <w:r>
        <w:rPr>
          <w:rFonts w:hint="eastAsia" w:ascii="仿宋_GB2312" w:hAnsi="仿宋_GB2312" w:eastAsia="仿宋_GB2312" w:cs="仿宋_GB2312"/>
          <w:color w:val="auto"/>
          <w:sz w:val="28"/>
          <w:szCs w:val="28"/>
        </w:rPr>
        <w:t>。</w:t>
      </w:r>
    </w:p>
    <w:p>
      <w:pPr>
        <w:keepNext w:val="0"/>
        <w:keepLines w:val="0"/>
        <w:pageBreakBefore w:val="0"/>
        <w:widowControl/>
        <w:tabs>
          <w:tab w:val="left" w:pos="720"/>
        </w:tabs>
        <w:kinsoku/>
        <w:wordWrap/>
        <w:overflowPunct/>
        <w:bidi w:val="0"/>
        <w:adjustRightInd w:val="0"/>
        <w:snapToGrid w:val="0"/>
        <w:spacing w:line="360" w:lineRule="auto"/>
        <w:ind w:firstLine="562" w:firstLineChars="200"/>
        <w:jc w:val="left"/>
        <w:outlineLvl w:val="0"/>
        <w:rPr>
          <w:rFonts w:hint="eastAsia" w:ascii="黑体" w:hAnsi="黑体" w:eastAsia="黑体" w:cs="黑体"/>
          <w:b/>
          <w:color w:val="auto"/>
          <w:sz w:val="28"/>
          <w:szCs w:val="28"/>
        </w:rPr>
      </w:pPr>
      <w:r>
        <w:rPr>
          <w:rFonts w:hint="eastAsia" w:ascii="黑体" w:hAnsi="黑体" w:eastAsia="黑体" w:cs="黑体"/>
          <w:b/>
          <w:color w:val="auto"/>
          <w:sz w:val="28"/>
          <w:szCs w:val="28"/>
          <w:lang w:eastAsia="zh-CN"/>
        </w:rPr>
        <w:t>二</w:t>
      </w:r>
      <w:r>
        <w:rPr>
          <w:rFonts w:hint="eastAsia" w:ascii="黑体" w:hAnsi="黑体" w:eastAsia="黑体" w:cs="黑体"/>
          <w:b/>
          <w:color w:val="auto"/>
          <w:sz w:val="28"/>
          <w:szCs w:val="28"/>
        </w:rPr>
        <w:t>、抽样地点及场所</w:t>
      </w:r>
    </w:p>
    <w:p>
      <w:pPr>
        <w:keepNext w:val="0"/>
        <w:keepLines w:val="0"/>
        <w:pageBreakBefore w:val="0"/>
        <w:kinsoku/>
        <w:wordWrap/>
        <w:overflowPunct/>
        <w:topLinePunct/>
        <w:bidi w:val="0"/>
        <w:adjustRightInd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本次抽样地点</w:t>
      </w:r>
      <w:r>
        <w:rPr>
          <w:rFonts w:hint="eastAsia" w:ascii="仿宋_GB2312" w:hAnsi="仿宋_GB2312" w:eastAsia="仿宋_GB2312" w:cs="仿宋_GB2312"/>
          <w:color w:val="auto"/>
          <w:sz w:val="28"/>
          <w:szCs w:val="28"/>
          <w:lang w:eastAsia="zh-CN"/>
        </w:rPr>
        <w:t>为</w:t>
      </w:r>
      <w:r>
        <w:rPr>
          <w:rFonts w:hint="eastAsia" w:ascii="仿宋_GB2312" w:hAnsi="仿宋_GB2312" w:eastAsia="仿宋_GB2312" w:cs="仿宋_GB2312"/>
          <w:color w:val="auto"/>
          <w:sz w:val="28"/>
          <w:szCs w:val="28"/>
          <w:lang w:val="en-US" w:eastAsia="zh-CN"/>
        </w:rPr>
        <w:t>达拉特旗</w:t>
      </w:r>
      <w:r>
        <w:rPr>
          <w:rFonts w:hint="eastAsia" w:ascii="仿宋_GB2312" w:hAnsi="仿宋_GB2312" w:eastAsia="仿宋_GB2312" w:cs="仿宋_GB2312"/>
          <w:color w:val="auto"/>
          <w:sz w:val="28"/>
          <w:szCs w:val="28"/>
          <w:lang w:eastAsia="zh-CN"/>
        </w:rPr>
        <w:t>市场监督管理局所辖区域内。</w:t>
      </w:r>
    </w:p>
    <w:p>
      <w:pPr>
        <w:keepNext w:val="0"/>
        <w:keepLines w:val="0"/>
        <w:pageBreakBefore w:val="0"/>
        <w:widowControl/>
        <w:tabs>
          <w:tab w:val="left" w:pos="720"/>
        </w:tabs>
        <w:kinsoku/>
        <w:wordWrap/>
        <w:overflowPunct/>
        <w:bidi w:val="0"/>
        <w:adjustRightInd w:val="0"/>
        <w:snapToGrid w:val="0"/>
        <w:spacing w:line="360" w:lineRule="auto"/>
        <w:ind w:firstLine="562" w:firstLineChars="200"/>
        <w:jc w:val="left"/>
        <w:outlineLvl w:val="0"/>
        <w:rPr>
          <w:rFonts w:hint="eastAsia" w:ascii="黑体" w:hAnsi="黑体" w:eastAsia="黑体" w:cs="黑体"/>
          <w:b/>
          <w:color w:val="auto"/>
          <w:sz w:val="28"/>
          <w:szCs w:val="28"/>
        </w:rPr>
      </w:pPr>
      <w:r>
        <w:rPr>
          <w:rFonts w:hint="eastAsia" w:ascii="黑体" w:hAnsi="黑体" w:eastAsia="黑体" w:cs="黑体"/>
          <w:b/>
          <w:color w:val="auto"/>
          <w:sz w:val="28"/>
          <w:szCs w:val="28"/>
          <w:lang w:eastAsia="zh-CN"/>
        </w:rPr>
        <w:t>三</w:t>
      </w:r>
      <w:r>
        <w:rPr>
          <w:rFonts w:hint="eastAsia" w:ascii="黑体" w:hAnsi="黑体" w:eastAsia="黑体" w:cs="黑体"/>
          <w:b/>
          <w:color w:val="auto"/>
          <w:sz w:val="28"/>
          <w:szCs w:val="28"/>
        </w:rPr>
        <w:t>、抽样方法</w:t>
      </w:r>
    </w:p>
    <w:p>
      <w:pPr>
        <w:keepNext w:val="0"/>
        <w:keepLines w:val="0"/>
        <w:pageBreakBefore w:val="0"/>
        <w:kinsoku/>
        <w:wordWrap/>
        <w:overflowPunct/>
        <w:bidi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样品应当由抽样人员以随机抽样的方式在被抽样生产者、销售者的待销产品中随机抽取。</w:t>
      </w:r>
    </w:p>
    <w:p>
      <w:pPr>
        <w:keepNext w:val="0"/>
        <w:keepLines w:val="0"/>
        <w:pageBreakBefore w:val="0"/>
        <w:kinsoku/>
        <w:wordWrap/>
        <w:overflowPunct/>
        <w:bidi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随机数一般可使用随机数表等方法产生。</w:t>
      </w:r>
    </w:p>
    <w:p>
      <w:pPr>
        <w:keepNext w:val="0"/>
        <w:keepLines w:val="0"/>
        <w:pageBreakBefore w:val="0"/>
        <w:kinsoku/>
        <w:wordWrap/>
        <w:overflowPunct/>
        <w:bidi w:val="0"/>
        <w:snapToGrid w:val="0"/>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抽样数量分别如表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w:t>
      </w:r>
    </w:p>
    <w:p>
      <w:pPr>
        <w:keepNext w:val="0"/>
        <w:keepLines w:val="0"/>
        <w:pageBreakBefore w:val="0"/>
        <w:kinsoku/>
        <w:wordWrap/>
        <w:overflowPunct/>
        <w:bidi w:val="0"/>
        <w:snapToGrid w:val="0"/>
        <w:spacing w:line="360" w:lineRule="auto"/>
        <w:ind w:firstLine="560" w:firstLineChars="200"/>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表1 各产品抽样数量</w:t>
      </w:r>
    </w:p>
    <w:tbl>
      <w:tblPr>
        <w:tblStyle w:val="10"/>
        <w:tblW w:w="49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7"/>
        <w:gridCol w:w="2500"/>
        <w:gridCol w:w="1576"/>
        <w:gridCol w:w="1755"/>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8"/>
                <w:szCs w:val="28"/>
                <w:highlight w:val="none"/>
                <w:u w:val="none"/>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序号</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8"/>
                <w:szCs w:val="28"/>
                <w:highlight w:val="none"/>
                <w:u w:val="none"/>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品 种</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8"/>
                <w:szCs w:val="28"/>
                <w:highlight w:val="none"/>
                <w:u w:val="none"/>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抽样数量</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8"/>
                <w:szCs w:val="28"/>
                <w:highlight w:val="none"/>
                <w:u w:val="none"/>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检验样品</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sz w:val="28"/>
                <w:szCs w:val="28"/>
                <w:highlight w:val="none"/>
                <w:u w:val="none"/>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备份样品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电动自行车</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w:t>
            </w:r>
            <w:r>
              <w:rPr>
                <w:rFonts w:hint="eastAsia" w:ascii="仿宋_GB2312" w:hAnsi="仿宋_GB2312" w:eastAsia="仿宋_GB2312" w:cs="仿宋_GB2312"/>
                <w:b w:val="0"/>
                <w:bCs w:val="0"/>
                <w:i w:val="0"/>
                <w:iCs w:val="0"/>
                <w:color w:val="auto"/>
                <w:kern w:val="0"/>
                <w:sz w:val="28"/>
                <w:szCs w:val="28"/>
                <w:highlight w:val="none"/>
                <w:u w:val="none"/>
                <w:lang w:val="en-GB" w:eastAsia="zh-CN" w:bidi="ar"/>
              </w:rPr>
              <w:t>辆</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GB" w:eastAsia="zh-CN" w:bidi="ar"/>
              </w:rPr>
              <w:t>1辆</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GB" w:eastAsia="zh-CN" w:bidi="ar"/>
              </w:rPr>
              <w:t>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头盔</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6个</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3个</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3</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电池</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2个完整包装</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1个完整包装</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1个完整包装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4</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燃气灶具</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2个</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1个</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5</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塑料购物袋</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80个</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50个</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30个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6</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纸杯</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100个</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50个</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50个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7</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塑料一次性餐饮具</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40个</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20个</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8</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保鲜膜</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w:t>
            </w:r>
            <w:r>
              <w:rPr>
                <w:rFonts w:hint="eastAsia" w:ascii="仿宋_GB2312" w:hAnsi="仿宋_GB2312" w:eastAsia="仿宋_GB2312" w:cs="仿宋_GB2312"/>
                <w:b w:val="0"/>
                <w:bCs w:val="0"/>
                <w:i w:val="0"/>
                <w:iCs w:val="0"/>
                <w:color w:val="auto"/>
                <w:kern w:val="0"/>
                <w:sz w:val="28"/>
                <w:szCs w:val="28"/>
                <w:highlight w:val="none"/>
                <w:u w:val="none"/>
                <w:lang w:val="en-GB" w:eastAsia="zh-CN" w:bidi="ar"/>
              </w:rPr>
              <w:t>卷</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w:t>
            </w:r>
            <w:r>
              <w:rPr>
                <w:rFonts w:hint="eastAsia" w:ascii="仿宋_GB2312" w:hAnsi="仿宋_GB2312" w:eastAsia="仿宋_GB2312" w:cs="仿宋_GB2312"/>
                <w:b w:val="0"/>
                <w:bCs w:val="0"/>
                <w:i w:val="0"/>
                <w:iCs w:val="0"/>
                <w:color w:val="auto"/>
                <w:kern w:val="0"/>
                <w:sz w:val="28"/>
                <w:szCs w:val="28"/>
                <w:highlight w:val="none"/>
                <w:u w:val="none"/>
                <w:lang w:val="en-GB" w:eastAsia="zh-CN" w:bidi="ar"/>
              </w:rPr>
              <w:t>卷</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1</w:t>
            </w:r>
            <w:r>
              <w:rPr>
                <w:rFonts w:hint="eastAsia" w:ascii="仿宋_GB2312" w:hAnsi="仿宋_GB2312" w:eastAsia="仿宋_GB2312" w:cs="仿宋_GB2312"/>
                <w:b w:val="0"/>
                <w:bCs w:val="0"/>
                <w:i w:val="0"/>
                <w:iCs w:val="0"/>
                <w:color w:val="auto"/>
                <w:kern w:val="0"/>
                <w:sz w:val="28"/>
                <w:szCs w:val="28"/>
                <w:highlight w:val="none"/>
                <w:u w:val="none"/>
                <w:lang w:val="en-GB"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blHeader/>
          <w:jc w:val="center"/>
        </w:trPr>
        <w:tc>
          <w:tcPr>
            <w:tcW w:w="62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9</w:t>
            </w:r>
          </w:p>
        </w:tc>
        <w:tc>
          <w:tcPr>
            <w:tcW w:w="146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聚酯(PET)无汽饮料瓶</w:t>
            </w:r>
          </w:p>
        </w:tc>
        <w:tc>
          <w:tcPr>
            <w:tcW w:w="92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60个</w:t>
            </w:r>
          </w:p>
        </w:tc>
        <w:tc>
          <w:tcPr>
            <w:tcW w:w="1031"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40个</w:t>
            </w:r>
          </w:p>
        </w:tc>
        <w:tc>
          <w:tcPr>
            <w:tcW w:w="944"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val="0"/>
                <w:bCs w:val="0"/>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i w:val="0"/>
                <w:iCs w:val="0"/>
                <w:color w:val="auto"/>
                <w:kern w:val="0"/>
                <w:sz w:val="28"/>
                <w:szCs w:val="28"/>
                <w:highlight w:val="none"/>
                <w:u w:val="none"/>
                <w:lang w:val="en-US" w:eastAsia="zh-CN" w:bidi="ar"/>
              </w:rPr>
              <w:t>20个</w:t>
            </w:r>
          </w:p>
        </w:tc>
      </w:tr>
    </w:tbl>
    <w:p>
      <w:pPr>
        <w:keepNext w:val="0"/>
        <w:keepLines w:val="0"/>
        <w:pageBreakBefore w:val="0"/>
        <w:widowControl/>
        <w:tabs>
          <w:tab w:val="left" w:pos="720"/>
        </w:tabs>
        <w:kinsoku/>
        <w:wordWrap/>
        <w:overflowPunct/>
        <w:bidi w:val="0"/>
        <w:adjustRightInd w:val="0"/>
        <w:snapToGrid w:val="0"/>
        <w:spacing w:line="360" w:lineRule="auto"/>
        <w:ind w:firstLine="562" w:firstLineChars="200"/>
        <w:jc w:val="left"/>
        <w:outlineLvl w:val="0"/>
        <w:rPr>
          <w:rFonts w:hint="eastAsia" w:ascii="黑体" w:hAnsi="黑体" w:eastAsia="黑体" w:cs="黑体"/>
          <w:b/>
          <w:color w:val="auto"/>
          <w:sz w:val="28"/>
          <w:szCs w:val="28"/>
          <w:lang w:val="en-US" w:eastAsia="zh-CN"/>
        </w:rPr>
      </w:pPr>
      <w:r>
        <w:rPr>
          <w:rFonts w:hint="eastAsia" w:ascii="黑体" w:hAnsi="黑体" w:eastAsia="黑体" w:cs="黑体"/>
          <w:b/>
          <w:color w:val="auto"/>
          <w:sz w:val="28"/>
          <w:szCs w:val="28"/>
          <w:lang w:eastAsia="zh-CN"/>
        </w:rPr>
        <w:t>四、</w:t>
      </w:r>
      <w:r>
        <w:rPr>
          <w:rFonts w:hint="eastAsia" w:ascii="黑体" w:hAnsi="黑体" w:eastAsia="黑体" w:cs="黑体"/>
          <w:b/>
          <w:color w:val="auto"/>
          <w:sz w:val="28"/>
          <w:szCs w:val="28"/>
        </w:rPr>
        <w:t>抽查检验项目</w:t>
      </w:r>
    </w:p>
    <w:p>
      <w:pPr>
        <w:keepNext w:val="0"/>
        <w:keepLines w:val="0"/>
        <w:pageBreakBefore w:val="0"/>
        <w:numPr>
          <w:ilvl w:val="0"/>
          <w:numId w:val="0"/>
        </w:numPr>
        <w:kinsoku/>
        <w:wordWrap/>
        <w:overflowPunct/>
        <w:bidi w:val="0"/>
        <w:snapToGrid w:val="0"/>
        <w:spacing w:line="360" w:lineRule="auto"/>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表2  抽查检验项目及执行标准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134"/>
        <w:gridCol w:w="300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产品名称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30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检验项目</w:t>
            </w:r>
          </w:p>
        </w:tc>
        <w:tc>
          <w:tcPr>
            <w:tcW w:w="2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电动自行车</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车速限值</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制动性能(干态)</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整车质量</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sz w:val="28"/>
                <w:szCs w:val="28"/>
                <w:lang w:val="en-US" w:eastAsia="zh-CN"/>
              </w:rPr>
              <w:t>脚蹬间隙</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防碰擦</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短路保护</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反射器、照明和鸣号装置（仅检安装）</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导线布线安装</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蓄电池最大输出电压</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val="en-US" w:eastAsia="zh-CN"/>
              </w:rPr>
              <w:t>蓄电池防篡改</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头盔</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结构组成</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lang w:val="en-US" w:eastAsia="zh-CN"/>
              </w:rPr>
              <w:t>GB 811-2022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视野</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护目镜冲击强度</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5</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护目镜可见光透过率</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6</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固定装置稳定性</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7</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佩戴装置强度</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8</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吸收碰撞能量（低温）</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9</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耐穿透（低温）</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lang w:val="en-US" w:eastAsia="zh-CN"/>
              </w:rPr>
              <w:t>电动助力车用阀控式铅酸蓄电池</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外观</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8"/>
                <w:szCs w:val="28"/>
                <w:lang w:eastAsia="zh-CN"/>
              </w:rPr>
            </w:pPr>
            <w:r>
              <w:rPr>
                <w:rFonts w:hint="eastAsia" w:ascii="仿宋_GB2312" w:hAnsi="仿宋_GB2312" w:eastAsia="仿宋_GB2312" w:cs="仿宋_GB2312"/>
                <w:b w:val="0"/>
                <w:bCs w:val="0"/>
                <w:color w:val="000000"/>
                <w:sz w:val="28"/>
                <w:szCs w:val="28"/>
                <w:lang w:eastAsia="zh-CN"/>
              </w:rPr>
              <w:t>GB/T 22199.1-2017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lang w:eastAsia="zh-CN"/>
              </w:rPr>
              <w:t>GB/T 22199.2-2017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极性</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尺寸</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标志</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lang w:val="en-US" w:eastAsia="zh-CN"/>
              </w:rPr>
              <w:t>电动道路车辆用铅酸蓄电池</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外观</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lang w:eastAsia="zh-CN"/>
              </w:rPr>
              <w:t>GB/T 32620.1-2016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尺寸</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端子极性</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标志</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lang w:val="en-US" w:eastAsia="zh-CN"/>
              </w:rPr>
              <w:t>电动自行车用锂离子蓄电池</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外观</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lang w:eastAsia="zh-CN"/>
              </w:rPr>
              <w:t>GB/T 36972-2018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极性标志</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标志</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lang w:val="en-US" w:eastAsia="zh-CN"/>
              </w:rPr>
              <w:t>锂离子蓄电池及充电器</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外观</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lang w:eastAsia="zh-CN"/>
              </w:rPr>
              <w:t>QB/T 2947.3-2008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极性标志</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开路电压</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产品标志</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lang w:val="en-US" w:eastAsia="zh-CN"/>
              </w:rPr>
              <w:t>燃气灶具</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气密性</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lang w:val="en-US" w:eastAsia="zh-CN"/>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燃烧工况</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结构-燃气导管</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干烟气中CO浓度</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熄火保护装置</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电点火装置</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结构-结构的一般要求</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耐热冲击</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300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耐重力冲击</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接地电阻</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防触电保护</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lang w:val="en-US" w:eastAsia="zh-CN"/>
              </w:rPr>
              <w:t>塑料购物袋</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环保要求（最小厚度）</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rPr>
              <w:t>GB/T 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厚度及偏差</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异嗅</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外观</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提吊试验</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跌落试验</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漏水性</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封合强度</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纸杯</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感官指标</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GB/T 27590-2022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GB 4806.7-2023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rPr>
              <w:t>GB 4806.8-2022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容量偏差</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渗漏性能</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杯身挺度</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重金属</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荧光性物质</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lang w:val="en-US" w:eastAsia="zh-CN"/>
              </w:rPr>
              <w:t>塑料一次性餐饮具</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异嗅</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000000"/>
                <w:sz w:val="28"/>
                <w:szCs w:val="28"/>
                <w:lang w:val="en-US" w:eastAsia="zh-CN"/>
              </w:rPr>
              <w:t>GB/T 18006.1-2009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外观</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结构</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负重性能</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耐温性能</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漏水性</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跌落性能</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lang w:val="en-US" w:eastAsia="zh-CN"/>
              </w:rPr>
              <w:t>保鲜膜</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外观</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GB/T 10457-2021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GB 4806.7-2023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透光率</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雾度</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防雾性</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感官要求</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高锰酸钾消耗量</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重金属（以Pb计）</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000000"/>
                <w:sz w:val="28"/>
                <w:szCs w:val="28"/>
                <w:lang w:val="en-US" w:eastAsia="zh-CN"/>
              </w:rPr>
              <w:t>聚酯(PET)无汽饮料瓶</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外观</w:t>
            </w:r>
          </w:p>
        </w:tc>
        <w:tc>
          <w:tcPr>
            <w:tcW w:w="22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QB/T 2357-1998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GB 4806.7-2023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容量</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密封性能</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垂直载压</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跌落性能</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高锰酸钾消耗量</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300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重金属</w:t>
            </w:r>
          </w:p>
        </w:tc>
        <w:tc>
          <w:tcPr>
            <w:tcW w:w="22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rPr>
            </w:pPr>
          </w:p>
        </w:tc>
      </w:tr>
    </w:tbl>
    <w:p>
      <w:pPr>
        <w:keepNext w:val="0"/>
        <w:keepLines w:val="0"/>
        <w:pageBreakBefore w:val="0"/>
        <w:widowControl/>
        <w:tabs>
          <w:tab w:val="left" w:pos="720"/>
        </w:tabs>
        <w:kinsoku/>
        <w:wordWrap/>
        <w:overflowPunct/>
        <w:bidi w:val="0"/>
        <w:adjustRightInd w:val="0"/>
        <w:snapToGrid w:val="0"/>
        <w:spacing w:line="360" w:lineRule="auto"/>
        <w:ind w:firstLine="562" w:firstLineChars="200"/>
        <w:jc w:val="left"/>
        <w:outlineLvl w:val="0"/>
        <w:rPr>
          <w:rFonts w:hint="eastAsia" w:ascii="黑体" w:hAnsi="黑体" w:eastAsia="黑体" w:cs="黑体"/>
          <w:b/>
          <w:color w:val="auto"/>
          <w:sz w:val="28"/>
          <w:szCs w:val="28"/>
          <w:lang w:eastAsia="zh-CN"/>
        </w:rPr>
      </w:pPr>
      <w:r>
        <w:rPr>
          <w:rFonts w:hint="eastAsia" w:ascii="黑体" w:hAnsi="黑体" w:eastAsia="黑体" w:cs="黑体"/>
          <w:b/>
          <w:color w:val="auto"/>
          <w:sz w:val="28"/>
          <w:szCs w:val="28"/>
          <w:lang w:eastAsia="zh-CN"/>
        </w:rPr>
        <w:t>五、进度要求</w:t>
      </w:r>
    </w:p>
    <w:tbl>
      <w:tblPr>
        <w:tblStyle w:val="11"/>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2748"/>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1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工作过程</w:t>
            </w:r>
          </w:p>
        </w:tc>
        <w:tc>
          <w:tcPr>
            <w:tcW w:w="3287"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分工和进度要求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12"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组织、承检机构</w:t>
            </w:r>
          </w:p>
        </w:tc>
        <w:tc>
          <w:tcPr>
            <w:tcW w:w="16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组织单位</w:t>
            </w:r>
          </w:p>
        </w:tc>
        <w:tc>
          <w:tcPr>
            <w:tcW w:w="16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承检单位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712"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p>
        </w:tc>
        <w:tc>
          <w:tcPr>
            <w:tcW w:w="16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达拉特旗市场监督管理局</w:t>
            </w:r>
          </w:p>
        </w:tc>
        <w:tc>
          <w:tcPr>
            <w:tcW w:w="166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kern w:val="2"/>
                <w:sz w:val="28"/>
                <w:szCs w:val="28"/>
                <w:lang w:val="en-US" w:eastAsia="zh-CN" w:bidi="ar-SA"/>
              </w:rPr>
              <w:t>山东三方联检检测技术有限公司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抽样人员名单表报送</w:t>
            </w:r>
          </w:p>
        </w:tc>
        <w:tc>
          <w:tcPr>
            <w:tcW w:w="32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任务部署后5日内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7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样品抽取时间</w:t>
            </w:r>
          </w:p>
        </w:tc>
        <w:tc>
          <w:tcPr>
            <w:tcW w:w="32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甲方于抽样工作开始7日前，通知乙方具体抽样时间和地点，乙方应于开展抽样工作1日前完成抽样前准备工作并到达指定地点开展工作。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样品检验时间</w:t>
            </w:r>
          </w:p>
        </w:tc>
        <w:tc>
          <w:tcPr>
            <w:tcW w:w="32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任务部署后的1个整体抽检工作完成周期内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7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检验报告及结果通知发放</w:t>
            </w:r>
          </w:p>
        </w:tc>
        <w:tc>
          <w:tcPr>
            <w:tcW w:w="32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完成抽样,样品到达实验室后30日内出具检验报告（如有检验周期比较长的产品可将该产品检验报告在检验完成后及时交付甲方）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承检单位提供资料</w:t>
            </w:r>
          </w:p>
        </w:tc>
        <w:tc>
          <w:tcPr>
            <w:tcW w:w="32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kern w:val="2"/>
                <w:sz w:val="28"/>
                <w:szCs w:val="28"/>
                <w:lang w:val="en-US" w:eastAsia="zh-CN" w:bidi="ar-SA"/>
              </w:rPr>
              <w:t>检验工作完成10日内</w:t>
            </w:r>
          </w:p>
        </w:tc>
      </w:tr>
    </w:tbl>
    <w:p>
      <w:pPr>
        <w:keepNext w:val="0"/>
        <w:keepLines w:val="0"/>
        <w:pageBreakBefore w:val="0"/>
        <w:numPr>
          <w:ilvl w:val="0"/>
          <w:numId w:val="0"/>
        </w:numPr>
        <w:kinsoku/>
        <w:wordWrap/>
        <w:overflowPunct/>
        <w:bidi w:val="0"/>
        <w:snapToGrid w:val="0"/>
        <w:spacing w:line="360" w:lineRule="auto"/>
        <w:rPr>
          <w:rFonts w:hint="eastAsia" w:ascii="仿宋_GB2312" w:hAnsi="仿宋_GB2312" w:eastAsia="仿宋_GB2312" w:cs="仿宋_GB2312"/>
          <w:color w:val="auto"/>
          <w:sz w:val="28"/>
          <w:szCs w:val="28"/>
          <w:lang w:eastAsia="zh-CN"/>
        </w:rPr>
      </w:pPr>
    </w:p>
    <w:p>
      <w:pPr>
        <w:keepNext w:val="0"/>
        <w:keepLines w:val="0"/>
        <w:pageBreakBefore w:val="0"/>
        <w:widowControl/>
        <w:tabs>
          <w:tab w:val="left" w:pos="720"/>
        </w:tabs>
        <w:kinsoku/>
        <w:wordWrap/>
        <w:overflowPunct/>
        <w:bidi w:val="0"/>
        <w:adjustRightInd w:val="0"/>
        <w:snapToGrid w:val="0"/>
        <w:spacing w:line="360" w:lineRule="auto"/>
        <w:ind w:firstLine="562" w:firstLineChars="200"/>
        <w:jc w:val="left"/>
        <w:outlineLvl w:val="0"/>
        <w:rPr>
          <w:rFonts w:hint="eastAsia" w:ascii="黑体" w:hAnsi="黑体" w:eastAsia="黑体" w:cs="黑体"/>
          <w:b/>
          <w:color w:val="auto"/>
          <w:sz w:val="28"/>
          <w:szCs w:val="28"/>
          <w:lang w:eastAsia="zh-CN"/>
        </w:rPr>
      </w:pPr>
      <w:r>
        <w:rPr>
          <w:rFonts w:hint="eastAsia" w:ascii="黑体" w:hAnsi="黑体" w:eastAsia="黑体" w:cs="黑体"/>
          <w:b/>
          <w:color w:val="auto"/>
          <w:sz w:val="28"/>
          <w:szCs w:val="28"/>
          <w:lang w:eastAsia="zh-CN"/>
        </w:rPr>
        <w:t>六、工作分工</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1、抽样</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市场监督管理部门委托抽样机构抽样，并按照有关规定随机抽取被抽样生产者、销售者，随机选派抽样人员。</w:t>
      </w:r>
    </w:p>
    <w:p>
      <w:pPr>
        <w:pStyle w:val="14"/>
        <w:keepNext w:val="0"/>
        <w:keepLines w:val="0"/>
        <w:pageBreakBefore w:val="0"/>
        <w:widowControl w:val="0"/>
        <w:kinsoku/>
        <w:wordWrap/>
        <w:overflowPunct/>
        <w:autoSpaceDE/>
        <w:autoSpaceDN/>
        <w:bidi w:val="0"/>
        <w:snapToGrid w:val="0"/>
        <w:spacing w:line="36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实行抽检分离制度。除现场检验外，抽样人员不得承担其抽样产品的检验工作。</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抽样人员应当熟悉相关法律、行政法规、部门规章以及标准等规定。</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样人员不得少于两人，并向被抽样生产者、销售者出示组织监督抽查的市场监督管理部门出具的监督抽查通知书、抽样人员身份证明。抽样机构执行抽样任务的，还应当出示组织监督抽查的市场监督管理部门出具的授权委托书复印件。</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抽样人员应当告知被抽样生产者、销售者抽查产品范围、抽样方法等。</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样品应当由抽样人员在被抽样生产者、销售者的待销产品中随机抽取，不得由被抽样生产者、销售者自行抽样。</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样人员发现被抽样生产者、销售者涉嫌存在无证无照等无需检验即可判定违法的情形的，应当终止抽样，立即报告组织监督抽查的市场监督管理部门，并同时报告涉嫌违法的被抽样生产者、销售者所在地县级市场监督管理部门。</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抽样人员应当使用规定的抽样文书记录抽样信息，并对抽样场所、贮存环境、被抽样产品的标识、库存数量、抽样过程等通过拍照或者录像的方式留存证据。</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抽样文书应当经抽样人员和被抽样生产者、销售者签字。被抽样生产者、销售者拒绝签字的，抽样人员应当在抽样文书上注明情况，必要时可以邀请有关人员作为见证人。</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抽样文书确需更正或者补充的，应当由被抽样生产者、销售者在更正或者补充处以签名、盖章等方式予以确认。</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因被抽样生产者、销售者转产、停业等原因致使无法抽样的，抽样人员应当如实记录，报送组织监督抽查的市场监督管理部门。</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被抽样生产者、销售者以明显不合理的样品价格等方式阻碍、拒绝或者不配合抽样的，抽样人员应当如实记录，立即报告组织监督抽查的市场监督管理部门，并同时报告被抽样生产者、销售者所在地县级市场监督管理部门。</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样品分为检验样品和备用样品。除不以破坏性试验方式进行检验，并且不会对样品质量造成实质性影响的外，抽样人员应当购买检验样品。购买检验样品的价格以生产、销售产品的标价为准；没有标价的，以同类产品的市场价格为准。</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备用样品由被抽样生产者、销售者先行无偿提供。法律、行政法规、部门规章对样品获取方式另有规定的，依照其规定。</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抽样人员应当采取有效的防拆封措施，对检验样品和备用样品分别封样，并由抽样人员和被抽样生产者、销售者签字确认。</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样品应当由抽样人员携带或者寄递至检验机构进行检验。对于易碎品、危险化学品等对运输、贮存过程有特殊要求的样品，应当采取有效措施，保证样品的运输、贮存过程符合国家有关规定，不发生影响检验结论的变化。</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样品需要先行存放在被抽样生产者、销售者处的，应当予以封存，并加施封存标识。被抽样生产者、销售者应当妥善保管封存的样品，不得隐匿、转移、变卖、损毁。</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2、检验</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检验人员收到样品后，应当通过拍照或者录像的方式检查记录样品的外观、状态、封条有无破损以及其他可能对检验结论产生影响的情形，并核对样品与抽样文书的记录是否相符。</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对于抽样不规范的样品，检验人员应当拒绝接收并书面说明理由，同时向组织监督抽查的市场监督管理部门报告。</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被抽样产品实行生产许可、强制性产品认证等管理的，检验人员应当在检验前核实样品的生产者是否符合相应要求。</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检验人员发现样品的生产者涉嫌存在无证无照等无需检验即可判定违法的情形的，应当终止检验，立即报告组织监督抽查的市场监督管理部门，并同时报告涉嫌违法的样品的生产者所在地县级市场监督管理部门。</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检验人员应当按照监督抽查实施规范所规定的检验项目、检验方法、判定规则等进行检验。</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检验中发现因样品失效或者其他原因致使检验无法进行的，检验人员应当如实记录，并提供相关证明材料，报送组织监督抽查的市场监督管理部门。</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检验机构出具检验报告，应当内容真实齐全、数据准确、结论明确，并按照有关规定签字、盖章。</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检验机构和检验人员应当对其出具的检验报告负责。</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检验机构应当在规定时间内将检验报告及有关材料报送组织监督抽查的市场监督管理部门。</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检验结论为合格并且属于无偿提供的样品，组织监督抽查的市场监督管理部门应当在提出异议处理申请期限届满后及时退还。</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前款规定以外的其他样品，组织监督抽查的市场监督管理部门应当在提出异议处理申请期限届满后按照有关规定处理。</w:t>
      </w:r>
    </w:p>
    <w:p>
      <w:pPr>
        <w:keepNext w:val="0"/>
        <w:keepLines w:val="0"/>
        <w:pageBreakBefore w:val="0"/>
        <w:widowControl/>
        <w:tabs>
          <w:tab w:val="left" w:pos="720"/>
        </w:tabs>
        <w:kinsoku/>
        <w:wordWrap/>
        <w:overflowPunct/>
        <w:bidi w:val="0"/>
        <w:adjustRightInd w:val="0"/>
        <w:snapToGrid w:val="0"/>
        <w:spacing w:line="360" w:lineRule="auto"/>
        <w:ind w:firstLine="562" w:firstLineChars="200"/>
        <w:jc w:val="left"/>
        <w:outlineLvl w:val="0"/>
        <w:rPr>
          <w:rFonts w:hint="eastAsia" w:ascii="黑体" w:hAnsi="黑体" w:eastAsia="黑体" w:cs="黑体"/>
          <w:b/>
          <w:color w:val="auto"/>
          <w:sz w:val="28"/>
          <w:szCs w:val="28"/>
        </w:rPr>
      </w:pPr>
      <w:r>
        <w:rPr>
          <w:rFonts w:hint="eastAsia" w:ascii="黑体" w:hAnsi="黑体" w:eastAsia="黑体" w:cs="黑体"/>
          <w:b/>
          <w:color w:val="auto"/>
          <w:sz w:val="28"/>
          <w:szCs w:val="28"/>
          <w:lang w:eastAsia="zh-CN"/>
        </w:rPr>
        <w:t>七、</w:t>
      </w:r>
      <w:r>
        <w:rPr>
          <w:rFonts w:hint="eastAsia" w:ascii="黑体" w:hAnsi="黑体" w:eastAsia="黑体" w:cs="黑体"/>
          <w:b/>
          <w:color w:val="auto"/>
          <w:sz w:val="28"/>
          <w:szCs w:val="28"/>
        </w:rPr>
        <w:t>承检机构信息</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lang w:val="en-US" w:eastAsia="zh-CN"/>
        </w:rPr>
        <w:t>山东三方联检检测技术有限公司</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lang w:val="en-US" w:eastAsia="zh-CN"/>
        </w:rPr>
        <w:t>山东省菏泽市鲁西新区岳程街道长江东路5299号院内</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 系 人：谷硕</w:t>
      </w:r>
    </w:p>
    <w:p>
      <w:pPr>
        <w:keepNext w:val="0"/>
        <w:keepLines w:val="0"/>
        <w:pageBreakBefore w:val="0"/>
        <w:widowControl w:val="0"/>
        <w:kinsoku/>
        <w:wordWrap/>
        <w:overflowPunct/>
        <w:autoSpaceDE/>
        <w:autoSpaceDN/>
        <w:bidi w:val="0"/>
        <w:snapToGrid w:val="0"/>
        <w:spacing w:line="360" w:lineRule="auto"/>
        <w:ind w:firstLine="560" w:firstLineChars="200"/>
        <w:textAlignment w:val="auto"/>
        <w:outlineLvl w:val="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lang w:val="en-US" w:eastAsia="zh-CN"/>
        </w:rPr>
        <w:t>0530-7077999</w:t>
      </w:r>
    </w:p>
    <w:p>
      <w:pPr>
        <w:keepNext w:val="0"/>
        <w:keepLines w:val="0"/>
        <w:pageBreakBefore w:val="0"/>
        <w:widowControl/>
        <w:tabs>
          <w:tab w:val="left" w:pos="720"/>
        </w:tabs>
        <w:kinsoku/>
        <w:wordWrap/>
        <w:overflowPunct/>
        <w:bidi w:val="0"/>
        <w:adjustRightInd w:val="0"/>
        <w:snapToGrid w:val="0"/>
        <w:spacing w:line="360" w:lineRule="auto"/>
        <w:ind w:firstLine="562" w:firstLineChars="200"/>
        <w:jc w:val="left"/>
        <w:outlineLvl w:val="0"/>
        <w:rPr>
          <w:rFonts w:hint="eastAsia" w:ascii="黑体" w:hAnsi="黑体" w:eastAsia="黑体" w:cs="黑体"/>
          <w:b/>
          <w:color w:val="auto"/>
          <w:sz w:val="28"/>
          <w:szCs w:val="28"/>
        </w:rPr>
      </w:pPr>
      <w:r>
        <w:rPr>
          <w:rFonts w:hint="eastAsia" w:ascii="黑体" w:hAnsi="黑体" w:eastAsia="黑体" w:cs="黑体"/>
          <w:b/>
          <w:color w:val="auto"/>
          <w:sz w:val="28"/>
          <w:szCs w:val="28"/>
          <w:lang w:eastAsia="zh-CN"/>
        </w:rPr>
        <w:t>八</w:t>
      </w:r>
      <w:r>
        <w:rPr>
          <w:rFonts w:hint="eastAsia" w:ascii="黑体" w:hAnsi="黑体" w:eastAsia="黑体" w:cs="黑体"/>
          <w:b/>
          <w:color w:val="auto"/>
          <w:sz w:val="28"/>
          <w:szCs w:val="28"/>
        </w:rPr>
        <w:t>、监督抽查工作要求</w:t>
      </w:r>
    </w:p>
    <w:p>
      <w:pPr>
        <w:keepNext w:val="0"/>
        <w:keepLines w:val="0"/>
        <w:widowControl w:val="0"/>
        <w:suppressLineNumbers w:val="0"/>
        <w:spacing w:before="0" w:beforeAutospacing="0" w:after="0" w:afterAutospacing="0"/>
        <w:ind w:right="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（一）监督抽查工作要严格按照国家市场监督管理总局公布的《产品质量监督抽查管理暂行办法》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kern w:val="2"/>
          <w:sz w:val="28"/>
          <w:szCs w:val="28"/>
          <w:lang w:val="en-US" w:eastAsia="zh-CN" w:bidi="ar-SA"/>
        </w:rPr>
        <w:t>《2024年达拉特旗市场监督管理局电动自行车产品质量监督抽查实施细则》、《2024年达拉特旗市场监督管理局</w:t>
      </w:r>
      <w:r>
        <w:rPr>
          <w:rFonts w:hint="eastAsia" w:ascii="仿宋_GB2312" w:hAnsi="仿宋_GB2312" w:eastAsia="仿宋_GB2312" w:cs="仿宋_GB2312"/>
          <w:color w:val="auto"/>
          <w:sz w:val="28"/>
          <w:szCs w:val="28"/>
          <w:lang w:eastAsia="zh-CN"/>
        </w:rPr>
        <w:t>头盔</w:t>
      </w:r>
      <w:r>
        <w:rPr>
          <w:rFonts w:hint="eastAsia" w:ascii="仿宋_GB2312" w:hAnsi="仿宋_GB2312" w:eastAsia="仿宋_GB2312" w:cs="仿宋_GB2312"/>
          <w:color w:val="auto"/>
          <w:kern w:val="2"/>
          <w:sz w:val="28"/>
          <w:szCs w:val="28"/>
          <w:lang w:val="en-US" w:eastAsia="zh-CN" w:bidi="ar-SA"/>
        </w:rPr>
        <w:t>产品质量监督抽查实施细则》、《2024年达拉特旗市场监督管理局</w:t>
      </w:r>
      <w:r>
        <w:rPr>
          <w:rFonts w:hint="eastAsia" w:ascii="仿宋_GB2312" w:hAnsi="仿宋_GB2312" w:eastAsia="仿宋_GB2312" w:cs="仿宋_GB2312"/>
          <w:kern w:val="2"/>
          <w:sz w:val="28"/>
          <w:szCs w:val="28"/>
          <w:lang w:val="en-US" w:eastAsia="zh-CN" w:bidi="ar"/>
        </w:rPr>
        <w:t>电池</w:t>
      </w:r>
      <w:r>
        <w:rPr>
          <w:rFonts w:hint="eastAsia" w:ascii="仿宋_GB2312" w:hAnsi="仿宋_GB2312" w:eastAsia="仿宋_GB2312" w:cs="仿宋_GB2312"/>
          <w:color w:val="auto"/>
          <w:kern w:val="2"/>
          <w:sz w:val="28"/>
          <w:szCs w:val="28"/>
          <w:lang w:val="en-US" w:eastAsia="zh-CN" w:bidi="ar-SA"/>
        </w:rPr>
        <w:t>产品质量监督抽查实施细则》、《2024年达拉特旗市场监督管理局</w:t>
      </w:r>
      <w:r>
        <w:rPr>
          <w:rFonts w:hint="eastAsia" w:ascii="仿宋_GB2312" w:hAnsi="仿宋_GB2312" w:eastAsia="仿宋_GB2312" w:cs="仿宋_GB2312"/>
          <w:kern w:val="2"/>
          <w:sz w:val="28"/>
          <w:szCs w:val="28"/>
          <w:lang w:val="en-US" w:eastAsia="zh-CN" w:bidi="ar"/>
        </w:rPr>
        <w:t>燃气灶具</w:t>
      </w:r>
      <w:r>
        <w:rPr>
          <w:rFonts w:hint="eastAsia" w:ascii="仿宋_GB2312" w:hAnsi="仿宋_GB2312" w:eastAsia="仿宋_GB2312" w:cs="仿宋_GB2312"/>
          <w:color w:val="auto"/>
          <w:kern w:val="2"/>
          <w:sz w:val="28"/>
          <w:szCs w:val="28"/>
          <w:lang w:val="en-US" w:eastAsia="zh-CN" w:bidi="ar-SA"/>
        </w:rPr>
        <w:t>产品质量监督抽查实施细则》、《2024年达拉特旗市场监督管理局</w:t>
      </w:r>
      <w:r>
        <w:rPr>
          <w:rFonts w:hint="eastAsia" w:ascii="仿宋_GB2312" w:hAnsi="仿宋_GB2312" w:eastAsia="仿宋_GB2312" w:cs="仿宋_GB2312"/>
          <w:kern w:val="2"/>
          <w:sz w:val="28"/>
          <w:szCs w:val="28"/>
          <w:lang w:val="en-US" w:eastAsia="zh-CN" w:bidi="ar"/>
        </w:rPr>
        <w:t>食品相关</w:t>
      </w:r>
      <w:r>
        <w:rPr>
          <w:rFonts w:hint="eastAsia" w:ascii="仿宋_GB2312" w:hAnsi="仿宋_GB2312" w:eastAsia="仿宋_GB2312" w:cs="仿宋_GB2312"/>
          <w:color w:val="auto"/>
          <w:kern w:val="2"/>
          <w:sz w:val="28"/>
          <w:szCs w:val="28"/>
          <w:lang w:val="en-US" w:eastAsia="zh-CN" w:bidi="ar-SA"/>
        </w:rPr>
        <w:t>产品质量监督抽查实施细则》</w:t>
      </w:r>
      <w:r>
        <w:rPr>
          <w:rFonts w:hint="eastAsia" w:ascii="仿宋_GB2312" w:hAnsi="仿宋_GB2312" w:eastAsia="仿宋_GB2312" w:cs="仿宋_GB2312"/>
          <w:color w:val="auto"/>
          <w:sz w:val="28"/>
          <w:szCs w:val="28"/>
          <w:lang w:val="en-US" w:eastAsia="zh-CN"/>
        </w:rPr>
        <w:t>相关规定开展，严格规范抽检程序，不得随意抽检。</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（二）抽样人员应规范着装持证，按方案规定抽取样品。</w:t>
      </w:r>
      <w:r>
        <w:rPr>
          <w:rFonts w:hint="eastAsia" w:ascii="仿宋_GB2312" w:hAnsi="仿宋_GB2312" w:eastAsia="仿宋_GB2312" w:cs="仿宋_GB2312"/>
          <w:color w:val="auto"/>
          <w:sz w:val="28"/>
          <w:szCs w:val="28"/>
          <w:lang w:val="en-US" w:eastAsia="zh-CN"/>
        </w:rPr>
        <w:t>实行抽检分离制度。除现场检验外，抽样人员不得承担其抽样产品的检验工作。</w:t>
      </w:r>
      <w:r>
        <w:rPr>
          <w:rFonts w:hint="eastAsia" w:ascii="仿宋_GB2312" w:hAnsi="仿宋_GB2312" w:eastAsia="仿宋_GB2312" w:cs="仿宋_GB2312"/>
          <w:color w:val="auto"/>
          <w:sz w:val="28"/>
          <w:szCs w:val="28"/>
        </w:rPr>
        <w:t>要确保样品的代表性、科学性，要覆盖高中低档及一定的品牌、场所；要对样品进行确认，确保检测样品与备检样品为同一规格型号/生产批次；要认真填写抽样工作单，要求字迹清晰，信息完整，须与产品标签内容完全一致，应标明样品类别及样品等级，不得缺项、漏项，销售者及抽样人员要现场签字确认；要对样品进行现场拍照留存，样品运输要保证样品的完整与安全；对被抽检经营者要履行好告之义务，保护好经营者合法权益。</w:t>
      </w:r>
    </w:p>
    <w:p>
      <w:pPr>
        <w:keepNext w:val="0"/>
        <w:keepLines w:val="0"/>
        <w:pageBreakBefore w:val="0"/>
        <w:widowControl w:val="0"/>
        <w:kinsoku/>
        <w:wordWrap/>
        <w:overflowPunct/>
        <w:topLinePunct/>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（三）承检机构应当在委托范围内开展抽样、检验工作，保证抽样、检验工作及其结果的客观、公正、真实。</w:t>
      </w:r>
    </w:p>
    <w:p>
      <w:pPr>
        <w:keepNext w:val="0"/>
        <w:keepLines w:val="0"/>
        <w:pageBreakBefore w:val="0"/>
        <w:widowControl/>
        <w:tabs>
          <w:tab w:val="left" w:pos="720"/>
        </w:tabs>
        <w:kinsoku/>
        <w:wordWrap/>
        <w:overflowPunct/>
        <w:bidi w:val="0"/>
        <w:adjustRightInd w:val="0"/>
        <w:snapToGrid w:val="0"/>
        <w:spacing w:line="360" w:lineRule="auto"/>
        <w:ind w:firstLine="562" w:firstLineChars="200"/>
        <w:jc w:val="left"/>
        <w:outlineLvl w:val="0"/>
        <w:rPr>
          <w:rFonts w:hint="eastAsia" w:ascii="黑体" w:hAnsi="黑体" w:eastAsia="黑体" w:cs="黑体"/>
          <w:b/>
          <w:color w:val="auto"/>
          <w:sz w:val="28"/>
          <w:szCs w:val="28"/>
          <w:lang w:val="en-US" w:eastAsia="zh-CN"/>
        </w:rPr>
      </w:pPr>
      <w:r>
        <w:rPr>
          <w:rFonts w:hint="eastAsia" w:ascii="黑体" w:hAnsi="黑体" w:eastAsia="黑体" w:cs="黑体"/>
          <w:b/>
          <w:color w:val="auto"/>
          <w:sz w:val="28"/>
          <w:szCs w:val="28"/>
          <w:lang w:val="en-US" w:eastAsia="zh-CN"/>
        </w:rPr>
        <w:t>九、其他应注意的事项</w:t>
      </w:r>
    </w:p>
    <w:p>
      <w:pPr>
        <w:keepNext w:val="0"/>
        <w:keepLines w:val="0"/>
        <w:pageBreakBefore w:val="0"/>
        <w:widowControl w:val="0"/>
        <w:kinsoku/>
        <w:wordWrap/>
        <w:overflowPunct/>
        <w:autoSpaceDE/>
        <w:autoSpaceDN/>
        <w:bidi w:val="0"/>
        <w:snapToGrid w:val="0"/>
        <w:spacing w:line="360" w:lineRule="auto"/>
        <w:ind w:firstLine="56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t>异议处理</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对判定不合格产品进行异议处理时，按以下方式进行：</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核查不合格项目相关证据，能够以记录（纸质记录或电子记录或影像记录）或与不合格项目相关联的其它质量数据等检验证据证明，并得到被检方认可的，维持原有检验结论不变。</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对需要复检并具备检验条件的，处理企业异议的市场监督管理部门或者指定检验机构应当按原监督抽查方案对留存的样品或抽取的备用样品组织复检，并出具检验报告。复检结论为最终结论。</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被抽样生产者、销售者有异议的，应当自收到检验结论书面告知之日起十五日内向组织监督抽查的市场监督管理部门提出书面异议处理申请，并提交相关材料。</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被抽样生产者、销售者对抽样过程、样品真实性等有异议的，收到异议处理申请的市场监督管理部门应当组织异议处理，并将处理结论书面告知申请人。</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被抽样生产者、销售者对检验结论有异议，提出书面复检申请并阐明理由的，收到异议处理申请的市场监督管理部门应当组织研究。对需要复检并具备检验条件的，应当组织复检。</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除不以破坏性试验方式进行检验，并且不会对样品质量造成实质性影响的外，组织复检的市场监督管理部门应当向被抽样生产者、销售者支付备用样品费用。</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申请人应当自收到市场监督管理部门复检通知之日起七日内办理复检手续。逾期未办理的，视为放弃复检。</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市场监督管理部门应当自申请人办理复检手续之日起十日内确定具备相应资质的检验机构进行复检。</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被抽样生产者、销售者隐匿、转移、变卖、损毁备用样品的，应当终止复检，并以初检结论为最终结论。</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复检机构应当通过拍照或者录像的方式检查记录备用样品的外观、状态、封条有无破损以及其他可能对检验结论产生影响的情形，并核对备用样品与抽样文书的记录是否相符。</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复检机构应当在规定时间内按照监督抽查实施规范所规定的检验方法、判定规则等对与异议相关的检验项目进行复检，并将复检结论及时报送组织复检的市场监督管理部门，由组织复检的市场监督管理部门书面告知复检申请人。复检结论为最终结论。</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复检费用由申请人向复检机构先行支付。复检结论与初检结论一致的，复检费用由申请人承担；与初检结论不一致的，复检费用由组织监督抽查的市场监督管理部门承担。</w:t>
      </w:r>
    </w:p>
    <w:p>
      <w:pPr>
        <w:keepNext w:val="0"/>
        <w:keepLines w:val="0"/>
        <w:pageBreakBefore w:val="0"/>
        <w:widowControl w:val="0"/>
        <w:kinsoku/>
        <w:wordWrap/>
        <w:overflowPunct/>
        <w:autoSpaceDE/>
        <w:autoSpaceDN/>
        <w:bidi w:val="0"/>
        <w:snapToGrid w:val="0"/>
        <w:spacing w:line="360" w:lineRule="auto"/>
        <w:ind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2、有下列情形之一的，抽样人员不得抽样：</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（一）待销产品数量不符合监督抽查实施规范要求的；</w:t>
      </w:r>
    </w:p>
    <w:p>
      <w:pPr>
        <w:pStyle w:val="15"/>
        <w:keepNext w:val="0"/>
        <w:keepLines w:val="0"/>
        <w:pageBreakBefore w:val="0"/>
        <w:widowControl w:val="0"/>
        <w:numPr>
          <w:ilvl w:val="0"/>
          <w:numId w:val="0"/>
        </w:numPr>
        <w:kinsoku/>
        <w:wordWrap/>
        <w:overflowPunct/>
        <w:autoSpaceDE/>
        <w:autoSpaceDN/>
        <w:bidi w:val="0"/>
        <w:snapToGrid w:val="0"/>
        <w:spacing w:line="360" w:lineRule="auto"/>
        <w:ind w:leftChars="0" w:firstLine="560" w:firstLineChars="200"/>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（二）有充分证据表明拟抽样产品不用于销售，或者只用于出口并且出口合同对产品质量另有约定的；</w:t>
      </w:r>
    </w:p>
    <w:p>
      <w:pPr>
        <w:pStyle w:val="15"/>
        <w:keepNext w:val="0"/>
        <w:keepLines w:val="0"/>
        <w:pageBreakBefore w:val="0"/>
        <w:numPr>
          <w:ilvl w:val="0"/>
          <w:numId w:val="0"/>
        </w:numPr>
        <w:kinsoku/>
        <w:wordWrap/>
        <w:overflowPunct/>
        <w:bidi w:val="0"/>
        <w:snapToGrid w:val="0"/>
        <w:spacing w:line="360" w:lineRule="auto"/>
        <w:ind w:leftChars="0" w:firstLine="560" w:firstLineChars="20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（三）产品或者其包装上标注“试制”、“处理”、“样品”等字样的。</w:t>
      </w:r>
    </w:p>
    <w:p>
      <w:pPr>
        <w:pStyle w:val="15"/>
        <w:keepNext w:val="0"/>
        <w:keepLines w:val="0"/>
        <w:pageBreakBefore w:val="0"/>
        <w:numPr>
          <w:ilvl w:val="0"/>
          <w:numId w:val="0"/>
        </w:numPr>
        <w:kinsoku/>
        <w:wordWrap/>
        <w:overflowPunct/>
        <w:bidi w:val="0"/>
        <w:snapToGrid w:val="0"/>
        <w:spacing w:line="360" w:lineRule="auto"/>
        <w:ind w:leftChars="0" w:firstLine="560" w:firstLineChars="200"/>
        <w:jc w:val="left"/>
        <w:rPr>
          <w:rFonts w:hint="eastAsia" w:ascii="仿宋_GB2312" w:hAnsi="仿宋_GB2312" w:eastAsia="仿宋_GB2312" w:cs="仿宋_GB2312"/>
          <w:color w:val="auto"/>
          <w:kern w:val="2"/>
          <w:sz w:val="28"/>
          <w:szCs w:val="28"/>
          <w:lang w:val="en-US" w:eastAsia="zh-CN" w:bidi="ar-SA"/>
        </w:rPr>
      </w:pPr>
      <w:bookmarkStart w:id="0" w:name="_GoBack"/>
      <w:bookmarkEnd w:id="0"/>
    </w:p>
    <w:p>
      <w:pPr>
        <w:pStyle w:val="15"/>
        <w:keepNext w:val="0"/>
        <w:keepLines w:val="0"/>
        <w:pageBreakBefore w:val="0"/>
        <w:numPr>
          <w:ilvl w:val="0"/>
          <w:numId w:val="0"/>
        </w:numPr>
        <w:kinsoku/>
        <w:wordWrap w:val="0"/>
        <w:overflowPunct/>
        <w:bidi w:val="0"/>
        <w:snapToGrid w:val="0"/>
        <w:spacing w:line="360" w:lineRule="auto"/>
        <w:ind w:leftChars="0" w:firstLine="560" w:firstLineChars="200"/>
        <w:jc w:val="righ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达拉特旗市场监督管理局    </w:t>
      </w:r>
    </w:p>
    <w:p>
      <w:pPr>
        <w:pStyle w:val="15"/>
        <w:keepNext w:val="0"/>
        <w:keepLines w:val="0"/>
        <w:pageBreakBefore w:val="0"/>
        <w:numPr>
          <w:ilvl w:val="0"/>
          <w:numId w:val="0"/>
        </w:numPr>
        <w:kinsoku/>
        <w:wordWrap w:val="0"/>
        <w:overflowPunct/>
        <w:bidi w:val="0"/>
        <w:snapToGrid w:val="0"/>
        <w:spacing w:line="360" w:lineRule="auto"/>
        <w:ind w:leftChars="0" w:firstLine="560" w:firstLineChars="200"/>
        <w:jc w:val="righ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 xml:space="preserve">2024年11月13日     </w:t>
      </w:r>
    </w:p>
    <w:p>
      <w:pPr>
        <w:pStyle w:val="14"/>
        <w:keepNext w:val="0"/>
        <w:keepLines w:val="0"/>
        <w:pageBreakBefore w:val="0"/>
        <w:kinsoku/>
        <w:wordWrap/>
        <w:overflowPunct/>
        <w:bidi w:val="0"/>
        <w:snapToGrid w:val="0"/>
        <w:spacing w:line="360" w:lineRule="auto"/>
        <w:rPr>
          <w:rFonts w:hint="eastAsia" w:ascii="宋体" w:hAnsi="宋体" w:eastAsia="宋体" w:cs="宋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YzcwYjY4YmY4YWZlMThmMTNlMDVkNjdhYTM0ZDkifQ=="/>
  </w:docVars>
  <w:rsids>
    <w:rsidRoot w:val="4182417B"/>
    <w:rsid w:val="01CF59E8"/>
    <w:rsid w:val="01F14E30"/>
    <w:rsid w:val="07E4752D"/>
    <w:rsid w:val="0ABF7EE6"/>
    <w:rsid w:val="1484537B"/>
    <w:rsid w:val="14FE4DDE"/>
    <w:rsid w:val="16D637EF"/>
    <w:rsid w:val="17874F94"/>
    <w:rsid w:val="1B73636E"/>
    <w:rsid w:val="241910E8"/>
    <w:rsid w:val="2D643517"/>
    <w:rsid w:val="32CD1473"/>
    <w:rsid w:val="33C67045"/>
    <w:rsid w:val="3A9207F8"/>
    <w:rsid w:val="3DCF4840"/>
    <w:rsid w:val="3DF37E83"/>
    <w:rsid w:val="4182417B"/>
    <w:rsid w:val="4F7E6842"/>
    <w:rsid w:val="5314122E"/>
    <w:rsid w:val="53271787"/>
    <w:rsid w:val="645070A6"/>
    <w:rsid w:val="665F48FF"/>
    <w:rsid w:val="6B4868BA"/>
    <w:rsid w:val="6F16157F"/>
    <w:rsid w:val="74AE7C10"/>
    <w:rsid w:val="79A250CF"/>
    <w:rsid w:val="7A30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jc w:val="center"/>
      <w:outlineLvl w:val="0"/>
    </w:pPr>
    <w:rPr>
      <w:rFonts w:ascii="楷体_GB2312"/>
      <w:sz w:val="21"/>
      <w:szCs w:val="20"/>
    </w:rPr>
  </w:style>
  <w:style w:type="paragraph" w:styleId="3">
    <w:name w:val="toc 8"/>
    <w:basedOn w:val="1"/>
    <w:next w:val="1"/>
    <w:autoRedefine/>
    <w:qFormat/>
    <w:uiPriority w:val="0"/>
    <w:pPr>
      <w:spacing w:line="360" w:lineRule="auto"/>
      <w:ind w:left="2940" w:leftChars="1400" w:firstLine="480" w:firstLineChars="200"/>
    </w:pPr>
    <w:rPr>
      <w:rFonts w:ascii="宋体"/>
      <w:sz w:val="24"/>
      <w:szCs w:val="24"/>
    </w:rPr>
  </w:style>
  <w:style w:type="paragraph" w:styleId="4">
    <w:name w:val="Body Text"/>
    <w:basedOn w:val="1"/>
    <w:next w:val="5"/>
    <w:qFormat/>
    <w:uiPriority w:val="0"/>
    <w:pPr>
      <w:spacing w:after="120" w:afterLines="0"/>
    </w:pPr>
  </w:style>
  <w:style w:type="paragraph" w:styleId="5">
    <w:name w:val="Body Text First Indent"/>
    <w:basedOn w:val="4"/>
    <w:next w:val="6"/>
    <w:qFormat/>
    <w:uiPriority w:val="0"/>
    <w:pPr>
      <w:tabs>
        <w:tab w:val="left" w:pos="0"/>
        <w:tab w:val="left" w:pos="993"/>
        <w:tab w:val="left" w:pos="1134"/>
      </w:tabs>
      <w:ind w:firstLine="420" w:firstLineChars="100"/>
    </w:pPr>
    <w:rPr>
      <w:rFonts w:ascii="宋体" w:hAnsi="宋体" w:cs="Times New Roman"/>
      <w:sz w:val="24"/>
      <w:szCs w:val="24"/>
    </w:rPr>
  </w:style>
  <w:style w:type="paragraph" w:styleId="6">
    <w:name w:val="Body Text First Indent 2"/>
    <w:basedOn w:val="7"/>
    <w:next w:val="1"/>
    <w:autoRedefine/>
    <w:qFormat/>
    <w:uiPriority w:val="0"/>
    <w:pPr>
      <w:spacing w:after="120" w:line="240" w:lineRule="auto"/>
      <w:ind w:left="200" w:leftChars="200" w:firstLine="200" w:firstLineChars="200"/>
    </w:pPr>
  </w:style>
  <w:style w:type="paragraph" w:styleId="7">
    <w:name w:val="Body Text Indent"/>
    <w:basedOn w:val="1"/>
    <w:next w:val="2"/>
    <w:autoRedefine/>
    <w:qFormat/>
    <w:uiPriority w:val="0"/>
    <w:pPr>
      <w:spacing w:line="500" w:lineRule="exact"/>
      <w:ind w:left="1588" w:leftChars="832" w:firstLine="433" w:firstLineChars="196"/>
    </w:pPr>
    <w:rPr>
      <w:sz w:val="2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basedOn w:val="1"/>
    <w:qFormat/>
    <w:uiPriority w:val="1"/>
    <w:pPr>
      <w:spacing w:line="400" w:lineRule="exact"/>
    </w:pPr>
    <w:rPr>
      <w:rFonts w:ascii="Calibri" w:hAnsi="Calibri" w:eastAsia="宋体" w:cs="Times New Roman"/>
      <w:sz w:val="24"/>
      <w:szCs w:val="24"/>
    </w:rPr>
  </w:style>
  <w:style w:type="paragraph" w:customStyle="1" w:styleId="14">
    <w:name w:val="列出段落1"/>
    <w:basedOn w:val="1"/>
    <w:next w:val="1"/>
    <w:qFormat/>
    <w:uiPriority w:val="99"/>
    <w:pPr>
      <w:ind w:firstLine="420" w:firstLineChars="200"/>
    </w:p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1077</Words>
  <Characters>1306</Characters>
  <Lines>1</Lines>
  <Paragraphs>1</Paragraphs>
  <TotalTime>11</TotalTime>
  <ScaleCrop>false</ScaleCrop>
  <LinksUpToDate>false</LinksUpToDate>
  <CharactersWithSpaces>1327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2024-05-15T01:09:00Z</dcterms:created>
  <dc:creator>山在那里</dc:creator>
  <cp:lastModifiedBy>糯米果专卖</cp:lastModifiedBy>
  <dcterms:modified xsi:type="dcterms:W3CDTF">2024-11-13T07:31:14Z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03DEC775BB1A4069B53BD3F9BDC5DC69_13</vt:lpwstr>
  </property>
</Properties>
</file>