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2" w:line="388" w:lineRule="auto"/>
        <w:ind w:left="519" w:leftChars="236" w:right="1280" w:firstLine="620" w:firstLineChars="100"/>
        <w:jc w:val="left"/>
        <w:rPr>
          <w:rFonts w:hint="eastAsia" w:ascii="宋体" w:hAnsi="宋体" w:eastAsia="宋体" w:cs="宋体"/>
          <w:w w:val="125"/>
          <w:sz w:val="52"/>
          <w:lang w:val="en-US" w:eastAsia="zh-CN"/>
        </w:rPr>
      </w:pPr>
      <w:r>
        <w:rPr>
          <w:rFonts w:hint="eastAsia" w:ascii="宋体" w:hAnsi="宋体" w:eastAsia="宋体" w:cs="宋体"/>
          <w:spacing w:val="24"/>
          <w:w w:val="110"/>
          <w:sz w:val="52"/>
        </w:rPr>
        <w:t>鄂尔多斯市</w:t>
      </w:r>
      <w:r>
        <w:rPr>
          <w:rFonts w:hint="eastAsia" w:ascii="宋体" w:hAnsi="宋体" w:eastAsia="宋体" w:cs="宋体"/>
          <w:w w:val="125"/>
          <w:sz w:val="52"/>
          <w:lang w:val="en-US" w:eastAsia="zh-CN"/>
        </w:rPr>
        <w:t>达拉特旗</w:t>
      </w:r>
    </w:p>
    <w:p>
      <w:pPr>
        <w:spacing w:before="32" w:line="388" w:lineRule="auto"/>
        <w:ind w:left="1169" w:leftChars="236" w:right="1280" w:hanging="650" w:hangingChars="100"/>
        <w:jc w:val="left"/>
        <w:rPr>
          <w:rFonts w:hint="eastAsia" w:ascii="宋体" w:eastAsia="宋体"/>
          <w:sz w:val="52"/>
        </w:rPr>
      </w:pPr>
      <w:r>
        <w:rPr>
          <w:rFonts w:hint="eastAsia" w:ascii="宋体" w:eastAsia="宋体"/>
          <w:w w:val="125"/>
          <w:sz w:val="52"/>
          <w:lang w:val="en-US" w:eastAsia="zh-CN"/>
        </w:rPr>
        <w:t>城市管理综合行政执法</w:t>
      </w:r>
      <w:r>
        <w:rPr>
          <w:rFonts w:hint="eastAsia" w:ascii="宋体" w:eastAsia="宋体"/>
          <w:spacing w:val="-209"/>
          <w:w w:val="125"/>
          <w:sz w:val="52"/>
        </w:rPr>
        <w:t xml:space="preserve"> </w:t>
      </w:r>
      <w:r>
        <w:rPr>
          <w:rFonts w:hint="eastAsia" w:ascii="宋体" w:eastAsia="宋体"/>
          <w:w w:val="110"/>
          <w:sz w:val="52"/>
        </w:rPr>
        <w:t>局</w:t>
      </w:r>
      <w:r>
        <w:rPr>
          <w:rFonts w:hint="eastAsia" w:ascii="宋体" w:eastAsia="宋体"/>
          <w:w w:val="105"/>
          <w:sz w:val="52"/>
        </w:rPr>
        <w:t>20</w:t>
      </w:r>
      <w:r>
        <w:rPr>
          <w:rFonts w:hint="eastAsia" w:ascii="宋体" w:eastAsia="宋体"/>
          <w:w w:val="105"/>
          <w:sz w:val="52"/>
          <w:lang w:val="en-US" w:eastAsia="zh-CN"/>
        </w:rPr>
        <w:t>23</w:t>
      </w:r>
      <w:r>
        <w:rPr>
          <w:rFonts w:hint="eastAsia" w:ascii="宋体" w:eastAsia="宋体"/>
          <w:spacing w:val="-23"/>
          <w:w w:val="105"/>
          <w:sz w:val="52"/>
        </w:rPr>
        <w:t>年度部门预算公开报告</w:t>
      </w: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36"/>
        </w:rPr>
      </w:pPr>
    </w:p>
    <w:p>
      <w:pPr>
        <w:pStyle w:val="3"/>
        <w:rPr>
          <w:rFonts w:ascii="宋体"/>
          <w:sz w:val="36"/>
        </w:rPr>
      </w:pPr>
    </w:p>
    <w:p>
      <w:pPr>
        <w:pStyle w:val="3"/>
        <w:tabs>
          <w:tab w:val="left" w:pos="1358"/>
          <w:tab w:val="left" w:pos="1999"/>
        </w:tabs>
        <w:ind w:right="398" w:firstLine="4480" w:firstLineChars="1400"/>
        <w:jc w:val="both"/>
      </w:pPr>
      <w:r>
        <w:t>202</w:t>
      </w:r>
      <w:r>
        <w:rPr>
          <w:rFonts w:hint="eastAsia"/>
          <w:lang w:val="en-US" w:eastAsia="zh-CN"/>
        </w:rPr>
        <w:t>3</w:t>
      </w:r>
      <w:r>
        <w:t>年</w:t>
      </w:r>
      <w:r>
        <w:tab/>
      </w:r>
      <w:r>
        <w:rPr>
          <w:rFonts w:hint="eastAsia"/>
          <w:lang w:val="en-US" w:eastAsia="zh-CN"/>
        </w:rPr>
        <w:t>1</w:t>
      </w:r>
      <w:r>
        <w:t>月</w:t>
      </w:r>
      <w:r>
        <w:rPr>
          <w:rFonts w:hint="eastAsia"/>
          <w:lang w:val="en-US" w:eastAsia="zh-CN"/>
        </w:rPr>
        <w:t>30</w:t>
      </w:r>
      <w:r>
        <w:t>日</w:t>
      </w:r>
    </w:p>
    <w:p>
      <w:pPr>
        <w:spacing w:after="0"/>
        <w:jc w:val="center"/>
        <w:sectPr>
          <w:footerReference r:id="rId5" w:type="default"/>
          <w:pgSz w:w="12240" w:h="15840"/>
          <w:pgMar w:top="1500" w:right="1540" w:bottom="1120" w:left="1700" w:header="720" w:footer="927" w:gutter="0"/>
          <w:pgNumType w:start="1"/>
          <w:cols w:space="720" w:num="1"/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9"/>
        <w:rPr>
          <w:sz w:val="18"/>
        </w:rPr>
      </w:pPr>
    </w:p>
    <w:p>
      <w:pPr>
        <w:spacing w:before="44"/>
        <w:ind w:left="0" w:right="160" w:firstLine="0"/>
        <w:jc w:val="center"/>
        <w:rPr>
          <w:b/>
          <w:sz w:val="40"/>
        </w:rPr>
      </w:pPr>
      <w:r>
        <w:rPr>
          <w:b/>
          <w:sz w:val="40"/>
        </w:rPr>
        <w:t>部门预算信息公开目录</w:t>
      </w:r>
    </w:p>
    <w:p>
      <w:pPr>
        <w:pStyle w:val="3"/>
        <w:spacing w:before="7"/>
        <w:rPr>
          <w:b/>
          <w:sz w:val="50"/>
        </w:rPr>
      </w:pPr>
    </w:p>
    <w:p>
      <w:pPr>
        <w:tabs>
          <w:tab w:val="left" w:pos="1705"/>
        </w:tabs>
        <w:spacing w:before="0" w:line="316" w:lineRule="auto"/>
        <w:ind w:left="740" w:right="5379" w:hanging="641"/>
        <w:jc w:val="left"/>
        <w:rPr>
          <w:sz w:val="32"/>
        </w:rPr>
      </w:pPr>
      <w:r>
        <w:rPr>
          <w:b/>
          <w:sz w:val="32"/>
        </w:rPr>
        <w:t>第一部分</w:t>
      </w:r>
      <w:r>
        <w:rPr>
          <w:b/>
          <w:sz w:val="32"/>
        </w:rPr>
        <w:tab/>
      </w:r>
      <w:r>
        <w:rPr>
          <w:b/>
          <w:sz w:val="32"/>
        </w:rPr>
        <w:t>本部门概况</w:t>
      </w:r>
      <w:r>
        <w:rPr>
          <w:sz w:val="32"/>
        </w:rPr>
        <w:t>一、主要职能、职</w:t>
      </w:r>
      <w:r>
        <w:rPr>
          <w:spacing w:val="-15"/>
          <w:sz w:val="32"/>
        </w:rPr>
        <w:t>责</w:t>
      </w:r>
    </w:p>
    <w:p>
      <w:pPr>
        <w:pStyle w:val="3"/>
        <w:spacing w:line="408" w:lineRule="exact"/>
        <w:ind w:left="740"/>
      </w:pPr>
      <w:r>
        <w:t>二、机构设置及人员基本情况</w:t>
      </w:r>
    </w:p>
    <w:p>
      <w:pPr>
        <w:pStyle w:val="3"/>
      </w:pPr>
    </w:p>
    <w:p>
      <w:pPr>
        <w:tabs>
          <w:tab w:val="left" w:pos="1705"/>
        </w:tabs>
        <w:spacing w:before="260" w:line="316" w:lineRule="auto"/>
        <w:ind w:left="740" w:right="3678" w:hanging="641"/>
        <w:jc w:val="left"/>
        <w:rPr>
          <w:sz w:val="32"/>
        </w:rPr>
      </w:pPr>
      <w:r>
        <w:rPr>
          <w:b/>
          <w:sz w:val="32"/>
        </w:rPr>
        <w:t>第二部分</w:t>
      </w:r>
      <w:r>
        <w:rPr>
          <w:b/>
          <w:sz w:val="32"/>
        </w:rPr>
        <w:tab/>
      </w:r>
      <w:r>
        <w:rPr>
          <w:b/>
          <w:sz w:val="32"/>
        </w:rPr>
        <w:t>20</w:t>
      </w:r>
      <w:r>
        <w:rPr>
          <w:rFonts w:hint="eastAsia"/>
          <w:b/>
          <w:sz w:val="32"/>
          <w:lang w:val="en-US" w:eastAsia="zh-CN"/>
        </w:rPr>
        <w:t>23</w:t>
      </w:r>
      <w:r>
        <w:rPr>
          <w:b/>
          <w:sz w:val="32"/>
        </w:rPr>
        <w:t>年部门预算收支情</w:t>
      </w:r>
      <w:r>
        <w:rPr>
          <w:b/>
          <w:spacing w:val="-11"/>
          <w:sz w:val="32"/>
        </w:rPr>
        <w:t>况</w:t>
      </w:r>
      <w:r>
        <w:rPr>
          <w:sz w:val="32"/>
        </w:rPr>
        <w:t>一、部门预算收支总体情况说明</w:t>
      </w:r>
    </w:p>
    <w:p>
      <w:pPr>
        <w:pStyle w:val="3"/>
        <w:spacing w:line="408" w:lineRule="exact"/>
        <w:ind w:left="740"/>
      </w:pPr>
      <w:r>
        <w:t>二、一般公共预算财政拨款收支情况说明</w:t>
      </w:r>
    </w:p>
    <w:p>
      <w:pPr>
        <w:pStyle w:val="3"/>
        <w:spacing w:before="130" w:line="316" w:lineRule="auto"/>
        <w:ind w:left="740" w:right="1380"/>
      </w:pPr>
      <w:r>
        <w:t>三、20</w:t>
      </w:r>
      <w:r>
        <w:rPr>
          <w:rFonts w:hint="eastAsia"/>
          <w:lang w:val="en-US" w:eastAsia="zh-CN"/>
        </w:rPr>
        <w:t>23</w:t>
      </w:r>
      <w:r>
        <w:t xml:space="preserve"> 年“三公”经费财政预算安排情况说明四、机关运行经费安排情况说明</w:t>
      </w:r>
    </w:p>
    <w:p>
      <w:pPr>
        <w:pStyle w:val="3"/>
        <w:spacing w:line="408" w:lineRule="exact"/>
        <w:ind w:left="740"/>
      </w:pPr>
      <w:r>
        <w:t>五、政府采购预算情况说明</w:t>
      </w:r>
    </w:p>
    <w:p>
      <w:pPr>
        <w:pStyle w:val="3"/>
        <w:spacing w:before="130"/>
        <w:ind w:left="740"/>
      </w:pPr>
      <w:r>
        <w:t>六、政府性基金预算财政拨款支出情况说明</w:t>
      </w:r>
    </w:p>
    <w:p>
      <w:pPr>
        <w:pStyle w:val="3"/>
        <w:spacing w:before="12"/>
        <w:rPr>
          <w:sz w:val="33"/>
        </w:rPr>
      </w:pPr>
    </w:p>
    <w:p>
      <w:pPr>
        <w:pStyle w:val="2"/>
        <w:tabs>
          <w:tab w:val="left" w:pos="1705"/>
        </w:tabs>
        <w:ind w:left="100"/>
      </w:pPr>
      <w:r>
        <w:t>第三部分</w:t>
      </w:r>
      <w:r>
        <w:tab/>
      </w:r>
      <w:r>
        <w:t>其他公开事项</w:t>
      </w:r>
    </w:p>
    <w:p>
      <w:pPr>
        <w:pStyle w:val="3"/>
        <w:spacing w:before="116" w:line="316" w:lineRule="auto"/>
        <w:ind w:left="740" w:right="3779"/>
      </w:pPr>
      <w:r>
        <w:t>一、项目支出绩效目标情况说明二、国有资产占有使用情况说明</w:t>
      </w:r>
    </w:p>
    <w:p>
      <w:pPr>
        <w:pStyle w:val="2"/>
        <w:tabs>
          <w:tab w:val="left" w:pos="1705"/>
        </w:tabs>
        <w:spacing w:before="260"/>
      </w:pPr>
      <w:r>
        <w:t>第四部分</w:t>
      </w:r>
      <w:r>
        <w:tab/>
      </w:r>
      <w:r>
        <w:t>名词解释</w:t>
      </w:r>
    </w:p>
    <w:p>
      <w:pPr>
        <w:tabs>
          <w:tab w:val="left" w:pos="1705"/>
        </w:tabs>
        <w:spacing w:before="144"/>
        <w:ind w:left="100" w:right="0" w:firstLine="0"/>
        <w:jc w:val="left"/>
        <w:rPr>
          <w:sz w:val="32"/>
        </w:rPr>
        <w:sectPr>
          <w:pgSz w:w="12240" w:h="15840"/>
          <w:pgMar w:top="1500" w:right="1540" w:bottom="1120" w:left="1700" w:header="0" w:footer="927" w:gutter="0"/>
          <w:cols w:space="720" w:num="1"/>
        </w:sectPr>
      </w:pPr>
      <w:r>
        <w:rPr>
          <w:b/>
          <w:sz w:val="32"/>
        </w:rPr>
        <w:t>第五部分</w:t>
      </w:r>
      <w:r>
        <w:rPr>
          <w:b/>
          <w:sz w:val="32"/>
        </w:rPr>
        <w:tab/>
      </w:r>
      <w:r>
        <w:rPr>
          <w:b/>
          <w:sz w:val="32"/>
        </w:rPr>
        <w:t>预算公开联系方式及信息反馈</w:t>
      </w:r>
    </w:p>
    <w:p>
      <w:pPr>
        <w:tabs>
          <w:tab w:val="left" w:pos="1705"/>
        </w:tabs>
        <w:spacing w:before="69" w:line="326" w:lineRule="auto"/>
        <w:ind w:right="3699"/>
        <w:jc w:val="left"/>
        <w:rPr>
          <w:sz w:val="32"/>
        </w:rPr>
      </w:pPr>
      <w:r>
        <w:rPr>
          <w:b/>
          <w:sz w:val="32"/>
        </w:rPr>
        <w:t>第六部分</w:t>
      </w:r>
      <w:r>
        <w:rPr>
          <w:b/>
          <w:sz w:val="32"/>
        </w:rPr>
        <w:tab/>
      </w:r>
      <w:r>
        <w:rPr>
          <w:b/>
          <w:sz w:val="32"/>
        </w:rPr>
        <w:t>20</w:t>
      </w:r>
      <w:r>
        <w:rPr>
          <w:rFonts w:hint="eastAsia"/>
          <w:b/>
          <w:sz w:val="32"/>
          <w:lang w:val="en-US" w:eastAsia="zh-CN"/>
        </w:rPr>
        <w:t>23</w:t>
      </w:r>
      <w:r>
        <w:rPr>
          <w:b/>
          <w:sz w:val="32"/>
        </w:rPr>
        <w:t>年部门预算公开表</w:t>
      </w:r>
      <w:r>
        <w:rPr>
          <w:rFonts w:hint="eastAsia"/>
          <w:b/>
          <w:sz w:val="32"/>
          <w:lang w:val="en-US" w:eastAsia="zh-CN"/>
        </w:rPr>
        <w:t xml:space="preserve"> </w:t>
      </w:r>
      <w:r>
        <w:rPr>
          <w:sz w:val="32"/>
        </w:rPr>
        <w:t>一、20</w:t>
      </w:r>
      <w:r>
        <w:rPr>
          <w:rFonts w:hint="eastAsia"/>
          <w:sz w:val="32"/>
          <w:lang w:val="en-US" w:eastAsia="zh-CN"/>
        </w:rPr>
        <w:t>23年</w:t>
      </w:r>
      <w:r>
        <w:rPr>
          <w:spacing w:val="-86"/>
          <w:sz w:val="32"/>
        </w:rPr>
        <w:t xml:space="preserve"> </w:t>
      </w:r>
      <w:r>
        <w:rPr>
          <w:sz w:val="32"/>
        </w:rPr>
        <w:t>财政拨款收支预算</w:t>
      </w:r>
      <w:r>
        <w:rPr>
          <w:spacing w:val="-13"/>
          <w:sz w:val="32"/>
        </w:rPr>
        <w:t>表</w:t>
      </w:r>
    </w:p>
    <w:p>
      <w:pPr>
        <w:pStyle w:val="3"/>
        <w:spacing w:before="4"/>
        <w:ind w:left="740"/>
      </w:pPr>
      <w:r>
        <w:t>二、20</w:t>
      </w:r>
      <w:r>
        <w:rPr>
          <w:rFonts w:hint="eastAsia"/>
          <w:lang w:val="en-US" w:eastAsia="zh-CN"/>
        </w:rPr>
        <w:t>23</w:t>
      </w:r>
      <w:r>
        <w:t xml:space="preserve"> 年一般公共预算财政拨款支出预算表</w:t>
      </w:r>
    </w:p>
    <w:p>
      <w:pPr>
        <w:pStyle w:val="3"/>
        <w:spacing w:before="151" w:line="326" w:lineRule="auto"/>
        <w:ind w:left="740" w:right="1139"/>
      </w:pPr>
      <w:r>
        <w:t>三、20</w:t>
      </w:r>
      <w:r>
        <w:rPr>
          <w:rFonts w:hint="eastAsia"/>
          <w:lang w:val="en-US" w:eastAsia="zh-CN"/>
        </w:rPr>
        <w:t>23</w:t>
      </w:r>
      <w:r>
        <w:rPr>
          <w:spacing w:val="-11"/>
        </w:rPr>
        <w:t>年一般公共预算财政拨款基本支出预算表</w:t>
      </w:r>
      <w:r>
        <w:rPr>
          <w:rFonts w:hint="eastAsia"/>
          <w:spacing w:val="-11"/>
          <w:lang w:val="en-US" w:eastAsia="zh-CN"/>
        </w:rPr>
        <w:t xml:space="preserve">   </w:t>
      </w:r>
      <w:r>
        <w:t>四、部门收支预算总表</w:t>
      </w:r>
    </w:p>
    <w:p>
      <w:pPr>
        <w:pStyle w:val="3"/>
        <w:spacing w:before="3" w:line="328" w:lineRule="auto"/>
        <w:ind w:left="740" w:right="5058"/>
      </w:pPr>
      <w:r>
        <w:rPr>
          <w:spacing w:val="-2"/>
        </w:rPr>
        <w:t>五、部门收入预算总表</w:t>
      </w:r>
      <w:r>
        <w:rPr>
          <w:spacing w:val="-2"/>
          <w:w w:val="95"/>
        </w:rPr>
        <w:t>六、部门支出预算总表</w:t>
      </w:r>
    </w:p>
    <w:p>
      <w:pPr>
        <w:pStyle w:val="3"/>
        <w:spacing w:line="328" w:lineRule="auto"/>
        <w:ind w:left="740" w:right="2497"/>
      </w:pPr>
      <w:r>
        <w:rPr>
          <w:spacing w:val="-1"/>
        </w:rPr>
        <w:t>七、政府性基金预算财政拨款支出预算表</w:t>
      </w:r>
      <w:r>
        <w:t>八、财政拨款“三公”经费支出预算表</w:t>
      </w:r>
      <w:r>
        <w:rPr>
          <w:rFonts w:hint="eastAsia"/>
          <w:lang w:val="en-US" w:eastAsia="zh-CN"/>
        </w:rPr>
        <w:t xml:space="preserve"> </w:t>
      </w:r>
      <w:r>
        <w:t xml:space="preserve"> 九、20</w:t>
      </w:r>
      <w:r>
        <w:rPr>
          <w:rFonts w:hint="eastAsia"/>
          <w:lang w:val="en-US" w:eastAsia="zh-CN"/>
        </w:rPr>
        <w:t>23</w:t>
      </w:r>
      <w:r>
        <w:rPr>
          <w:spacing w:val="-11"/>
        </w:rPr>
        <w:t>年政府采购预算表</w:t>
      </w:r>
    </w:p>
    <w:p>
      <w:pPr>
        <w:pStyle w:val="3"/>
        <w:spacing w:line="326" w:lineRule="auto"/>
        <w:ind w:left="740" w:right="3300"/>
        <w:rPr>
          <w:rFonts w:hint="default" w:eastAsia="楷体"/>
          <w:lang w:val="en-US" w:eastAsia="zh-CN"/>
        </w:rPr>
      </w:pPr>
      <w:r>
        <w:t>十、</w:t>
      </w:r>
      <w:r>
        <w:rPr>
          <w:rFonts w:hint="eastAsia"/>
          <w:lang w:val="en-US" w:eastAsia="zh-CN"/>
        </w:rPr>
        <w:t>国有资本经营预算支出表</w:t>
      </w:r>
    </w:p>
    <w:p>
      <w:pPr>
        <w:pStyle w:val="3"/>
        <w:spacing w:line="326" w:lineRule="auto"/>
        <w:ind w:left="740" w:right="3300"/>
        <w:rPr>
          <w:rFonts w:hint="default" w:eastAsia="楷体"/>
          <w:lang w:val="en-US" w:eastAsia="zh-CN"/>
        </w:rPr>
      </w:pPr>
      <w:r>
        <w:t>十一、项目支出绩效目标表</w:t>
      </w:r>
      <w:r>
        <w:rPr>
          <w:rFonts w:hint="eastAsia"/>
          <w:lang w:val="en-US" w:eastAsia="zh-CN"/>
        </w:rPr>
        <w:t xml:space="preserve">       十二、部门项目支出表</w:t>
      </w:r>
    </w:p>
    <w:p>
      <w:pPr>
        <w:pStyle w:val="2"/>
        <w:tabs>
          <w:tab w:val="left" w:pos="1607"/>
        </w:tabs>
        <w:spacing w:before="69"/>
        <w:ind w:right="163"/>
        <w:jc w:val="center"/>
      </w:pPr>
      <w:r>
        <w:t>第一部分</w:t>
      </w:r>
      <w:r>
        <w:tab/>
      </w:r>
      <w:r>
        <w:t>本部门概况</w:t>
      </w:r>
    </w:p>
    <w:p>
      <w:pPr>
        <w:pStyle w:val="3"/>
        <w:rPr>
          <w:b/>
        </w:rPr>
      </w:pPr>
    </w:p>
    <w:p>
      <w:pPr>
        <w:pStyle w:val="3"/>
        <w:spacing w:before="4"/>
        <w:rPr>
          <w:b/>
          <w:sz w:val="23"/>
        </w:rPr>
      </w:pPr>
    </w:p>
    <w:p>
      <w:pPr>
        <w:pStyle w:val="3"/>
        <w:ind w:left="740"/>
      </w:pPr>
      <w:r>
        <w:t>一、主要职能、职责</w:t>
      </w:r>
    </w:p>
    <w:p>
      <w:pPr>
        <w:widowControl/>
        <w:spacing w:before="240" w:after="240"/>
        <w:jc w:val="left"/>
        <w:rPr>
          <w:rFonts w:hint="eastAsia" w:ascii="仿宋" w:hAnsi="楷体" w:eastAsia="仿宋" w:cs="楷体"/>
          <w:spacing w:val="-15"/>
          <w:sz w:val="32"/>
          <w:szCs w:val="32"/>
          <w:lang w:val="zh-CN" w:eastAsia="zh-CN" w:bidi="zh-CN"/>
        </w:rPr>
      </w:pPr>
      <w:r>
        <w:rPr>
          <w:rFonts w:ascii="Times New Roman" w:hAnsi="Times New Roman" w:eastAsia="Times New Roman" w:cs="Times New Roman"/>
          <w:kern w:val="0"/>
          <w:sz w:val="24"/>
        </w:rPr>
        <w:t>  1</w:t>
      </w:r>
      <w:r>
        <w:rPr>
          <w:rFonts w:hint="eastAsia" w:ascii="仿宋" w:hAnsi="楷体" w:eastAsia="仿宋" w:cs="楷体"/>
          <w:spacing w:val="-15"/>
          <w:sz w:val="32"/>
          <w:szCs w:val="32"/>
          <w:lang w:val="zh-CN" w:eastAsia="zh-CN" w:bidi="zh-CN"/>
        </w:rPr>
        <w:t>．主要职能。</w:t>
      </w:r>
    </w:p>
    <w:p>
      <w:pPr>
        <w:widowControl/>
        <w:spacing w:before="240" w:after="240"/>
        <w:ind w:firstLine="580" w:firstLineChars="200"/>
        <w:jc w:val="left"/>
        <w:rPr>
          <w:rFonts w:hint="default" w:ascii="仿宋" w:hAnsi="楷体" w:eastAsia="仿宋" w:cs="楷体"/>
          <w:spacing w:val="-15"/>
          <w:sz w:val="32"/>
          <w:szCs w:val="32"/>
          <w:lang w:val="en-US" w:eastAsia="zh-CN" w:bidi="zh-CN"/>
        </w:rPr>
      </w:pPr>
      <w:r>
        <w:rPr>
          <w:rFonts w:hint="eastAsia" w:ascii="仿宋" w:hAnsi="楷体" w:eastAsia="仿宋" w:cs="楷体"/>
          <w:spacing w:val="-15"/>
          <w:sz w:val="32"/>
          <w:szCs w:val="32"/>
          <w:lang w:val="en-US" w:eastAsia="zh-CN" w:bidi="zh-CN"/>
        </w:rPr>
        <w:t>我单位负责城市市容市貌管理、广告牌匾、违章建筑、违章停车、规划监察等工作。</w:t>
      </w:r>
    </w:p>
    <w:p>
      <w:pPr>
        <w:widowControl/>
        <w:spacing w:before="240" w:after="240"/>
        <w:jc w:val="left"/>
        <w:rPr>
          <w:rFonts w:hint="eastAsia" w:ascii="仿宋" w:hAnsi="楷体" w:eastAsia="仿宋" w:cs="楷体"/>
          <w:spacing w:val="-15"/>
          <w:sz w:val="32"/>
          <w:szCs w:val="32"/>
          <w:lang w:val="zh-CN" w:eastAsia="zh-CN" w:bidi="zh-CN"/>
        </w:rPr>
      </w:pPr>
      <w:r>
        <w:rPr>
          <w:rFonts w:hint="eastAsia" w:ascii="仿宋" w:hAnsi="楷体" w:eastAsia="仿宋" w:cs="楷体"/>
          <w:spacing w:val="-15"/>
          <w:sz w:val="32"/>
          <w:szCs w:val="32"/>
          <w:lang w:val="zh-CN" w:eastAsia="zh-CN" w:bidi="zh-CN"/>
        </w:rPr>
        <w:t>    2．机构情况：</w:t>
      </w:r>
      <w:r>
        <w:rPr>
          <w:rFonts w:hint="eastAsia" w:ascii="仿宋" w:hAnsi="楷体" w:eastAsia="仿宋" w:cs="楷体"/>
          <w:spacing w:val="-15"/>
          <w:sz w:val="32"/>
          <w:szCs w:val="32"/>
          <w:lang w:val="en-US" w:eastAsia="zh-CN" w:bidi="zh-CN"/>
        </w:rPr>
        <w:t>我</w:t>
      </w:r>
      <w:r>
        <w:rPr>
          <w:rFonts w:hint="eastAsia" w:ascii="仿宋" w:hAnsi="楷体" w:eastAsia="仿宋" w:cs="楷体"/>
          <w:spacing w:val="-15"/>
          <w:sz w:val="32"/>
          <w:szCs w:val="32"/>
          <w:lang w:val="zh-CN" w:eastAsia="zh-CN" w:bidi="zh-CN"/>
        </w:rPr>
        <w:t>单位达拉特旗城市管理综合行政执法局，一级预算单位，报表类型为：单户表。</w:t>
      </w:r>
    </w:p>
    <w:p>
      <w:pPr>
        <w:widowControl/>
        <w:spacing w:before="240" w:after="240"/>
        <w:jc w:val="left"/>
        <w:rPr>
          <w:rFonts w:hint="eastAsia" w:ascii="仿宋" w:hAnsi="楷体" w:eastAsia="仿宋" w:cs="楷体"/>
          <w:spacing w:val="-15"/>
          <w:sz w:val="32"/>
          <w:szCs w:val="32"/>
          <w:lang w:val="zh-CN" w:eastAsia="zh-CN" w:bidi="zh-CN"/>
        </w:rPr>
      </w:pPr>
      <w:r>
        <w:rPr>
          <w:rFonts w:hint="eastAsia" w:ascii="仿宋" w:hAnsi="楷体" w:eastAsia="仿宋" w:cs="楷体"/>
          <w:spacing w:val="-15"/>
          <w:sz w:val="32"/>
          <w:szCs w:val="32"/>
          <w:lang w:val="zh-CN" w:eastAsia="zh-CN" w:bidi="zh-CN"/>
        </w:rPr>
        <w:t>      3．人员情况：年末独立核算机构数：1 个，在职人员：  93 人，离休人员：0  人，退休人员：25  人，实有人数</w:t>
      </w:r>
      <w:r>
        <w:rPr>
          <w:rFonts w:hint="eastAsia" w:ascii="仿宋" w:eastAsia="仿宋" w:cs="楷体"/>
          <w:spacing w:val="-15"/>
          <w:sz w:val="32"/>
          <w:szCs w:val="32"/>
          <w:lang w:val="en-US" w:eastAsia="zh-CN" w:bidi="zh-CN"/>
        </w:rPr>
        <w:t>93人，</w:t>
      </w:r>
      <w:r>
        <w:rPr>
          <w:rFonts w:hint="eastAsia" w:ascii="仿宋" w:hAnsi="楷体" w:eastAsia="仿宋" w:cs="楷体"/>
          <w:spacing w:val="-15"/>
          <w:sz w:val="32"/>
          <w:szCs w:val="32"/>
          <w:lang w:val="zh-CN" w:eastAsia="zh-CN" w:bidi="zh-CN"/>
        </w:rPr>
        <w:t>一般公共预算财政拨款开支人员：93  人，年末遗属人员： 5 人。</w:t>
      </w:r>
    </w:p>
    <w:p>
      <w:pPr>
        <w:pStyle w:val="3"/>
        <w:spacing w:before="1"/>
        <w:ind w:firstLine="320" w:firstLineChars="100"/>
      </w:pPr>
      <w:r>
        <w:t>二、机构设置及人员基本情况</w:t>
      </w:r>
    </w:p>
    <w:p>
      <w:pPr>
        <w:pStyle w:val="3"/>
        <w:spacing w:before="151" w:line="326" w:lineRule="auto"/>
        <w:ind w:left="100" w:right="260" w:firstLine="640"/>
        <w:jc w:val="both"/>
        <w:rPr>
          <w:rFonts w:hint="eastAsia" w:ascii="仿宋" w:eastAsia="仿宋"/>
        </w:rPr>
      </w:pPr>
      <w:r>
        <w:rPr>
          <w:rFonts w:hint="eastAsia" w:ascii="仿宋" w:eastAsia="仿宋"/>
          <w:spacing w:val="-15"/>
        </w:rPr>
        <w:t>从预算单位构成看，鄂尔多斯市</w:t>
      </w:r>
      <w:r>
        <w:rPr>
          <w:rFonts w:hint="eastAsia" w:ascii="仿宋" w:eastAsia="仿宋"/>
          <w:spacing w:val="-15"/>
          <w:lang w:val="en-US" w:eastAsia="zh-CN"/>
        </w:rPr>
        <w:t>达拉特旗城市管理综合行政执法局</w:t>
      </w:r>
      <w:r>
        <w:rPr>
          <w:rFonts w:hint="eastAsia" w:ascii="仿宋" w:eastAsia="仿宋"/>
          <w:spacing w:val="-10"/>
        </w:rPr>
        <w:t>部门预算包括：局本级预算。</w:t>
      </w:r>
    </w:p>
    <w:p>
      <w:pPr>
        <w:pStyle w:val="6"/>
        <w:numPr>
          <w:ilvl w:val="0"/>
          <w:numId w:val="1"/>
        </w:numPr>
        <w:tabs>
          <w:tab w:val="left" w:pos="1063"/>
        </w:tabs>
        <w:spacing w:before="3" w:after="0" w:line="240" w:lineRule="auto"/>
        <w:ind w:left="1062" w:right="0" w:hanging="323"/>
        <w:jc w:val="both"/>
        <w:rPr>
          <w:sz w:val="32"/>
        </w:rPr>
      </w:pPr>
      <w:r>
        <w:rPr>
          <w:spacing w:val="-16"/>
          <w:sz w:val="32"/>
        </w:rPr>
        <w:t>鄂尔多斯</w:t>
      </w:r>
      <w:r>
        <w:rPr>
          <w:rFonts w:hint="eastAsia"/>
          <w:sz w:val="32"/>
          <w:lang w:val="en-US" w:eastAsia="zh-CN"/>
        </w:rPr>
        <w:t>达拉特旗城市管理综合行政执法</w:t>
      </w:r>
      <w:r>
        <w:rPr>
          <w:spacing w:val="-10"/>
          <w:sz w:val="32"/>
        </w:rPr>
        <w:t>局属单位设置情况</w:t>
      </w:r>
      <w:r>
        <w:rPr>
          <w:rFonts w:hint="eastAsia"/>
          <w:spacing w:val="-10"/>
          <w:sz w:val="32"/>
          <w:lang w:eastAsia="zh-CN"/>
        </w:rPr>
        <w:t>：</w:t>
      </w:r>
    </w:p>
    <w:p>
      <w:pPr>
        <w:pStyle w:val="3"/>
        <w:spacing w:before="166" w:line="340" w:lineRule="auto"/>
        <w:ind w:left="100" w:right="260" w:firstLine="624"/>
        <w:jc w:val="both"/>
        <w:rPr>
          <w:rFonts w:hint="eastAsia" w:ascii="仿宋" w:eastAsia="仿宋"/>
        </w:rPr>
      </w:pPr>
      <w:r>
        <w:rPr>
          <w:rFonts w:hint="eastAsia" w:ascii="仿宋" w:eastAsia="仿宋"/>
        </w:rPr>
        <w:t>20</w:t>
      </w:r>
      <w:r>
        <w:rPr>
          <w:rFonts w:hint="eastAsia" w:ascii="仿宋" w:eastAsia="仿宋"/>
          <w:lang w:val="en-US" w:eastAsia="zh-CN"/>
        </w:rPr>
        <w:t>23</w:t>
      </w:r>
      <w:r>
        <w:rPr>
          <w:rFonts w:hint="eastAsia" w:ascii="仿宋" w:eastAsia="仿宋"/>
          <w:spacing w:val="-26"/>
        </w:rPr>
        <w:t xml:space="preserve">年，鄂尔多斯 </w:t>
      </w:r>
      <w:r>
        <w:rPr>
          <w:rFonts w:hint="eastAsia" w:ascii="仿宋" w:eastAsia="仿宋"/>
          <w:lang w:val="en-US" w:eastAsia="zh-CN"/>
        </w:rPr>
        <w:t>达拉特旗城市管理综合行政执法局</w:t>
      </w:r>
      <w:r>
        <w:rPr>
          <w:rFonts w:hint="eastAsia" w:ascii="仿宋" w:eastAsia="仿宋"/>
          <w:spacing w:val="-2"/>
        </w:rPr>
        <w:t>共有机构数是</w:t>
      </w:r>
      <w:r>
        <w:rPr>
          <w:rFonts w:hint="eastAsia" w:ascii="仿宋" w:eastAsia="仿宋"/>
          <w:lang w:val="en-US" w:eastAsia="zh-CN"/>
        </w:rPr>
        <w:t>1</w:t>
      </w:r>
      <w:r>
        <w:rPr>
          <w:rFonts w:hint="eastAsia" w:ascii="仿宋" w:eastAsia="仿宋"/>
          <w:spacing w:val="-16"/>
        </w:rPr>
        <w:t>家，其中财政拨</w:t>
      </w:r>
      <w:r>
        <w:rPr>
          <w:rFonts w:hint="eastAsia" w:ascii="仿宋" w:eastAsia="仿宋"/>
          <w:spacing w:val="-1"/>
        </w:rPr>
        <w:t>款的行政单位</w:t>
      </w:r>
      <w:r>
        <w:rPr>
          <w:rFonts w:hint="eastAsia" w:ascii="仿宋" w:eastAsia="仿宋"/>
          <w:lang w:val="en-US" w:eastAsia="zh-CN"/>
        </w:rPr>
        <w:t>0</w:t>
      </w:r>
      <w:r>
        <w:rPr>
          <w:rFonts w:hint="eastAsia" w:ascii="仿宋" w:eastAsia="仿宋"/>
          <w:spacing w:val="-14"/>
        </w:rPr>
        <w:t>家，参照公务员法管理的事业单位为</w:t>
      </w:r>
      <w:r>
        <w:rPr>
          <w:rFonts w:hint="eastAsia" w:ascii="仿宋" w:eastAsia="仿宋"/>
          <w:spacing w:val="-14"/>
          <w:lang w:val="en-US" w:eastAsia="zh-CN"/>
        </w:rPr>
        <w:t>1</w:t>
      </w:r>
      <w:r>
        <w:rPr>
          <w:rFonts w:hint="eastAsia" w:ascii="仿宋" w:eastAsia="仿宋"/>
          <w:spacing w:val="-29"/>
        </w:rPr>
        <w:t xml:space="preserve"> 家， </w:t>
      </w:r>
      <w:r>
        <w:rPr>
          <w:rFonts w:hint="eastAsia" w:ascii="仿宋" w:eastAsia="仿宋"/>
          <w:spacing w:val="-17"/>
        </w:rPr>
        <w:t>公益一类事业单位为</w:t>
      </w:r>
      <w:r>
        <w:rPr>
          <w:rFonts w:hint="eastAsia" w:ascii="仿宋" w:eastAsia="仿宋"/>
          <w:spacing w:val="-17"/>
          <w:lang w:val="en-US" w:eastAsia="zh-CN"/>
        </w:rPr>
        <w:t xml:space="preserve"> </w:t>
      </w:r>
      <w:r>
        <w:rPr>
          <w:rFonts w:hint="eastAsia" w:ascii="仿宋" w:eastAsia="仿宋"/>
          <w:lang w:val="en-US" w:eastAsia="zh-CN"/>
        </w:rPr>
        <w:t>0</w:t>
      </w:r>
      <w:r>
        <w:rPr>
          <w:rFonts w:hint="eastAsia" w:ascii="仿宋" w:eastAsia="仿宋"/>
          <w:spacing w:val="-16"/>
        </w:rPr>
        <w:t xml:space="preserve"> 家，公益二类事业单位为 </w:t>
      </w:r>
      <w:r>
        <w:rPr>
          <w:rFonts w:hint="eastAsia" w:ascii="仿宋" w:eastAsia="仿宋"/>
          <w:lang w:val="en-US" w:eastAsia="zh-CN"/>
        </w:rPr>
        <w:t>0</w:t>
      </w:r>
      <w:r>
        <w:rPr>
          <w:rFonts w:hint="eastAsia" w:ascii="仿宋" w:eastAsia="仿宋"/>
          <w:spacing w:val="-28"/>
        </w:rPr>
        <w:t xml:space="preserve"> 家。</w:t>
      </w:r>
    </w:p>
    <w:p>
      <w:pPr>
        <w:pStyle w:val="3"/>
        <w:spacing w:line="340" w:lineRule="auto"/>
        <w:ind w:left="100" w:right="99" w:firstLine="640"/>
        <w:rPr>
          <w:rFonts w:hint="eastAsia" w:ascii="仿宋" w:eastAsia="仿宋"/>
        </w:rPr>
      </w:pPr>
      <w:r>
        <w:rPr>
          <w:rFonts w:hint="eastAsia" w:ascii="仿宋" w:eastAsia="仿宋"/>
        </w:rPr>
        <w:t>202</w:t>
      </w:r>
      <w:r>
        <w:rPr>
          <w:rFonts w:hint="eastAsia" w:ascii="仿宋" w:eastAsia="仿宋"/>
          <w:lang w:val="en-US" w:eastAsia="zh-CN"/>
        </w:rPr>
        <w:t>2</w:t>
      </w:r>
      <w:r>
        <w:rPr>
          <w:rFonts w:hint="eastAsia" w:ascii="仿宋" w:eastAsia="仿宋"/>
          <w:spacing w:val="-25"/>
        </w:rPr>
        <w:t xml:space="preserve">年编制数为 </w:t>
      </w:r>
      <w:r>
        <w:rPr>
          <w:rFonts w:hint="eastAsia" w:ascii="仿宋" w:eastAsia="仿宋"/>
          <w:lang w:val="en-US" w:eastAsia="zh-CN"/>
        </w:rPr>
        <w:t>97</w:t>
      </w:r>
      <w:r>
        <w:rPr>
          <w:rFonts w:hint="eastAsia" w:ascii="仿宋" w:eastAsia="仿宋"/>
          <w:spacing w:val="-20"/>
        </w:rPr>
        <w:t>人。其中行政编制人数</w:t>
      </w:r>
      <w:r>
        <w:rPr>
          <w:rFonts w:hint="eastAsia" w:ascii="仿宋" w:eastAsia="仿宋"/>
          <w:spacing w:val="-20"/>
          <w:lang w:val="en-US" w:eastAsia="zh-CN"/>
        </w:rPr>
        <w:t xml:space="preserve"> 0</w:t>
      </w:r>
      <w:r>
        <w:rPr>
          <w:rFonts w:hint="eastAsia" w:ascii="仿宋" w:eastAsia="仿宋"/>
          <w:spacing w:val="-21"/>
        </w:rPr>
        <w:t>人，事业编</w:t>
      </w:r>
      <w:r>
        <w:rPr>
          <w:rFonts w:hint="eastAsia" w:ascii="仿宋" w:eastAsia="仿宋"/>
          <w:spacing w:val="-51"/>
        </w:rPr>
        <w:t xml:space="preserve">制 </w:t>
      </w:r>
      <w:r>
        <w:rPr>
          <w:rFonts w:hint="eastAsia" w:ascii="仿宋" w:eastAsia="仿宋"/>
          <w:spacing w:val="-51"/>
          <w:lang w:val="en-US" w:eastAsia="zh-CN"/>
        </w:rPr>
        <w:t xml:space="preserve"> </w:t>
      </w:r>
      <w:r>
        <w:rPr>
          <w:rFonts w:hint="eastAsia" w:ascii="仿宋" w:eastAsia="仿宋"/>
          <w:lang w:val="en-US" w:eastAsia="zh-CN"/>
        </w:rPr>
        <w:t>97</w:t>
      </w:r>
      <w:r>
        <w:rPr>
          <w:rFonts w:hint="eastAsia" w:ascii="仿宋" w:eastAsia="仿宋"/>
          <w:spacing w:val="-42"/>
        </w:rPr>
        <w:t>人。</w:t>
      </w:r>
      <w:r>
        <w:rPr>
          <w:rFonts w:hint="eastAsia" w:ascii="仿宋" w:eastAsia="仿宋"/>
        </w:rPr>
        <w:t>202</w:t>
      </w:r>
      <w:r>
        <w:rPr>
          <w:rFonts w:hint="eastAsia" w:ascii="仿宋" w:eastAsia="仿宋"/>
          <w:lang w:val="en-US" w:eastAsia="zh-CN"/>
        </w:rPr>
        <w:t>3</w:t>
      </w:r>
      <w:r>
        <w:rPr>
          <w:rFonts w:hint="eastAsia" w:ascii="仿宋" w:eastAsia="仿宋"/>
          <w:spacing w:val="-15"/>
        </w:rPr>
        <w:t xml:space="preserve">年末财政供养人员实有人数 </w:t>
      </w:r>
      <w:r>
        <w:rPr>
          <w:rFonts w:hint="eastAsia" w:ascii="仿宋" w:eastAsia="仿宋"/>
          <w:spacing w:val="-15"/>
          <w:lang w:val="en-US" w:eastAsia="zh-CN"/>
        </w:rPr>
        <w:t>93</w:t>
      </w:r>
      <w:r>
        <w:rPr>
          <w:rFonts w:hint="eastAsia" w:ascii="仿宋" w:eastAsia="仿宋"/>
          <w:spacing w:val="-17"/>
        </w:rPr>
        <w:t>人，比上年净</w:t>
      </w:r>
      <w:r>
        <w:rPr>
          <w:rFonts w:hint="eastAsia" w:ascii="仿宋" w:eastAsia="仿宋"/>
          <w:spacing w:val="-17"/>
          <w:lang w:val="en-US" w:eastAsia="zh-CN"/>
        </w:rPr>
        <w:t>减少9</w:t>
      </w:r>
      <w:r>
        <w:rPr>
          <w:rFonts w:hint="eastAsia" w:ascii="仿宋" w:eastAsia="仿宋"/>
          <w:spacing w:val="-25"/>
        </w:rPr>
        <w:t xml:space="preserve">人，其中在职人员 </w:t>
      </w:r>
      <w:r>
        <w:rPr>
          <w:rFonts w:hint="eastAsia" w:ascii="仿宋" w:eastAsia="仿宋"/>
          <w:lang w:val="en-US" w:eastAsia="zh-CN"/>
        </w:rPr>
        <w:t>93</w:t>
      </w:r>
      <w:r>
        <w:rPr>
          <w:rFonts w:hint="eastAsia" w:ascii="仿宋" w:eastAsia="仿宋"/>
          <w:spacing w:val="-24"/>
        </w:rPr>
        <w:t xml:space="preserve"> 人，比上年净</w:t>
      </w:r>
      <w:r>
        <w:rPr>
          <w:rFonts w:hint="eastAsia" w:ascii="仿宋" w:eastAsia="仿宋"/>
          <w:spacing w:val="-24"/>
          <w:lang w:val="en-US" w:eastAsia="zh-CN"/>
        </w:rPr>
        <w:t>减少9</w:t>
      </w:r>
      <w:r>
        <w:rPr>
          <w:rFonts w:hint="eastAsia" w:ascii="仿宋" w:eastAsia="仿宋"/>
          <w:spacing w:val="-45"/>
        </w:rPr>
        <w:t>人</w:t>
      </w:r>
      <w:r>
        <w:rPr>
          <w:rFonts w:hint="eastAsia" w:ascii="仿宋" w:eastAsia="仿宋"/>
          <w:color w:val="000000" w:themeColor="text1"/>
          <w:spacing w:val="-45"/>
          <w:sz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eastAsia="仿宋"/>
          <w:color w:val="000000" w:themeColor="text1"/>
          <w:spacing w:val="-34"/>
          <w:sz w:val="32"/>
          <w:shd w:val="clear" w:color="auto" w:fill="FFFF00"/>
          <w14:textFill>
            <w14:solidFill>
              <w14:schemeClr w14:val="tx1"/>
            </w14:solidFill>
          </w14:textFill>
        </w:rPr>
        <w:t>其原因是</w:t>
      </w:r>
      <w:r>
        <w:rPr>
          <w:rFonts w:hint="eastAsia" w:ascii="仿宋" w:eastAsia="仿宋"/>
          <w:color w:val="000000" w:themeColor="text1"/>
          <w:spacing w:val="-34"/>
          <w:sz w:val="32"/>
          <w:shd w:val="clear" w:color="auto" w:fill="FFFF00"/>
          <w:lang w:val="en-US" w:eastAsia="zh-CN"/>
          <w14:textFill>
            <w14:solidFill>
              <w14:schemeClr w14:val="tx1"/>
            </w14:solidFill>
          </w14:textFill>
        </w:rPr>
        <w:t>6名人员退休、3名人员调出。2</w:t>
      </w:r>
      <w:r>
        <w:rPr>
          <w:rFonts w:hint="eastAsia" w:ascii="仿宋" w:eastAsia="仿宋"/>
          <w:spacing w:val="-28"/>
        </w:rPr>
        <w:t xml:space="preserve">；离休人员 </w:t>
      </w:r>
      <w:r>
        <w:rPr>
          <w:rFonts w:hint="eastAsia" w:ascii="仿宋" w:eastAsia="仿宋"/>
          <w:lang w:val="en-US" w:eastAsia="zh-CN"/>
        </w:rPr>
        <w:t>0</w:t>
      </w:r>
      <w:r>
        <w:rPr>
          <w:rFonts w:hint="eastAsia" w:ascii="仿宋" w:eastAsia="仿宋"/>
          <w:spacing w:val="-28"/>
        </w:rPr>
        <w:t>人，比上年减少</w:t>
      </w:r>
      <w:r>
        <w:rPr>
          <w:rFonts w:hint="eastAsia" w:ascii="仿宋" w:eastAsia="仿宋"/>
          <w:spacing w:val="-28"/>
          <w:lang w:val="en-US" w:eastAsia="zh-CN"/>
        </w:rPr>
        <w:t>0</w:t>
      </w:r>
      <w:r>
        <w:rPr>
          <w:rFonts w:hint="eastAsia" w:ascii="仿宋" w:eastAsia="仿宋"/>
          <w:spacing w:val="-27"/>
        </w:rPr>
        <w:t xml:space="preserve">人； </w:t>
      </w:r>
      <w:r>
        <w:rPr>
          <w:rFonts w:hint="eastAsia" w:ascii="仿宋" w:eastAsia="仿宋"/>
          <w:spacing w:val="-38"/>
        </w:rPr>
        <w:t>退休人员</w:t>
      </w:r>
      <w:r>
        <w:rPr>
          <w:rFonts w:hint="eastAsia" w:ascii="仿宋" w:eastAsia="仿宋"/>
          <w:spacing w:val="-38"/>
          <w:lang w:val="en-US" w:eastAsia="zh-CN"/>
        </w:rPr>
        <w:t xml:space="preserve">  25</w:t>
      </w:r>
      <w:r>
        <w:rPr>
          <w:rFonts w:hint="eastAsia" w:ascii="仿宋" w:eastAsia="仿宋"/>
          <w:spacing w:val="-20"/>
        </w:rPr>
        <w:t xml:space="preserve"> 人，比上年增加</w:t>
      </w:r>
      <w:r>
        <w:rPr>
          <w:rFonts w:hint="eastAsia" w:ascii="仿宋" w:eastAsia="仿宋"/>
          <w:spacing w:val="-20"/>
          <w:lang w:val="en-US" w:eastAsia="zh-CN"/>
        </w:rPr>
        <w:t xml:space="preserve"> 5</w:t>
      </w:r>
      <w:r>
        <w:rPr>
          <w:rFonts w:hint="eastAsia" w:ascii="仿宋" w:eastAsia="仿宋"/>
          <w:spacing w:val="-13"/>
        </w:rPr>
        <w:t>人，其原因是</w:t>
      </w:r>
      <w:r>
        <w:rPr>
          <w:rFonts w:hint="eastAsia" w:ascii="仿宋" w:eastAsia="仿宋"/>
          <w:spacing w:val="-13"/>
          <w:lang w:val="en-US" w:eastAsia="zh-CN"/>
        </w:rPr>
        <w:t>:6名在职人员退休、</w:t>
      </w:r>
      <w:r>
        <w:rPr>
          <w:rFonts w:hint="eastAsia" w:ascii="仿宋" w:eastAsia="仿宋"/>
          <w:shd w:val="clear" w:color="auto" w:fill="FFFF00"/>
          <w:lang w:val="en-US" w:eastAsia="zh-CN"/>
        </w:rPr>
        <w:t>1名</w:t>
      </w:r>
      <w:r>
        <w:rPr>
          <w:rFonts w:hint="eastAsia" w:ascii="仿宋" w:eastAsia="仿宋"/>
          <w:shd w:val="clear" w:color="auto" w:fill="FFFF00"/>
        </w:rPr>
        <w:t>退休</w:t>
      </w:r>
      <w:r>
        <w:rPr>
          <w:rFonts w:hint="eastAsia" w:ascii="仿宋" w:eastAsia="仿宋"/>
          <w:shd w:val="clear" w:color="auto" w:fill="FFFF00"/>
          <w:lang w:val="en-US" w:eastAsia="zh-CN"/>
        </w:rPr>
        <w:t>退休人员去世</w:t>
      </w:r>
      <w:r>
        <w:rPr>
          <w:rFonts w:hint="eastAsia" w:ascii="仿宋" w:eastAsia="仿宋"/>
          <w:shd w:val="clear" w:color="auto" w:fill="FFFF00"/>
        </w:rPr>
        <w:t>。</w:t>
      </w:r>
    </w:p>
    <w:p>
      <w:pPr>
        <w:pStyle w:val="6"/>
        <w:numPr>
          <w:ilvl w:val="0"/>
          <w:numId w:val="1"/>
        </w:numPr>
        <w:tabs>
          <w:tab w:val="left" w:pos="1063"/>
        </w:tabs>
        <w:spacing w:before="0" w:after="0" w:line="384" w:lineRule="exact"/>
        <w:ind w:left="1062" w:right="0" w:hanging="323"/>
        <w:jc w:val="left"/>
        <w:rPr>
          <w:sz w:val="32"/>
        </w:rPr>
      </w:pPr>
      <w:r>
        <w:rPr>
          <w:spacing w:val="-27"/>
          <w:sz w:val="32"/>
        </w:rPr>
        <w:t xml:space="preserve">纳入 </w:t>
      </w:r>
      <w:r>
        <w:rPr>
          <w:sz w:val="32"/>
        </w:rPr>
        <w:t>20</w:t>
      </w:r>
      <w:r>
        <w:rPr>
          <w:rFonts w:hint="eastAsia"/>
          <w:sz w:val="32"/>
          <w:lang w:val="en-US" w:eastAsia="zh-CN"/>
        </w:rPr>
        <w:t>23</w:t>
      </w:r>
      <w:r>
        <w:rPr>
          <w:spacing w:val="-10"/>
          <w:sz w:val="32"/>
        </w:rPr>
        <w:t xml:space="preserve"> 年部门预算编制范围的二级预算单位情况：</w:t>
      </w:r>
    </w:p>
    <w:p>
      <w:pPr>
        <w:pStyle w:val="2"/>
        <w:spacing w:before="143" w:after="22"/>
        <w:ind w:left="3937"/>
        <w:rPr>
          <w:rFonts w:hint="eastAsia" w:ascii="仿宋" w:eastAsia="仿宋"/>
        </w:rPr>
      </w:pPr>
      <w:r>
        <w:rPr>
          <w:rFonts w:hint="eastAsia" w:ascii="仿宋" w:eastAsia="仿宋"/>
        </w:rPr>
        <w:t>单位情况表</w:t>
      </w:r>
    </w:p>
    <w:tbl>
      <w:tblPr>
        <w:tblStyle w:val="4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"/>
        <w:gridCol w:w="4372"/>
        <w:gridCol w:w="29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938" w:type="dxa"/>
          </w:tcPr>
          <w:p>
            <w:pPr>
              <w:pStyle w:val="7"/>
              <w:spacing w:before="174"/>
              <w:ind w:left="238" w:right="230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4372" w:type="dxa"/>
          </w:tcPr>
          <w:p>
            <w:pPr>
              <w:pStyle w:val="7"/>
              <w:spacing w:before="174"/>
              <w:ind w:left="1743" w:right="1738"/>
              <w:jc w:val="center"/>
              <w:rPr>
                <w:sz w:val="21"/>
              </w:rPr>
            </w:pPr>
            <w:r>
              <w:rPr>
                <w:sz w:val="21"/>
              </w:rPr>
              <w:t>单位名称</w:t>
            </w:r>
          </w:p>
        </w:tc>
        <w:tc>
          <w:tcPr>
            <w:tcW w:w="2999" w:type="dxa"/>
          </w:tcPr>
          <w:p>
            <w:pPr>
              <w:pStyle w:val="7"/>
              <w:spacing w:before="174"/>
              <w:ind w:left="1058" w:right="1051"/>
              <w:jc w:val="center"/>
              <w:rPr>
                <w:sz w:val="21"/>
              </w:rPr>
            </w:pPr>
            <w:r>
              <w:rPr>
                <w:sz w:val="21"/>
              </w:rPr>
              <w:t>单位性质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938" w:type="dxa"/>
          </w:tcPr>
          <w:p>
            <w:pPr>
              <w:pStyle w:val="7"/>
              <w:rPr>
                <w:rFonts w:ascii="Times New Roman"/>
                <w:sz w:val="30"/>
              </w:rPr>
            </w:pPr>
          </w:p>
        </w:tc>
        <w:tc>
          <w:tcPr>
            <w:tcW w:w="4372" w:type="dxa"/>
          </w:tcPr>
          <w:p>
            <w:pPr>
              <w:pStyle w:val="7"/>
              <w:spacing w:before="102"/>
              <w:ind w:left="108"/>
              <w:rPr>
                <w:sz w:val="21"/>
              </w:rPr>
            </w:pPr>
            <w:r>
              <w:rPr>
                <w:sz w:val="21"/>
              </w:rPr>
              <w:t>鄂尔多斯</w:t>
            </w:r>
            <w:r>
              <w:rPr>
                <w:rFonts w:hint="eastAsia"/>
                <w:sz w:val="21"/>
                <w:lang w:val="en-US" w:eastAsia="zh-CN"/>
              </w:rPr>
              <w:t>达拉特旗城市管理综合行政执法</w:t>
            </w:r>
            <w:r>
              <w:rPr>
                <w:sz w:val="21"/>
              </w:rPr>
              <w:t>局本级</w:t>
            </w:r>
          </w:p>
        </w:tc>
        <w:tc>
          <w:tcPr>
            <w:tcW w:w="2999" w:type="dxa"/>
          </w:tcPr>
          <w:p>
            <w:pPr>
              <w:pStyle w:val="7"/>
              <w:spacing w:before="102"/>
              <w:ind w:left="107"/>
              <w:rPr>
                <w:sz w:val="21"/>
              </w:rPr>
            </w:pPr>
            <w:r>
              <w:rPr>
                <w:sz w:val="21"/>
              </w:rPr>
              <w:t>参照公务员法管理的事业单位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938" w:type="dxa"/>
          </w:tcPr>
          <w:p>
            <w:pPr>
              <w:pStyle w:val="7"/>
              <w:spacing w:before="102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372" w:type="dxa"/>
          </w:tcPr>
          <w:p>
            <w:pPr>
              <w:pStyle w:val="7"/>
              <w:spacing w:before="102"/>
              <w:ind w:left="108"/>
              <w:rPr>
                <w:rFonts w:hint="default" w:eastAsia="仿宋"/>
                <w:color w:val="FFFFFF" w:themeColor="background1"/>
                <w:sz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sz w:val="21"/>
                <w:shd w:val="clear" w:color="auto" w:fill="FFFF00"/>
              </w:rPr>
              <w:t>局本级 二级单位名称</w:t>
            </w:r>
            <w:r>
              <w:rPr>
                <w:rFonts w:hint="eastAsia"/>
                <w:sz w:val="21"/>
                <w:shd w:val="clear" w:color="auto" w:fill="FFFF00"/>
                <w:lang w:val="en-US" w:eastAsia="zh-CN"/>
              </w:rPr>
              <w:t>;无</w:t>
            </w:r>
          </w:p>
        </w:tc>
        <w:tc>
          <w:tcPr>
            <w:tcW w:w="2999" w:type="dxa"/>
          </w:tcPr>
          <w:p>
            <w:pPr>
              <w:pStyle w:val="7"/>
              <w:spacing w:before="102"/>
              <w:ind w:left="107"/>
              <w:rPr>
                <w:sz w:val="21"/>
              </w:rPr>
            </w:pPr>
            <w:r>
              <w:rPr>
                <w:sz w:val="21"/>
              </w:rPr>
              <w:t>参照公务员法管理的事业单位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38" w:type="dxa"/>
          </w:tcPr>
          <w:p>
            <w:pPr>
              <w:pStyle w:val="7"/>
              <w:spacing w:before="101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4372" w:type="dxa"/>
          </w:tcPr>
          <w:p>
            <w:pPr>
              <w:pStyle w:val="7"/>
              <w:spacing w:before="101"/>
              <w:ind w:left="108"/>
              <w:rPr>
                <w:rFonts w:hint="default" w:eastAsia="仿宋"/>
                <w:sz w:val="21"/>
                <w:lang w:val="en-US" w:eastAsia="zh-CN"/>
              </w:rPr>
            </w:pPr>
            <w:r>
              <w:rPr>
                <w:sz w:val="21"/>
                <w:shd w:val="clear" w:color="auto" w:fill="FFFF00"/>
              </w:rPr>
              <w:t>局所属二级事业单位名称</w:t>
            </w:r>
            <w:r>
              <w:rPr>
                <w:rFonts w:hint="eastAsia"/>
                <w:sz w:val="21"/>
                <w:shd w:val="clear" w:color="auto" w:fill="FFFF00"/>
                <w:lang w:eastAsia="zh-CN"/>
              </w:rPr>
              <w:t>：</w:t>
            </w:r>
            <w:r>
              <w:rPr>
                <w:rFonts w:hint="eastAsia"/>
                <w:sz w:val="21"/>
                <w:shd w:val="clear" w:color="auto" w:fill="FFFF00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2999" w:type="dxa"/>
          </w:tcPr>
          <w:p>
            <w:pPr>
              <w:pStyle w:val="7"/>
              <w:spacing w:before="101"/>
              <w:ind w:left="107"/>
              <w:rPr>
                <w:sz w:val="21"/>
              </w:rPr>
            </w:pPr>
            <w:r>
              <w:rPr>
                <w:sz w:val="21"/>
              </w:rPr>
              <w:t>财政补助事业单位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38" w:type="dxa"/>
          </w:tcPr>
          <w:p>
            <w:pPr>
              <w:pStyle w:val="7"/>
              <w:spacing w:before="101"/>
              <w:ind w:left="7"/>
              <w:jc w:val="center"/>
              <w:rPr>
                <w:rFonts w:hint="eastAsia" w:eastAsia="仿宋"/>
                <w:w w:val="99"/>
                <w:sz w:val="21"/>
                <w:lang w:val="en-US" w:eastAsia="zh-CN"/>
              </w:rPr>
            </w:pPr>
            <w:r>
              <w:rPr>
                <w:rFonts w:hint="eastAsia"/>
                <w:w w:val="99"/>
                <w:sz w:val="21"/>
                <w:lang w:val="en-US" w:eastAsia="zh-CN"/>
              </w:rPr>
              <w:t>3</w:t>
            </w:r>
          </w:p>
        </w:tc>
        <w:tc>
          <w:tcPr>
            <w:tcW w:w="4372" w:type="dxa"/>
          </w:tcPr>
          <w:p>
            <w:pPr>
              <w:pStyle w:val="7"/>
              <w:spacing w:before="101"/>
              <w:ind w:left="108"/>
              <w:rPr>
                <w:sz w:val="21"/>
                <w:shd w:val="clear" w:color="auto" w:fill="FFFF00"/>
              </w:rPr>
            </w:pPr>
          </w:p>
        </w:tc>
        <w:tc>
          <w:tcPr>
            <w:tcW w:w="2999" w:type="dxa"/>
          </w:tcPr>
          <w:p>
            <w:pPr>
              <w:pStyle w:val="7"/>
              <w:spacing w:before="101"/>
              <w:ind w:left="107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38" w:type="dxa"/>
          </w:tcPr>
          <w:p>
            <w:pPr>
              <w:pStyle w:val="7"/>
              <w:spacing w:before="101"/>
              <w:ind w:left="7"/>
              <w:jc w:val="center"/>
              <w:rPr>
                <w:rFonts w:hint="eastAsia" w:eastAsia="仿宋"/>
                <w:w w:val="99"/>
                <w:sz w:val="21"/>
                <w:lang w:val="en-US" w:eastAsia="zh-CN"/>
              </w:rPr>
            </w:pPr>
            <w:r>
              <w:rPr>
                <w:rFonts w:hint="eastAsia"/>
                <w:w w:val="99"/>
                <w:sz w:val="21"/>
                <w:lang w:val="en-US" w:eastAsia="zh-CN"/>
              </w:rPr>
              <w:t>4</w:t>
            </w:r>
          </w:p>
        </w:tc>
        <w:tc>
          <w:tcPr>
            <w:tcW w:w="4372" w:type="dxa"/>
          </w:tcPr>
          <w:p>
            <w:pPr>
              <w:pStyle w:val="7"/>
              <w:spacing w:before="101"/>
              <w:ind w:left="108"/>
              <w:rPr>
                <w:sz w:val="21"/>
                <w:shd w:val="clear" w:color="auto" w:fill="FFFF00"/>
              </w:rPr>
            </w:pPr>
          </w:p>
        </w:tc>
        <w:tc>
          <w:tcPr>
            <w:tcW w:w="2999" w:type="dxa"/>
          </w:tcPr>
          <w:p>
            <w:pPr>
              <w:pStyle w:val="7"/>
              <w:spacing w:before="101"/>
              <w:ind w:left="107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38" w:type="dxa"/>
          </w:tcPr>
          <w:p>
            <w:pPr>
              <w:pStyle w:val="7"/>
              <w:spacing w:before="101"/>
              <w:ind w:left="7"/>
              <w:jc w:val="center"/>
              <w:rPr>
                <w:rFonts w:hint="eastAsia" w:eastAsia="仿宋"/>
                <w:w w:val="99"/>
                <w:sz w:val="21"/>
                <w:lang w:val="en-US" w:eastAsia="zh-CN"/>
              </w:rPr>
            </w:pPr>
            <w:r>
              <w:rPr>
                <w:rFonts w:hint="eastAsia"/>
                <w:w w:val="99"/>
                <w:sz w:val="21"/>
                <w:lang w:val="en-US" w:eastAsia="zh-CN"/>
              </w:rPr>
              <w:t>5</w:t>
            </w:r>
          </w:p>
        </w:tc>
        <w:tc>
          <w:tcPr>
            <w:tcW w:w="4372" w:type="dxa"/>
          </w:tcPr>
          <w:p>
            <w:pPr>
              <w:pStyle w:val="7"/>
              <w:spacing w:before="101"/>
              <w:ind w:left="108"/>
              <w:rPr>
                <w:sz w:val="21"/>
                <w:shd w:val="clear" w:color="auto" w:fill="FFFF00"/>
              </w:rPr>
            </w:pPr>
          </w:p>
        </w:tc>
        <w:tc>
          <w:tcPr>
            <w:tcW w:w="2999" w:type="dxa"/>
          </w:tcPr>
          <w:p>
            <w:pPr>
              <w:pStyle w:val="7"/>
              <w:spacing w:before="101"/>
              <w:ind w:left="107"/>
              <w:rPr>
                <w:sz w:val="21"/>
              </w:rPr>
            </w:pPr>
          </w:p>
        </w:tc>
      </w:tr>
    </w:tbl>
    <w:p>
      <w:pPr>
        <w:tabs>
          <w:tab w:val="left" w:pos="1605"/>
        </w:tabs>
        <w:spacing w:before="54"/>
        <w:ind w:left="0" w:right="160" w:firstLine="643" w:firstLineChars="200"/>
        <w:jc w:val="both"/>
        <w:rPr>
          <w:b/>
          <w:sz w:val="23"/>
        </w:rPr>
      </w:pPr>
      <w:r>
        <w:rPr>
          <w:b/>
          <w:sz w:val="32"/>
        </w:rPr>
        <w:t>第二部分</w:t>
      </w:r>
      <w:r>
        <w:rPr>
          <w:b/>
          <w:sz w:val="32"/>
        </w:rPr>
        <w:tab/>
      </w:r>
      <w:r>
        <w:rPr>
          <w:b/>
          <w:sz w:val="32"/>
        </w:rPr>
        <w:t>20</w:t>
      </w:r>
      <w:r>
        <w:rPr>
          <w:rFonts w:hint="eastAsia"/>
          <w:b/>
          <w:sz w:val="32"/>
          <w:lang w:val="en-US" w:eastAsia="zh-CN"/>
        </w:rPr>
        <w:t>23</w:t>
      </w:r>
      <w:r>
        <w:rPr>
          <w:b/>
          <w:sz w:val="32"/>
        </w:rPr>
        <w:t>年部门预算收支情况</w:t>
      </w:r>
    </w:p>
    <w:p>
      <w:pPr>
        <w:pStyle w:val="3"/>
        <w:ind w:left="740"/>
      </w:pPr>
      <w:r>
        <w:t>一、部门预算收支总体情况说明</w:t>
      </w:r>
    </w:p>
    <w:p>
      <w:pPr>
        <w:pStyle w:val="3"/>
        <w:tabs>
          <w:tab w:val="left" w:pos="2339"/>
          <w:tab w:val="left" w:pos="7139"/>
        </w:tabs>
        <w:spacing w:before="151"/>
        <w:ind w:left="740"/>
      </w:pPr>
      <w:r>
        <w:t>收入预算</w:t>
      </w:r>
      <w:r>
        <w:rPr>
          <w:rFonts w:hint="eastAsia"/>
          <w:lang w:val="en-US" w:eastAsia="zh-CN"/>
        </w:rPr>
        <w:t>1720.65</w:t>
      </w:r>
      <w:r>
        <w:t>万元，比上年预算增加</w:t>
      </w:r>
      <w:r>
        <w:rPr>
          <w:rFonts w:hint="eastAsia"/>
          <w:lang w:val="en-US" w:eastAsia="zh-CN"/>
        </w:rPr>
        <w:t>44.74</w:t>
      </w:r>
      <w:r>
        <w:t>万元，增长</w:t>
      </w:r>
      <w:r>
        <w:rPr>
          <w:rFonts w:hint="eastAsia"/>
          <w:w w:val="95"/>
          <w:lang w:val="en-US" w:eastAsia="zh-CN"/>
        </w:rPr>
        <w:t>2.6</w:t>
      </w:r>
      <w:r>
        <w:rPr>
          <w:spacing w:val="58"/>
        </w:rPr>
        <w:drawing>
          <wp:inline distT="0" distB="0" distL="0" distR="0">
            <wp:extent cx="91440" cy="142240"/>
            <wp:effectExtent l="0" t="0" r="3810" b="1016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8"/>
        </w:rPr>
        <w:t>，</w:t>
      </w:r>
      <w:r>
        <w:t>增加主要是由于</w:t>
      </w:r>
      <w:r>
        <w:rPr>
          <w:rFonts w:hint="eastAsia"/>
          <w:spacing w:val="-18"/>
          <w:lang w:val="en-US" w:eastAsia="zh-CN"/>
        </w:rPr>
        <w:t>人员经费及五险二金增加</w:t>
      </w:r>
      <w:r>
        <w:t>。</w:t>
      </w:r>
    </w:p>
    <w:p>
      <w:pPr>
        <w:pStyle w:val="3"/>
        <w:tabs>
          <w:tab w:val="left" w:pos="2339"/>
          <w:tab w:val="left" w:pos="7139"/>
        </w:tabs>
        <w:spacing w:before="149"/>
        <w:ind w:left="740"/>
      </w:pPr>
      <w:r>
        <w:t>支出预算</w:t>
      </w:r>
      <w:r>
        <w:rPr>
          <w:rFonts w:hint="eastAsia"/>
          <w:lang w:val="en-US" w:eastAsia="zh-CN"/>
        </w:rPr>
        <w:t>1720.65</w:t>
      </w:r>
      <w:r>
        <w:t>万元，比上年预算增加</w:t>
      </w:r>
      <w:r>
        <w:rPr>
          <w:rFonts w:hint="eastAsia"/>
          <w:lang w:val="en-US" w:eastAsia="zh-CN"/>
        </w:rPr>
        <w:t>44.74</w:t>
      </w:r>
      <w:r>
        <w:t>万元，增长</w:t>
      </w:r>
      <w:r>
        <w:rPr>
          <w:rFonts w:hint="eastAsia"/>
          <w:w w:val="95"/>
          <w:lang w:val="en-US" w:eastAsia="zh-CN"/>
        </w:rPr>
        <w:t>2.6</w:t>
      </w:r>
      <w:r>
        <w:rPr>
          <w:spacing w:val="58"/>
        </w:rPr>
        <w:drawing>
          <wp:inline distT="0" distB="0" distL="0" distR="0">
            <wp:extent cx="91440" cy="142240"/>
            <wp:effectExtent l="0" t="0" r="3810" b="1016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8"/>
        </w:rPr>
        <w:t>，</w:t>
      </w:r>
      <w:r>
        <w:t>增加主要是由于</w:t>
      </w:r>
      <w:r>
        <w:rPr>
          <w:rFonts w:hint="eastAsia"/>
          <w:spacing w:val="-18"/>
          <w:lang w:val="en-US" w:eastAsia="zh-CN"/>
        </w:rPr>
        <w:t>人员经费及五险二金增加</w:t>
      </w:r>
      <w:r>
        <w:t>。</w:t>
      </w:r>
    </w:p>
    <w:p>
      <w:pPr>
        <w:pStyle w:val="3"/>
        <w:spacing w:before="150"/>
        <w:ind w:left="740"/>
      </w:pPr>
      <w:r>
        <w:t>（一</w:t>
      </w:r>
      <w:r>
        <w:rPr>
          <w:spacing w:val="-159"/>
        </w:rPr>
        <w:t>）</w:t>
      </w:r>
      <w:r>
        <w:t>、20</w:t>
      </w:r>
      <w:r>
        <w:rPr>
          <w:rFonts w:hint="eastAsia"/>
          <w:lang w:val="en-US" w:eastAsia="zh-CN"/>
        </w:rPr>
        <w:t>23</w:t>
      </w:r>
      <w:r>
        <w:rPr>
          <w:spacing w:val="-10"/>
        </w:rPr>
        <w:t xml:space="preserve"> 年部门预算收入情况说明</w:t>
      </w:r>
    </w:p>
    <w:p>
      <w:pPr>
        <w:pStyle w:val="3"/>
        <w:tabs>
          <w:tab w:val="left" w:pos="1220"/>
          <w:tab w:val="left" w:pos="1700"/>
          <w:tab w:val="left" w:pos="3090"/>
          <w:tab w:val="left" w:pos="3140"/>
          <w:tab w:val="left" w:pos="3620"/>
          <w:tab w:val="left" w:pos="5545"/>
          <w:tab w:val="left" w:pos="5699"/>
          <w:tab w:val="left" w:pos="5939"/>
          <w:tab w:val="left" w:pos="6392"/>
          <w:tab w:val="left" w:pos="7624"/>
          <w:tab w:val="left" w:pos="8264"/>
          <w:tab w:val="left" w:pos="8420"/>
        </w:tabs>
        <w:spacing w:before="149" w:line="328" w:lineRule="auto"/>
        <w:ind w:left="100" w:right="99" w:firstLine="640"/>
      </w:pPr>
      <w:r>
        <w:t>部门预算收入</w:t>
      </w:r>
      <w:r>
        <w:rPr>
          <w:rFonts w:hint="eastAsia"/>
          <w:lang w:val="en-US" w:eastAsia="zh-CN"/>
        </w:rPr>
        <w:t>1720.65</w:t>
      </w:r>
      <w:r>
        <w:t>万元</w:t>
      </w:r>
      <w:r>
        <w:rPr>
          <w:spacing w:val="-159"/>
        </w:rPr>
        <w:t>，</w:t>
      </w:r>
      <w:r>
        <w:t>其中</w:t>
      </w:r>
      <w:r>
        <w:rPr>
          <w:spacing w:val="-161"/>
        </w:rPr>
        <w:t>：</w:t>
      </w:r>
      <w:r>
        <w:t>一般公共预算拨款收入</w:t>
      </w:r>
      <w:r>
        <w:rPr>
          <w:rFonts w:hint="eastAsia"/>
          <w:lang w:val="en-US" w:eastAsia="zh-CN"/>
        </w:rPr>
        <w:t>1720.65</w:t>
      </w:r>
      <w:r>
        <w:t>万</w:t>
      </w:r>
      <w:r>
        <w:rPr>
          <w:w w:val="95"/>
        </w:rPr>
        <w:t>元</w:t>
      </w:r>
      <w:r>
        <w:rPr>
          <w:spacing w:val="-39"/>
          <w:w w:val="95"/>
        </w:rPr>
        <w:t>，</w:t>
      </w:r>
      <w:r>
        <w:rPr>
          <w:w w:val="95"/>
        </w:rPr>
        <w:t>占比</w:t>
      </w:r>
      <w:r>
        <w:rPr>
          <w:spacing w:val="74"/>
          <w:w w:val="95"/>
        </w:rPr>
        <w:t xml:space="preserve"> </w:t>
      </w:r>
      <w:r>
        <w:rPr>
          <w:spacing w:val="6"/>
        </w:rPr>
        <w:drawing>
          <wp:inline distT="0" distB="0" distL="0" distR="0">
            <wp:extent cx="91440" cy="142240"/>
            <wp:effectExtent l="0" t="0" r="3810" b="1016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9"/>
        </w:rPr>
        <w:t>；</w:t>
      </w:r>
      <w:r>
        <w:t>政府性基金预算拨款收入</w:t>
      </w:r>
      <w:r>
        <w:rPr>
          <w:rFonts w:hint="eastAsia"/>
          <w:lang w:val="en-US" w:eastAsia="zh-CN"/>
        </w:rPr>
        <w:t>0</w:t>
      </w:r>
      <w:r>
        <w:rPr>
          <w:w w:val="95"/>
        </w:rPr>
        <w:t>万元</w:t>
      </w:r>
      <w:r>
        <w:rPr>
          <w:spacing w:val="-39"/>
          <w:w w:val="95"/>
        </w:rPr>
        <w:t>，</w:t>
      </w:r>
      <w:r>
        <w:rPr>
          <w:w w:val="95"/>
        </w:rPr>
        <w:t>占比</w:t>
      </w:r>
      <w:r>
        <w:rPr>
          <w:rFonts w:hint="eastAsia"/>
          <w:w w:val="95"/>
          <w:lang w:val="en-US" w:eastAsia="zh-CN"/>
        </w:rPr>
        <w:t>0</w:t>
      </w:r>
      <w:r>
        <w:rPr>
          <w:spacing w:val="91"/>
          <w:w w:val="95"/>
        </w:rPr>
        <w:t xml:space="preserve"> </w:t>
      </w:r>
      <w:r>
        <w:rPr>
          <w:spacing w:val="6"/>
        </w:rPr>
        <w:drawing>
          <wp:inline distT="0" distB="0" distL="0" distR="0">
            <wp:extent cx="91440" cy="142240"/>
            <wp:effectExtent l="0" t="0" r="3810" b="1016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1"/>
        </w:rPr>
        <w:t>；</w:t>
      </w:r>
      <w:r>
        <w:t>事业</w:t>
      </w:r>
      <w:r>
        <w:rPr>
          <w:w w:val="99"/>
        </w:rPr>
        <w:t>收入</w:t>
      </w:r>
      <w:r>
        <w:rPr>
          <w:rFonts w:hint="eastAsia"/>
          <w:lang w:val="en-US" w:eastAsia="zh-CN"/>
        </w:rPr>
        <w:t>0</w:t>
      </w:r>
      <w:r>
        <w:rPr>
          <w:w w:val="99"/>
        </w:rPr>
        <w:t>万元</w:t>
      </w:r>
      <w:r>
        <w:rPr>
          <w:spacing w:val="-53"/>
          <w:w w:val="99"/>
        </w:rPr>
        <w:t>，</w:t>
      </w:r>
      <w:r>
        <w:rPr>
          <w:w w:val="99"/>
        </w:rPr>
        <w:t>占比</w:t>
      </w:r>
      <w:r>
        <w:rPr>
          <w:rFonts w:hint="eastAsia"/>
          <w:w w:val="99"/>
          <w:lang w:val="en-US" w:eastAsia="zh-CN"/>
        </w:rPr>
        <w:t>0</w:t>
      </w:r>
      <w:r>
        <w:drawing>
          <wp:inline distT="0" distB="0" distL="0" distR="0">
            <wp:extent cx="91440" cy="142240"/>
            <wp:effectExtent l="0" t="0" r="3810" b="1016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3"/>
          <w:w w:val="99"/>
        </w:rPr>
        <w:t>；</w:t>
      </w:r>
      <w:r>
        <w:rPr>
          <w:w w:val="99"/>
        </w:rPr>
        <w:t>事</w:t>
      </w:r>
      <w:r>
        <w:rPr>
          <w:spacing w:val="2"/>
          <w:w w:val="99"/>
        </w:rPr>
        <w:t>业</w:t>
      </w:r>
      <w:r>
        <w:rPr>
          <w:w w:val="99"/>
        </w:rPr>
        <w:t>单位</w:t>
      </w:r>
      <w:r>
        <w:rPr>
          <w:spacing w:val="2"/>
          <w:w w:val="99"/>
        </w:rPr>
        <w:t>经</w:t>
      </w:r>
      <w:r>
        <w:rPr>
          <w:w w:val="99"/>
        </w:rPr>
        <w:t>营收入</w:t>
      </w:r>
      <w:r>
        <w:rPr>
          <w:rFonts w:hint="eastAsia"/>
          <w:lang w:val="en-US" w:eastAsia="zh-CN"/>
        </w:rPr>
        <w:t>0</w:t>
      </w:r>
      <w:r>
        <w:rPr>
          <w:w w:val="99"/>
        </w:rPr>
        <w:t>万</w:t>
      </w:r>
      <w:r>
        <w:rPr>
          <w:spacing w:val="2"/>
          <w:w w:val="99"/>
        </w:rPr>
        <w:t>元</w:t>
      </w:r>
      <w:r>
        <w:rPr>
          <w:spacing w:val="-53"/>
          <w:w w:val="99"/>
        </w:rPr>
        <w:t>，</w:t>
      </w:r>
      <w:r>
        <w:rPr>
          <w:w w:val="99"/>
        </w:rPr>
        <w:t>占比</w:t>
      </w:r>
      <w:r>
        <w:rPr>
          <w:rFonts w:hint="eastAsia"/>
          <w:w w:val="99"/>
          <w:lang w:val="en-US" w:eastAsia="zh-CN"/>
        </w:rPr>
        <w:t>0</w:t>
      </w:r>
      <w:r>
        <w:drawing>
          <wp:inline distT="0" distB="0" distL="0" distR="0">
            <wp:extent cx="91440" cy="142240"/>
            <wp:effectExtent l="0" t="0" r="3810" b="1016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1"/>
          <w:w w:val="99"/>
        </w:rPr>
        <w:t>；</w:t>
      </w:r>
      <w:r>
        <w:rPr>
          <w:w w:val="99"/>
        </w:rPr>
        <w:t>，</w:t>
      </w:r>
      <w:r>
        <w:t>其他收入</w:t>
      </w:r>
      <w:r>
        <w:rPr>
          <w:rFonts w:hint="eastAsia"/>
          <w:lang w:val="en-US" w:eastAsia="zh-CN"/>
        </w:rPr>
        <w:t>0</w:t>
      </w:r>
      <w:r>
        <w:rPr>
          <w:w w:val="95"/>
        </w:rPr>
        <w:t>万元，占比</w:t>
      </w:r>
      <w:r>
        <w:rPr>
          <w:rFonts w:hint="eastAsia"/>
          <w:w w:val="95"/>
          <w:lang w:val="en-US" w:eastAsia="zh-CN"/>
        </w:rPr>
        <w:t>0</w:t>
      </w:r>
      <w:r>
        <w:drawing>
          <wp:inline distT="0" distB="0" distL="0" distR="0">
            <wp:extent cx="91440" cy="142240"/>
            <wp:effectExtent l="0" t="0" r="3810" b="1016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；上年结转</w:t>
      </w:r>
      <w:r>
        <w:rPr>
          <w:rFonts w:hint="eastAsia"/>
          <w:lang w:val="en-US" w:eastAsia="zh-CN"/>
        </w:rPr>
        <w:t>0</w:t>
      </w:r>
      <w:r>
        <w:rPr>
          <w:w w:val="95"/>
        </w:rPr>
        <w:t>万元，占比</w:t>
      </w:r>
      <w:r>
        <w:rPr>
          <w:w w:val="95"/>
        </w:rPr>
        <w:tab/>
      </w:r>
      <w:r>
        <w:rPr>
          <w:rFonts w:hint="eastAsia"/>
          <w:w w:val="95"/>
          <w:lang w:val="en-US" w:eastAsia="zh-CN"/>
        </w:rPr>
        <w:t>0</w:t>
      </w:r>
      <w:r>
        <w:drawing>
          <wp:inline distT="0" distB="0" distL="0" distR="0">
            <wp:extent cx="91440" cy="142240"/>
            <wp:effectExtent l="0" t="0" r="3810" b="1016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，用事业基金弥补的收支差额</w:t>
      </w:r>
      <w:r>
        <w:rPr>
          <w:rFonts w:hint="eastAsia"/>
          <w:lang w:val="en-US" w:eastAsia="zh-CN"/>
        </w:rPr>
        <w:t>0</w:t>
      </w:r>
      <w:r>
        <w:rPr>
          <w:w w:val="95"/>
        </w:rPr>
        <w:t>万元，占比</w:t>
      </w:r>
      <w:r>
        <w:rPr>
          <w:rFonts w:hint="eastAsia"/>
          <w:w w:val="95"/>
          <w:lang w:val="en-US" w:eastAsia="zh-CN"/>
        </w:rPr>
        <w:t>0</w:t>
      </w:r>
      <w:r>
        <w:drawing>
          <wp:inline distT="0" distB="0" distL="0" distR="0">
            <wp:extent cx="91440" cy="142240"/>
            <wp:effectExtent l="0" t="0" r="3810" b="1016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pStyle w:val="3"/>
        <w:spacing w:line="402" w:lineRule="exact"/>
        <w:ind w:left="740"/>
      </w:pPr>
      <w:r>
        <w:t>（二</w:t>
      </w:r>
      <w:r>
        <w:rPr>
          <w:spacing w:val="-159"/>
        </w:rPr>
        <w:t>）</w:t>
      </w:r>
      <w:r>
        <w:t>、20</w:t>
      </w:r>
      <w:r>
        <w:rPr>
          <w:rFonts w:hint="eastAsia"/>
          <w:lang w:val="en-US" w:eastAsia="zh-CN"/>
        </w:rPr>
        <w:t>23</w:t>
      </w:r>
      <w:r>
        <w:rPr>
          <w:spacing w:val="-10"/>
        </w:rPr>
        <w:t>年部门预算支出情况说明</w:t>
      </w:r>
    </w:p>
    <w:p>
      <w:pPr>
        <w:adjustRightInd w:val="0"/>
        <w:snapToGrid w:val="0"/>
        <w:spacing w:line="560" w:lineRule="exact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部门预算支出1720.65万元，其中：基本支出1668.65万元，占比96.98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drawing>
          <wp:inline distT="0" distB="0" distL="0" distR="0">
            <wp:extent cx="91440" cy="142240"/>
            <wp:effectExtent l="0" t="0" r="3810" b="1016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； 项目支出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ab/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52万元，占比3.02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drawing>
          <wp:inline distT="0" distB="0" distL="0" distR="0">
            <wp:extent cx="91440" cy="142240"/>
            <wp:effectExtent l="0" t="0" r="3810" b="1016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；事业单位经营支出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ab/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0万元，占比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ab/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0,主要用于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人员工资、办公费、邮电费、电费、水费、差旅费、培训费、公务用车运行维护费、劳务费、其他交通费、其他商品和服务支出</w:t>
      </w:r>
      <w:r>
        <w:rPr>
          <w:rFonts w:hint="eastAsia" w:ascii="楷体_GB2312" w:hAnsi="楷体_GB2312" w:eastAsia="楷体_GB2312" w:cs="楷体_GB2312"/>
          <w:sz w:val="32"/>
          <w:szCs w:val="32"/>
        </w:rPr>
        <w:t>等”方面支出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项目支出主要用于：镇区内划停车位。</w:t>
      </w:r>
    </w:p>
    <w:p>
      <w:pPr>
        <w:pStyle w:val="3"/>
        <w:spacing w:before="150"/>
        <w:ind w:left="740"/>
      </w:pPr>
      <w:r>
        <w:t>二、一般公共预算财政拨款收支情况说明</w:t>
      </w:r>
    </w:p>
    <w:p>
      <w:pPr>
        <w:pStyle w:val="3"/>
        <w:spacing w:before="149"/>
        <w:ind w:left="740"/>
      </w:pPr>
      <w:r>
        <w:t>（一）财政拨款规模情况</w:t>
      </w:r>
    </w:p>
    <w:p>
      <w:pPr>
        <w:pStyle w:val="3"/>
        <w:tabs>
          <w:tab w:val="left" w:pos="3779"/>
          <w:tab w:val="left" w:pos="5219"/>
          <w:tab w:val="left" w:pos="7940"/>
        </w:tabs>
        <w:spacing w:before="151" w:line="326" w:lineRule="auto"/>
        <w:ind w:left="100" w:right="99" w:firstLine="640"/>
      </w:pPr>
      <w:r>
        <w:rPr>
          <w:rFonts w:hint="eastAsia" w:ascii="仿宋" w:hAnsi="仿宋" w:eastAsia="仿宋" w:cs="仿宋"/>
          <w:sz w:val="32"/>
          <w:szCs w:val="32"/>
        </w:rPr>
        <w:t>财政拨款收支预算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1720.65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pacing w:val="-79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包括</w:t>
      </w:r>
      <w:r>
        <w:rPr>
          <w:rFonts w:hint="eastAsia" w:ascii="仿宋" w:hAnsi="仿宋" w:eastAsia="仿宋" w:cs="仿宋"/>
          <w:spacing w:val="-79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一般公共预算财政</w:t>
      </w:r>
      <w:r>
        <w:t>拨款</w:t>
      </w:r>
      <w:r>
        <w:rPr>
          <w:rFonts w:hint="eastAsia"/>
          <w:lang w:val="en-US" w:eastAsia="zh-CN"/>
        </w:rPr>
        <w:t>1720.65</w:t>
      </w:r>
      <w:r>
        <w:t>万元，政府性基金预算财政拨款</w:t>
      </w:r>
      <w:r>
        <w:rPr>
          <w:rFonts w:hint="eastAsia"/>
          <w:lang w:val="en-US" w:eastAsia="zh-CN"/>
        </w:rPr>
        <w:t>0</w:t>
      </w:r>
      <w:r>
        <w:t>万元，上年结转</w:t>
      </w:r>
      <w:r>
        <w:rPr>
          <w:rFonts w:hint="eastAsia"/>
          <w:lang w:val="en-US" w:eastAsia="zh-CN"/>
        </w:rPr>
        <w:t>0</w:t>
      </w:r>
      <w:r>
        <w:t>万元</w:t>
      </w:r>
      <w:r>
        <w:rPr>
          <w:spacing w:val="-16"/>
        </w:rPr>
        <w:t>。</w:t>
      </w:r>
    </w:p>
    <w:p>
      <w:pPr>
        <w:pStyle w:val="3"/>
        <w:spacing w:before="4"/>
        <w:ind w:left="740"/>
      </w:pPr>
      <w:r>
        <w:t>（二）一般公共预算财政拨款具体使用安排情况</w:t>
      </w:r>
    </w:p>
    <w:p>
      <w:pPr>
        <w:tabs>
          <w:tab w:val="left" w:leader="dot" w:pos="3459"/>
          <w:tab w:val="left" w:pos="7767"/>
        </w:tabs>
        <w:spacing w:before="151" w:line="326" w:lineRule="auto"/>
        <w:ind w:left="100" w:right="258" w:firstLine="640"/>
        <w:jc w:val="left"/>
        <w:rPr>
          <w:sz w:val="32"/>
        </w:rPr>
      </w:pPr>
      <w:r>
        <w:rPr>
          <w:sz w:val="32"/>
        </w:rPr>
        <w:t>1.</w:t>
      </w:r>
      <w:r>
        <w:rPr>
          <w:b/>
          <w:spacing w:val="7"/>
          <w:sz w:val="32"/>
        </w:rPr>
        <w:t>一</w:t>
      </w:r>
      <w:r>
        <w:rPr>
          <w:b/>
          <w:spacing w:val="9"/>
          <w:sz w:val="32"/>
        </w:rPr>
        <w:t>般</w:t>
      </w:r>
      <w:r>
        <w:rPr>
          <w:b/>
          <w:spacing w:val="7"/>
          <w:sz w:val="32"/>
        </w:rPr>
        <w:t>公共服</w:t>
      </w:r>
      <w:r>
        <w:rPr>
          <w:b/>
          <w:spacing w:val="9"/>
          <w:sz w:val="32"/>
        </w:rPr>
        <w:t>务</w:t>
      </w:r>
      <w:r>
        <w:rPr>
          <w:b/>
          <w:sz w:val="32"/>
        </w:rPr>
        <w:t>类</w:t>
      </w:r>
      <w:r>
        <w:rPr>
          <w:rFonts w:hint="eastAsia"/>
          <w:sz w:val="32"/>
          <w:szCs w:val="32"/>
          <w:lang w:val="en-US" w:eastAsia="zh-CN"/>
        </w:rPr>
        <w:t>1720.65</w:t>
      </w:r>
      <w:r>
        <w:rPr>
          <w:spacing w:val="7"/>
          <w:sz w:val="32"/>
        </w:rPr>
        <w:t>万元</w:t>
      </w:r>
      <w:r>
        <w:rPr>
          <w:spacing w:val="5"/>
          <w:sz w:val="32"/>
        </w:rPr>
        <w:t>，</w:t>
      </w:r>
      <w:r>
        <w:rPr>
          <w:spacing w:val="7"/>
          <w:sz w:val="32"/>
        </w:rPr>
        <w:t>比上年</w:t>
      </w:r>
      <w:r>
        <w:rPr>
          <w:spacing w:val="5"/>
          <w:sz w:val="32"/>
        </w:rPr>
        <w:t>预</w:t>
      </w:r>
      <w:r>
        <w:rPr>
          <w:spacing w:val="7"/>
          <w:sz w:val="32"/>
        </w:rPr>
        <w:t>算数增</w:t>
      </w:r>
      <w:r>
        <w:rPr>
          <w:sz w:val="32"/>
        </w:rPr>
        <w:t>加</w:t>
      </w:r>
      <w:r>
        <w:rPr>
          <w:rFonts w:hint="eastAsia"/>
          <w:sz w:val="32"/>
          <w:szCs w:val="32"/>
          <w:lang w:val="en-US" w:eastAsia="zh-CN"/>
        </w:rPr>
        <w:t>44.74</w:t>
      </w:r>
      <w:r>
        <w:rPr>
          <w:spacing w:val="7"/>
          <w:sz w:val="32"/>
        </w:rPr>
        <w:t>万元</w:t>
      </w:r>
      <w:r>
        <w:rPr>
          <w:spacing w:val="-16"/>
          <w:sz w:val="32"/>
        </w:rPr>
        <w:t>。</w:t>
      </w:r>
      <w:r>
        <w:rPr>
          <w:sz w:val="32"/>
        </w:rPr>
        <w:t>主要用于</w:t>
      </w:r>
      <w:r>
        <w:rPr>
          <w:rFonts w:hint="eastAsia"/>
          <w:spacing w:val="-18"/>
          <w:sz w:val="32"/>
          <w:szCs w:val="32"/>
          <w:lang w:val="en-US" w:eastAsia="zh-CN"/>
        </w:rPr>
        <w:t>人员经费及五险二金</w:t>
      </w:r>
      <w:r>
        <w:rPr>
          <w:sz w:val="32"/>
        </w:rPr>
        <w:t>。</w:t>
      </w:r>
    </w:p>
    <w:p>
      <w:pPr>
        <w:tabs>
          <w:tab w:val="left" w:leader="dot" w:pos="4259"/>
          <w:tab w:val="left" w:pos="8418"/>
        </w:tabs>
        <w:spacing w:before="3" w:line="328" w:lineRule="auto"/>
        <w:ind w:left="100" w:right="260" w:firstLine="640"/>
        <w:jc w:val="left"/>
        <w:rPr>
          <w:sz w:val="32"/>
        </w:rPr>
      </w:pPr>
      <w:r>
        <w:rPr>
          <w:spacing w:val="3"/>
          <w:sz w:val="32"/>
        </w:rPr>
        <w:t>2</w:t>
      </w:r>
      <w:r>
        <w:rPr>
          <w:spacing w:val="7"/>
          <w:sz w:val="32"/>
        </w:rPr>
        <w:t>、</w:t>
      </w:r>
      <w:r>
        <w:rPr>
          <w:b/>
          <w:spacing w:val="7"/>
          <w:sz w:val="32"/>
        </w:rPr>
        <w:t>社会保障</w:t>
      </w:r>
      <w:r>
        <w:rPr>
          <w:b/>
          <w:spacing w:val="9"/>
          <w:sz w:val="32"/>
        </w:rPr>
        <w:t>和</w:t>
      </w:r>
      <w:r>
        <w:rPr>
          <w:b/>
          <w:spacing w:val="7"/>
          <w:sz w:val="32"/>
        </w:rPr>
        <w:t>就业</w:t>
      </w:r>
      <w:r>
        <w:rPr>
          <w:b/>
          <w:sz w:val="32"/>
        </w:rPr>
        <w:t xml:space="preserve">类 </w:t>
      </w:r>
      <w:r>
        <w:rPr>
          <w:rFonts w:hint="eastAsia"/>
          <w:b/>
          <w:sz w:val="32"/>
          <w:lang w:val="en-US" w:eastAsia="zh-CN"/>
        </w:rPr>
        <w:t>153.77</w:t>
      </w:r>
      <w:r>
        <w:rPr>
          <w:b/>
          <w:sz w:val="32"/>
        </w:rPr>
        <w:t xml:space="preserve"> </w:t>
      </w:r>
      <w:r>
        <w:rPr>
          <w:spacing w:val="7"/>
          <w:sz w:val="32"/>
        </w:rPr>
        <w:t>万</w:t>
      </w:r>
      <w:r>
        <w:rPr>
          <w:spacing w:val="5"/>
          <w:sz w:val="32"/>
        </w:rPr>
        <w:t>元</w:t>
      </w:r>
      <w:r>
        <w:rPr>
          <w:spacing w:val="7"/>
          <w:sz w:val="32"/>
        </w:rPr>
        <w:t>，</w:t>
      </w:r>
      <w:r>
        <w:rPr>
          <w:spacing w:val="5"/>
          <w:sz w:val="32"/>
        </w:rPr>
        <w:t>比</w:t>
      </w:r>
      <w:r>
        <w:rPr>
          <w:spacing w:val="7"/>
          <w:sz w:val="32"/>
        </w:rPr>
        <w:t>上年</w:t>
      </w:r>
      <w:r>
        <w:rPr>
          <w:spacing w:val="5"/>
          <w:sz w:val="32"/>
        </w:rPr>
        <w:t>预</w:t>
      </w:r>
      <w:r>
        <w:rPr>
          <w:spacing w:val="7"/>
          <w:sz w:val="32"/>
        </w:rPr>
        <w:t>算</w:t>
      </w:r>
      <w:r>
        <w:rPr>
          <w:spacing w:val="5"/>
          <w:sz w:val="32"/>
        </w:rPr>
        <w:t>数</w:t>
      </w:r>
      <w:r>
        <w:rPr>
          <w:rFonts w:hint="eastAsia"/>
          <w:spacing w:val="5"/>
          <w:sz w:val="32"/>
          <w:lang w:val="en-US" w:eastAsia="zh-CN"/>
        </w:rPr>
        <w:t>减少</w:t>
      </w:r>
      <w:r>
        <w:rPr>
          <w:rFonts w:hint="eastAsia"/>
          <w:sz w:val="32"/>
          <w:lang w:val="en-US" w:eastAsia="zh-CN"/>
        </w:rPr>
        <w:t>0.72</w:t>
      </w:r>
      <w:r>
        <w:rPr>
          <w:spacing w:val="-17"/>
          <w:sz w:val="32"/>
        </w:rPr>
        <w:t>万</w:t>
      </w:r>
      <w:r>
        <w:rPr>
          <w:sz w:val="32"/>
        </w:rPr>
        <w:t>元。主要用于</w:t>
      </w:r>
      <w:r>
        <w:rPr>
          <w:rFonts w:hint="eastAsia"/>
          <w:sz w:val="32"/>
          <w:lang w:val="en-US" w:eastAsia="zh-CN"/>
        </w:rPr>
        <w:t>2023年五险一金的缴纳</w:t>
      </w:r>
      <w:r>
        <w:rPr>
          <w:sz w:val="32"/>
        </w:rPr>
        <w:t>。</w:t>
      </w:r>
    </w:p>
    <w:p>
      <w:pPr>
        <w:pStyle w:val="3"/>
        <w:spacing w:before="150"/>
        <w:ind w:left="740"/>
      </w:pPr>
      <w:r>
        <w:t>三、20</w:t>
      </w:r>
      <w:r>
        <w:rPr>
          <w:rFonts w:hint="eastAsia"/>
          <w:lang w:val="en-US" w:eastAsia="zh-CN"/>
        </w:rPr>
        <w:t>23</w:t>
      </w:r>
      <w:r>
        <w:t xml:space="preserve"> 年“三公”经费财政预算安排情况说明</w:t>
      </w:r>
    </w:p>
    <w:p>
      <w:pPr>
        <w:pStyle w:val="3"/>
        <w:tabs>
          <w:tab w:val="left" w:pos="1059"/>
          <w:tab w:val="left" w:pos="4424"/>
          <w:tab w:val="left" w:pos="5619"/>
        </w:tabs>
        <w:spacing w:before="151" w:line="326" w:lineRule="auto"/>
        <w:ind w:left="100" w:right="258" w:firstLine="640"/>
        <w:rPr>
          <w:rFonts w:hint="default" w:eastAsia="楷体"/>
          <w:lang w:val="en-US" w:eastAsia="zh-CN"/>
        </w:rPr>
      </w:pPr>
      <w:r>
        <w:t>财政拨</w:t>
      </w:r>
      <w:r>
        <w:rPr>
          <w:spacing w:val="-41"/>
        </w:rPr>
        <w:t>款</w:t>
      </w:r>
      <w:r>
        <w:t>“三公</w:t>
      </w:r>
      <w:r>
        <w:rPr>
          <w:spacing w:val="-39"/>
        </w:rPr>
        <w:t>”</w:t>
      </w:r>
      <w:r>
        <w:t>经费支出预算</w:t>
      </w:r>
      <w:r>
        <w:rPr>
          <w:rFonts w:hint="eastAsia"/>
          <w:lang w:val="en-US" w:eastAsia="zh-CN"/>
        </w:rPr>
        <w:t>34</w:t>
      </w:r>
      <w:r>
        <w:t>万元</w:t>
      </w:r>
      <w:r>
        <w:rPr>
          <w:spacing w:val="-41"/>
        </w:rPr>
        <w:t>，</w:t>
      </w:r>
      <w:r>
        <w:t>比上年</w:t>
      </w:r>
      <w:r>
        <w:rPr>
          <w:spacing w:val="-14"/>
        </w:rPr>
        <w:t>减</w:t>
      </w:r>
      <w:r>
        <w:t>少</w:t>
      </w:r>
      <w:r>
        <w:rPr>
          <w:rFonts w:hint="eastAsia"/>
          <w:lang w:val="en-US" w:eastAsia="zh-CN"/>
        </w:rPr>
        <w:t>10</w:t>
      </w:r>
      <w:r>
        <w:rPr>
          <w:w w:val="95"/>
        </w:rPr>
        <w:t>万元，下降</w:t>
      </w:r>
      <w:r>
        <w:rPr>
          <w:rFonts w:hint="eastAsia"/>
          <w:w w:val="95"/>
          <w:lang w:val="en-US" w:eastAsia="zh-CN"/>
        </w:rPr>
        <w:t>22.73</w:t>
      </w:r>
      <w:r>
        <w:drawing>
          <wp:inline distT="0" distB="0" distL="0" distR="0">
            <wp:extent cx="91440" cy="142240"/>
            <wp:effectExtent l="0" t="0" r="3810" b="1016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。其中：</w:t>
      </w:r>
      <w:r>
        <w:rPr>
          <w:rFonts w:hint="eastAsia"/>
          <w:lang w:val="en-US" w:eastAsia="zh-CN"/>
        </w:rPr>
        <w:t>公务用车运行维护费减少10万元。</w:t>
      </w:r>
    </w:p>
    <w:p>
      <w:pPr>
        <w:pStyle w:val="3"/>
        <w:tabs>
          <w:tab w:val="left" w:pos="1081"/>
          <w:tab w:val="left" w:pos="4036"/>
          <w:tab w:val="left" w:pos="4580"/>
          <w:tab w:val="left" w:leader="dot" w:pos="8579"/>
        </w:tabs>
        <w:spacing w:before="3" w:line="328" w:lineRule="auto"/>
        <w:ind w:left="100" w:right="99" w:firstLine="640"/>
      </w:pPr>
      <w:r>
        <w:t>1、因公出国（境）费用</w:t>
      </w:r>
      <w:r>
        <w:rPr>
          <w:rFonts w:hint="eastAsia"/>
          <w:lang w:val="en-US" w:eastAsia="zh-CN"/>
        </w:rPr>
        <w:t>0</w:t>
      </w:r>
      <w:r>
        <w:t>万元，比上年预算数增加</w:t>
      </w:r>
      <w:r>
        <w:rPr>
          <w:rFonts w:hint="eastAsia"/>
          <w:lang w:val="en-US" w:eastAsia="zh-CN"/>
        </w:rPr>
        <w:t>0</w:t>
      </w:r>
      <w:r>
        <w:rPr>
          <w:w w:val="95"/>
        </w:rPr>
        <w:t>万元</w:t>
      </w:r>
      <w:r>
        <w:rPr>
          <w:spacing w:val="-137"/>
          <w:w w:val="95"/>
        </w:rPr>
        <w:t>，</w:t>
      </w:r>
      <w:r>
        <w:rPr>
          <w:w w:val="95"/>
        </w:rPr>
        <w:t>增</w:t>
      </w:r>
      <w:r>
        <w:rPr>
          <w:spacing w:val="-130"/>
          <w:w w:val="95"/>
        </w:rPr>
        <w:t>长</w:t>
      </w:r>
      <w:r>
        <w:rPr>
          <w:rFonts w:hint="eastAsia"/>
          <w:spacing w:val="-130"/>
          <w:w w:val="95"/>
          <w:lang w:val="en-US" w:eastAsia="zh-CN"/>
        </w:rPr>
        <w:t xml:space="preserve">           </w:t>
      </w:r>
      <w:r>
        <w:rPr>
          <w:rFonts w:hint="eastAsia"/>
          <w:spacing w:val="-5"/>
          <w:w w:val="95"/>
          <w:lang w:val="en-US" w:eastAsia="zh-CN"/>
        </w:rPr>
        <w:t>0</w:t>
      </w:r>
      <w:r>
        <w:drawing>
          <wp:inline distT="0" distB="0" distL="0" distR="0">
            <wp:extent cx="91440" cy="142240"/>
            <wp:effectExtent l="0" t="0" r="3810" b="10160"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7"/>
        </w:rPr>
        <w:t>。</w:t>
      </w:r>
      <w:r>
        <w:tab/>
      </w:r>
      <w:r>
        <w:rPr>
          <w:spacing w:val="-17"/>
        </w:rPr>
        <w:t>。</w:t>
      </w:r>
    </w:p>
    <w:p>
      <w:pPr>
        <w:pStyle w:val="3"/>
        <w:tabs>
          <w:tab w:val="left" w:pos="904"/>
          <w:tab w:val="left" w:pos="3359"/>
          <w:tab w:val="left" w:pos="7441"/>
        </w:tabs>
        <w:spacing w:line="326" w:lineRule="auto"/>
        <w:ind w:left="100" w:right="260" w:firstLine="640"/>
      </w:pPr>
      <w:r>
        <w:rPr>
          <w:spacing w:val="3"/>
        </w:rPr>
        <w:t>2</w:t>
      </w:r>
      <w:r>
        <w:rPr>
          <w:spacing w:val="7"/>
        </w:rPr>
        <w:t>、公</w:t>
      </w:r>
      <w:r>
        <w:rPr>
          <w:spacing w:val="5"/>
        </w:rPr>
        <w:t>务</w:t>
      </w:r>
      <w:r>
        <w:rPr>
          <w:spacing w:val="7"/>
        </w:rPr>
        <w:t>接待</w:t>
      </w:r>
      <w:r>
        <w:t>费</w:t>
      </w:r>
      <w:r>
        <w:rPr>
          <w:rFonts w:hint="eastAsia"/>
          <w:lang w:val="en-US" w:eastAsia="zh-CN"/>
        </w:rPr>
        <w:t>2</w:t>
      </w:r>
      <w:r>
        <w:rPr>
          <w:spacing w:val="7"/>
        </w:rPr>
        <w:t>万元</w:t>
      </w:r>
      <w:r>
        <w:rPr>
          <w:spacing w:val="5"/>
        </w:rPr>
        <w:t>，</w:t>
      </w:r>
      <w:r>
        <w:rPr>
          <w:spacing w:val="7"/>
        </w:rPr>
        <w:t>比上年预</w:t>
      </w:r>
      <w:r>
        <w:rPr>
          <w:spacing w:val="5"/>
        </w:rPr>
        <w:t>算</w:t>
      </w:r>
      <w:r>
        <w:rPr>
          <w:spacing w:val="7"/>
        </w:rPr>
        <w:t>数减</w:t>
      </w:r>
      <w:r>
        <w:t>少</w:t>
      </w:r>
      <w:r>
        <w:rPr>
          <w:rFonts w:hint="eastAsia"/>
          <w:lang w:val="en-US" w:eastAsia="zh-CN"/>
        </w:rPr>
        <w:t>0</w:t>
      </w:r>
      <w:r>
        <w:rPr>
          <w:spacing w:val="7"/>
        </w:rPr>
        <w:t>万元</w:t>
      </w:r>
      <w:r>
        <w:rPr>
          <w:spacing w:val="5"/>
        </w:rPr>
        <w:t>，</w:t>
      </w:r>
      <w:r>
        <w:rPr>
          <w:spacing w:val="-16"/>
        </w:rPr>
        <w:t>下</w:t>
      </w:r>
      <w:r>
        <w:rPr>
          <w:w w:val="95"/>
        </w:rPr>
        <w:t>降</w:t>
      </w:r>
      <w:r>
        <w:rPr>
          <w:w w:val="95"/>
        </w:rPr>
        <w:tab/>
      </w:r>
      <w:r>
        <w:rPr>
          <w:rFonts w:hint="eastAsia"/>
          <w:w w:val="95"/>
          <w:lang w:val="en-US" w:eastAsia="zh-CN"/>
        </w:rPr>
        <w:t>0</w:t>
      </w:r>
      <w:r>
        <w:drawing>
          <wp:inline distT="0" distB="0" distL="0" distR="0">
            <wp:extent cx="91440" cy="142240"/>
            <wp:effectExtent l="0" t="0" r="3810" b="1016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5"/>
        </w:rPr>
        <w:t>。</w:t>
      </w:r>
    </w:p>
    <w:p>
      <w:pPr>
        <w:pStyle w:val="3"/>
        <w:tabs>
          <w:tab w:val="left" w:pos="904"/>
          <w:tab w:val="left" w:pos="3359"/>
          <w:tab w:val="left" w:pos="7441"/>
        </w:tabs>
        <w:spacing w:line="326" w:lineRule="auto"/>
        <w:ind w:left="100" w:right="260" w:firstLine="640"/>
        <w:rPr>
          <w:rFonts w:hint="eastAsia"/>
          <w:spacing w:val="5"/>
          <w:lang w:val="en-US" w:eastAsia="zh-CN"/>
        </w:rPr>
      </w:pPr>
      <w:r>
        <w:t>3、</w:t>
      </w:r>
      <w:r>
        <w:rPr>
          <w:spacing w:val="5"/>
        </w:rPr>
        <w:t>公务用车购置及运行维护费</w:t>
      </w:r>
      <w:r>
        <w:rPr>
          <w:rFonts w:hint="eastAsia"/>
          <w:spacing w:val="5"/>
          <w:lang w:val="en-US" w:eastAsia="zh-CN"/>
        </w:rPr>
        <w:t>32</w:t>
      </w:r>
      <w:r>
        <w:rPr>
          <w:spacing w:val="5"/>
        </w:rPr>
        <w:t>万元，比上年预算增加</w:t>
      </w:r>
      <w:r>
        <w:rPr>
          <w:rFonts w:hint="eastAsia"/>
          <w:spacing w:val="5"/>
          <w:lang w:val="en-US" w:eastAsia="zh-CN"/>
        </w:rPr>
        <w:t>0</w:t>
      </w:r>
    </w:p>
    <w:p>
      <w:pPr>
        <w:pStyle w:val="3"/>
        <w:tabs>
          <w:tab w:val="left" w:pos="904"/>
          <w:tab w:val="left" w:pos="3359"/>
          <w:tab w:val="left" w:pos="7441"/>
        </w:tabs>
        <w:spacing w:line="326" w:lineRule="auto"/>
        <w:ind w:left="100" w:right="260" w:firstLine="640"/>
        <w:rPr>
          <w:rFonts w:hint="default" w:eastAsia="楷体"/>
          <w:u w:val="single"/>
          <w:lang w:val="en-US" w:eastAsia="zh-CN"/>
        </w:rPr>
      </w:pPr>
      <w:r>
        <w:rPr>
          <w:rFonts w:hint="eastAsia"/>
          <w:spacing w:val="5"/>
          <w:lang w:val="en-US" w:eastAsia="zh-CN"/>
        </w:rPr>
        <w:t>0</w:t>
      </w:r>
      <w:r>
        <w:rPr>
          <w:spacing w:val="5"/>
        </w:rPr>
        <w:t xml:space="preserve"> 万元，增长</w:t>
      </w:r>
      <w:r>
        <w:rPr>
          <w:rFonts w:hint="eastAsia"/>
          <w:spacing w:val="5"/>
          <w:lang w:val="en-US" w:eastAsia="zh-CN"/>
        </w:rPr>
        <w:t>0</w:t>
      </w:r>
      <w:r>
        <w:rPr>
          <w:spacing w:val="5"/>
        </w:rPr>
        <w:drawing>
          <wp:inline distT="0" distB="0" distL="0" distR="0">
            <wp:extent cx="91440" cy="142240"/>
            <wp:effectExtent l="0" t="0" r="3810" b="10160"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  <w:t>。其中，公务用车购置</w:t>
      </w:r>
      <w:r>
        <w:rPr>
          <w:rFonts w:hint="eastAsia"/>
          <w:spacing w:val="5"/>
          <w:lang w:val="en-US" w:eastAsia="zh-CN"/>
        </w:rPr>
        <w:t>0</w:t>
      </w:r>
      <w:r>
        <w:rPr>
          <w:spacing w:val="5"/>
        </w:rPr>
        <w:t>万元，比上年预算增加</w:t>
      </w:r>
      <w:r>
        <w:rPr>
          <w:rFonts w:hint="eastAsia"/>
          <w:spacing w:val="5"/>
          <w:lang w:val="en-US" w:eastAsia="zh-CN"/>
        </w:rPr>
        <w:t>0</w:t>
      </w:r>
      <w:r>
        <w:rPr>
          <w:spacing w:val="5"/>
        </w:rPr>
        <w:t>万元，增长</w:t>
      </w:r>
      <w:r>
        <w:rPr>
          <w:rFonts w:hint="eastAsia"/>
          <w:spacing w:val="5"/>
          <w:lang w:val="en-US" w:eastAsia="zh-CN"/>
        </w:rPr>
        <w:t>0</w:t>
      </w:r>
      <w:r>
        <w:rPr>
          <w:spacing w:val="5"/>
        </w:rPr>
        <w:drawing>
          <wp:inline distT="0" distB="0" distL="0" distR="0">
            <wp:extent cx="91440" cy="142240"/>
            <wp:effectExtent l="0" t="0" r="3810" b="10160"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  <w:t>；公</w: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2921000</wp:posOffset>
                </wp:positionH>
                <wp:positionV relativeFrom="paragraph">
                  <wp:posOffset>-87630</wp:posOffset>
                </wp:positionV>
                <wp:extent cx="1845310" cy="36449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364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pt;margin-top:-6.9pt;height:28.7pt;width:145.3pt;mso-position-horizontal-relative:page;z-index:-251656192;mso-width-relative:page;mso-height-relative:page;" filled="f" stroked="f" coordsize="21600,21600" o:gfxdata="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wz21h2AAAAAoBAAAPAAAAAAAAAAEAIAAAACIAAABkcnMvZG93bnJldi54bWxQSwEC&#10;FAAUAAAACACHTuJAT5Lu07sBAABy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</v:shape>
            </w:pict>
          </mc:Fallback>
        </mc:AlternateContent>
      </w:r>
      <w:r>
        <w:t>务用车运行维护费</w:t>
      </w:r>
      <w:r>
        <w:rPr>
          <w:rFonts w:hint="eastAsia"/>
          <w:lang w:val="en-US" w:eastAsia="zh-CN"/>
        </w:rPr>
        <w:t>32</w:t>
      </w:r>
      <w:r>
        <w:rPr>
          <w:spacing w:val="-10"/>
        </w:rPr>
        <w:t>万元，比上年预算</w:t>
      </w:r>
      <w:r>
        <w:rPr>
          <w:w w:val="95"/>
        </w:rPr>
        <w:t>下降</w:t>
      </w:r>
      <w:r>
        <w:rPr>
          <w:rFonts w:hint="eastAsia"/>
          <w:w w:val="95"/>
          <w:lang w:val="en-US" w:eastAsia="zh-CN"/>
        </w:rPr>
        <w:t>23.81</w:t>
      </w:r>
      <w:r>
        <w:drawing>
          <wp:inline distT="0" distB="0" distL="0" distR="0">
            <wp:extent cx="91440" cy="142240"/>
            <wp:effectExtent l="0" t="0" r="3810" b="10160"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  <w:t>。</w:t>
      </w:r>
    </w:p>
    <w:p>
      <w:pPr>
        <w:pStyle w:val="3"/>
        <w:spacing w:before="150"/>
        <w:ind w:left="740"/>
        <w:rPr>
          <w:u w:val="single"/>
        </w:rPr>
      </w:pPr>
      <w:r>
        <w:rPr>
          <w:u w:val="single"/>
        </w:rPr>
        <w:t>四、机关运行经费安排情况说明</w:t>
      </w:r>
    </w:p>
    <w:p>
      <w:pPr>
        <w:pStyle w:val="3"/>
        <w:spacing w:before="149" w:line="328" w:lineRule="auto"/>
        <w:ind w:left="100" w:right="258" w:firstLine="640"/>
        <w:jc w:val="both"/>
      </w:pPr>
      <w:r>
        <w:rPr>
          <w:w w:val="95"/>
        </w:rPr>
        <w:t xml:space="preserve">机关运行经费，是指各部门的公用经费，包括办公及印刷 费、邮电费、差旅费、会议费、福利费、日常维修费、专业材 料及一般设备购置费、办公用房水电费、办公用房取暖费、办 </w:t>
      </w:r>
      <w:r>
        <w:t>公用房物业管理费、公务用车运行维护费以及其他费用。</w:t>
      </w:r>
    </w:p>
    <w:p>
      <w:pPr>
        <w:pStyle w:val="3"/>
        <w:tabs>
          <w:tab w:val="left" w:leader="dot" w:pos="4259"/>
        </w:tabs>
        <w:spacing w:line="328" w:lineRule="auto"/>
        <w:ind w:left="100" w:right="258" w:firstLine="640"/>
        <w:jc w:val="both"/>
        <w:rPr>
          <w:rFonts w:hint="default" w:eastAsia="楷体"/>
          <w:lang w:val="en-US" w:eastAsia="zh-CN"/>
        </w:rPr>
      </w:pPr>
      <w:r>
        <w:t>20</w:t>
      </w:r>
      <w:r>
        <w:rPr>
          <w:rFonts w:hint="eastAsia"/>
          <w:lang w:val="en-US" w:eastAsia="zh-CN"/>
        </w:rPr>
        <w:t>23</w:t>
      </w:r>
      <w:r>
        <w:rPr>
          <w:spacing w:val="5"/>
        </w:rPr>
        <w:t>年</w:t>
      </w:r>
      <w:r>
        <w:t>，</w:t>
      </w:r>
      <w:r>
        <w:rPr>
          <w:spacing w:val="5"/>
        </w:rPr>
        <w:t>我单位</w:t>
      </w:r>
      <w:r>
        <w:t>机</w:t>
      </w:r>
      <w:r>
        <w:rPr>
          <w:spacing w:val="5"/>
        </w:rPr>
        <w:t>关运</w:t>
      </w:r>
      <w:r>
        <w:t>行</w:t>
      </w:r>
      <w:r>
        <w:rPr>
          <w:spacing w:val="5"/>
        </w:rPr>
        <w:t>经</w:t>
      </w:r>
      <w:r>
        <w:t>费</w:t>
      </w:r>
      <w:r>
        <w:rPr>
          <w:spacing w:val="5"/>
        </w:rPr>
        <w:t>财政拨款预</w:t>
      </w:r>
      <w:r>
        <w:t xml:space="preserve">算 </w:t>
      </w:r>
      <w:r>
        <w:rPr>
          <w:rFonts w:hint="eastAsia"/>
          <w:lang w:val="en-US" w:eastAsia="zh-CN"/>
        </w:rPr>
        <w:t>260</w:t>
      </w:r>
      <w:r>
        <w:rPr>
          <w:spacing w:val="1"/>
        </w:rPr>
        <w:t xml:space="preserve"> </w:t>
      </w:r>
      <w:r>
        <w:rPr>
          <w:spacing w:val="5"/>
        </w:rPr>
        <w:t>万</w:t>
      </w:r>
      <w:r>
        <w:t>元</w:t>
      </w:r>
      <w:r>
        <w:rPr>
          <w:spacing w:val="5"/>
        </w:rPr>
        <w:t>，</w:t>
      </w:r>
      <w:r>
        <w:t>比上年增</w:t>
      </w:r>
      <w:r>
        <w:rPr>
          <w:spacing w:val="-27"/>
        </w:rPr>
        <w:t>加</w:t>
      </w:r>
      <w:r>
        <w:rPr>
          <w:rFonts w:hint="eastAsia"/>
          <w:spacing w:val="-27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0</w:t>
      </w:r>
      <w:r>
        <w:t>万元</w:t>
      </w:r>
      <w:r>
        <w:rPr>
          <w:spacing w:val="-24"/>
        </w:rPr>
        <w:t>，</w:t>
      </w:r>
      <w:r>
        <w:t>增</w:t>
      </w:r>
      <w:r>
        <w:rPr>
          <w:spacing w:val="-27"/>
        </w:rPr>
        <w:t>长</w:t>
      </w:r>
      <w:r>
        <w:rPr>
          <w:rFonts w:hint="eastAsia"/>
          <w:spacing w:val="-27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0</w:t>
      </w:r>
      <w:r>
        <w:rPr>
          <w:spacing w:val="-22"/>
        </w:rPr>
        <w:drawing>
          <wp:inline distT="0" distB="0" distL="0" distR="0">
            <wp:extent cx="91440" cy="142240"/>
            <wp:effectExtent l="0" t="0" r="3810" b="10160"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  <w:t>。</w:t>
      </w:r>
      <w:r>
        <w:t>主要包括以下支出</w:t>
      </w:r>
      <w:r>
        <w:rPr>
          <w:spacing w:val="-159"/>
        </w:rPr>
        <w:t>：</w:t>
      </w:r>
      <w:r>
        <w:t>办公费</w:t>
      </w:r>
      <w:r>
        <w:rPr>
          <w:rFonts w:hint="eastAsia"/>
          <w:lang w:val="en-US" w:eastAsia="zh-CN"/>
        </w:rPr>
        <w:t>6</w:t>
      </w:r>
      <w:r>
        <w:rPr>
          <w:spacing w:val="157"/>
        </w:rPr>
        <w:t xml:space="preserve"> </w:t>
      </w:r>
      <w:r>
        <w:t>万元</w:t>
      </w:r>
      <w:r>
        <w:rPr>
          <w:spacing w:val="-159"/>
        </w:rPr>
        <w:t>、</w:t>
      </w:r>
      <w:r>
        <w:t>邮电费</w:t>
      </w:r>
      <w:r>
        <w:rPr>
          <w:rFonts w:hint="eastAsia"/>
          <w:lang w:val="en-US" w:eastAsia="zh-CN"/>
        </w:rPr>
        <w:t>3.1</w:t>
      </w:r>
      <w:r>
        <w:t>万元</w:t>
      </w:r>
      <w:r>
        <w:rPr>
          <w:spacing w:val="-159"/>
        </w:rPr>
        <w:t>、</w:t>
      </w:r>
      <w:r>
        <w:t>差旅费</w:t>
      </w:r>
      <w:r>
        <w:rPr>
          <w:rFonts w:hint="eastAsia"/>
          <w:lang w:eastAsia="zh-CN"/>
        </w:rPr>
        <w:t>：</w:t>
      </w:r>
      <w:r>
        <w:rPr>
          <w:rFonts w:hint="eastAsia"/>
          <w:spacing w:val="156"/>
          <w:lang w:val="en-US" w:eastAsia="zh-CN"/>
        </w:rPr>
        <w:t>1.5</w:t>
      </w:r>
      <w:r>
        <w:t>万元</w:t>
      </w:r>
      <w:r>
        <w:rPr>
          <w:spacing w:val="-161"/>
        </w:rPr>
        <w:t>、</w:t>
      </w:r>
      <w:r>
        <w:rPr>
          <w:rFonts w:hint="eastAsia"/>
          <w:spacing w:val="-161"/>
          <w:lang w:eastAsia="zh-CN"/>
        </w:rPr>
        <w:t>、、、</w:t>
      </w:r>
      <w:r>
        <w:t>培训费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2</w:t>
      </w:r>
      <w:r>
        <w:t>万元、</w:t>
      </w:r>
      <w:r>
        <w:rPr>
          <w:rFonts w:hint="eastAsia"/>
          <w:lang w:val="en-US" w:eastAsia="zh-CN"/>
        </w:rPr>
        <w:t>印刷费：2.2万元、水费：3万元、电费：2.4万元、取暖费：7万元、物业费：10万元、公务接待费：2万元、维修维护费：3.5万元、劳务费：99万元、</w:t>
      </w:r>
      <w:r>
        <w:t>工会经费</w:t>
      </w:r>
      <w:r>
        <w:rPr>
          <w:spacing w:val="156"/>
        </w:rPr>
        <w:t xml:space="preserve"> </w:t>
      </w:r>
      <w:r>
        <w:rPr>
          <w:rFonts w:hint="eastAsia"/>
          <w:spacing w:val="156"/>
          <w:lang w:val="en-US" w:eastAsia="zh-CN"/>
        </w:rPr>
        <w:t>0</w:t>
      </w:r>
      <w:r>
        <w:t>万元、福利费</w:t>
      </w:r>
      <w:r>
        <w:rPr>
          <w:rFonts w:hint="eastAsia"/>
          <w:lang w:val="en-US" w:eastAsia="zh-CN"/>
        </w:rPr>
        <w:t>17.88</w:t>
      </w:r>
      <w:r>
        <w:t>万元、公务用车维护费</w:t>
      </w:r>
      <w:r>
        <w:rPr>
          <w:rFonts w:hint="eastAsia"/>
          <w:lang w:val="en-US" w:eastAsia="zh-CN"/>
        </w:rPr>
        <w:t>32</w:t>
      </w:r>
      <w:r>
        <w:t>万元、其他交通费</w:t>
      </w:r>
      <w:r>
        <w:rPr>
          <w:rFonts w:hint="eastAsia"/>
          <w:spacing w:val="157"/>
          <w:lang w:val="en-US" w:eastAsia="zh-CN"/>
        </w:rPr>
        <w:t>8.4</w:t>
      </w:r>
      <w:r>
        <w:t>万元、其他</w:t>
      </w:r>
      <w:r>
        <w:rPr>
          <w:rFonts w:hint="eastAsia"/>
          <w:spacing w:val="157"/>
          <w:lang w:val="en-US" w:eastAsia="zh-CN"/>
        </w:rPr>
        <w:t>39</w:t>
      </w:r>
      <w:r>
        <w:t>万元。</w:t>
      </w:r>
      <w:r>
        <w:rPr>
          <w:rFonts w:hint="eastAsia"/>
          <w:lang w:val="en-US" w:eastAsia="zh-CN"/>
        </w:rPr>
        <w:t>公务用车运行维护费</w:t>
      </w:r>
      <w:r>
        <w:t>减少主要原</w:t>
      </w:r>
      <w:r>
        <w:rPr>
          <w:rFonts w:hint="eastAsia"/>
          <w:lang w:val="en-US" w:eastAsia="zh-CN"/>
        </w:rPr>
        <w:t>因是：2023年用于经费紧张，我单位尽量压缩公务用车运行维护费的开支，减少运行成本。</w:t>
      </w:r>
    </w:p>
    <w:p>
      <w:pPr>
        <w:pStyle w:val="3"/>
        <w:spacing w:before="144"/>
        <w:ind w:left="740"/>
      </w:pPr>
      <w:r>
        <w:t>五、政府采购预算情况说明</w:t>
      </w:r>
    </w:p>
    <w:p>
      <w:pPr>
        <w:pStyle w:val="3"/>
        <w:tabs>
          <w:tab w:val="left" w:pos="3779"/>
          <w:tab w:val="left" w:pos="7779"/>
          <w:tab w:val="left" w:pos="8420"/>
        </w:tabs>
        <w:spacing w:before="149" w:line="328" w:lineRule="auto"/>
        <w:ind w:left="100" w:right="258" w:firstLine="640"/>
      </w:pPr>
      <w:r>
        <w:t>政府采购预算总额</w:t>
      </w:r>
      <w:r>
        <w:rPr>
          <w:rFonts w:hint="eastAsia"/>
          <w:lang w:val="en-US" w:eastAsia="zh-CN"/>
        </w:rPr>
        <w:t>38.2</w:t>
      </w:r>
      <w:r>
        <w:t>万元</w:t>
      </w:r>
      <w:r>
        <w:rPr>
          <w:spacing w:val="-159"/>
        </w:rPr>
        <w:t>，</w:t>
      </w:r>
      <w:r>
        <w:t>其中</w:t>
      </w:r>
      <w:r>
        <w:rPr>
          <w:spacing w:val="-159"/>
        </w:rPr>
        <w:t>：</w:t>
      </w:r>
      <w:r>
        <w:t>政府采购货物预算</w:t>
      </w:r>
      <w:r>
        <w:rPr>
          <w:rFonts w:hint="eastAsia"/>
          <w:lang w:val="en-US" w:eastAsia="zh-CN"/>
        </w:rPr>
        <w:t>3</w:t>
      </w:r>
      <w:r>
        <w:rPr>
          <w:spacing w:val="-17"/>
        </w:rPr>
        <w:t>万</w:t>
      </w:r>
      <w:r>
        <w:t>元，政府采购工程预算</w:t>
      </w:r>
      <w:r>
        <w:rPr>
          <w:rFonts w:hint="eastAsia"/>
          <w:lang w:val="en-US" w:eastAsia="zh-CN"/>
        </w:rPr>
        <w:t>0</w:t>
      </w:r>
      <w:r>
        <w:t>万元，政府采购服务预算</w:t>
      </w:r>
      <w:r>
        <w:rPr>
          <w:rFonts w:hint="eastAsia"/>
          <w:lang w:val="en-US" w:eastAsia="zh-CN"/>
        </w:rPr>
        <w:t>35.2</w:t>
      </w:r>
      <w:r>
        <w:t>万元</w:t>
      </w:r>
      <w:r>
        <w:rPr>
          <w:spacing w:val="-16"/>
        </w:rPr>
        <w:t>。</w:t>
      </w:r>
    </w:p>
    <w:p>
      <w:pPr>
        <w:pStyle w:val="3"/>
        <w:numPr>
          <w:ilvl w:val="0"/>
          <w:numId w:val="2"/>
        </w:numPr>
        <w:spacing w:before="149"/>
        <w:ind w:left="74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政府性基金预算财政拨款支出情</w:t>
      </w:r>
      <w:r>
        <w:rPr>
          <w:rFonts w:hint="eastAsia" w:ascii="黑体" w:hAnsi="黑体" w:eastAsia="黑体" w:cs="黑体"/>
          <w:lang w:val="en-US" w:eastAsia="zh-CN"/>
        </w:rPr>
        <w:t>况</w:t>
      </w:r>
    </w:p>
    <w:p>
      <w:pPr>
        <w:pStyle w:val="3"/>
        <w:numPr>
          <w:ilvl w:val="0"/>
          <w:numId w:val="0"/>
        </w:numPr>
        <w:spacing w:before="149"/>
        <w:ind w:right="0" w:rightChars="0" w:firstLine="640" w:firstLineChars="200"/>
        <w:rPr>
          <w:rFonts w:hint="default" w:eastAsia="楷体"/>
          <w:lang w:val="en-US" w:eastAsia="zh-CN"/>
        </w:rPr>
      </w:pPr>
      <w:r>
        <w:rPr>
          <w:rFonts w:hint="eastAsia"/>
          <w:lang w:val="en-US" w:eastAsia="zh-CN"/>
        </w:rPr>
        <w:t>我单位2023年无政府性基金支出</w:t>
      </w:r>
    </w:p>
    <w:p>
      <w:pPr>
        <w:pStyle w:val="2"/>
        <w:tabs>
          <w:tab w:val="left" w:pos="1605"/>
        </w:tabs>
        <w:spacing w:before="55"/>
        <w:ind w:right="160"/>
        <w:jc w:val="center"/>
      </w:pPr>
      <w:r>
        <w:t>第三部分其他公开事项说明</w:t>
      </w:r>
    </w:p>
    <w:p>
      <w:pPr>
        <w:pStyle w:val="3"/>
        <w:numPr>
          <w:ilvl w:val="0"/>
          <w:numId w:val="0"/>
        </w:numPr>
        <w:spacing w:before="149"/>
        <w:ind w:right="0" w:rightChars="0" w:firstLine="64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一、项目支出绩效目标情况说明</w:t>
      </w:r>
    </w:p>
    <w:p>
      <w:pPr>
        <w:pStyle w:val="3"/>
        <w:spacing w:before="149" w:line="328" w:lineRule="auto"/>
        <w:ind w:left="100" w:right="256" w:firstLine="640"/>
        <w:jc w:val="both"/>
      </w:pPr>
      <w:r>
        <w:t>20</w:t>
      </w:r>
      <w:r>
        <w:rPr>
          <w:rFonts w:hint="eastAsia"/>
          <w:lang w:val="en-US" w:eastAsia="zh-CN"/>
        </w:rPr>
        <w:t>23</w:t>
      </w:r>
      <w:r>
        <w:rPr>
          <w:spacing w:val="-12"/>
        </w:rPr>
        <w:t>年，填报绩效目标的预算项目</w:t>
      </w:r>
      <w:r>
        <w:rPr>
          <w:rFonts w:hint="eastAsia"/>
          <w:lang w:val="en-US" w:eastAsia="zh-CN"/>
        </w:rPr>
        <w:t>1</w:t>
      </w:r>
      <w:r>
        <w:rPr>
          <w:spacing w:val="-7"/>
        </w:rPr>
        <w:t>个，公开绩效目标</w:t>
      </w:r>
      <w:r>
        <w:rPr>
          <w:rFonts w:hint="eastAsia"/>
          <w:lang w:val="en-US" w:eastAsia="zh-CN"/>
        </w:rPr>
        <w:t>1</w:t>
      </w:r>
      <w:r>
        <w:rPr>
          <w:w w:val="95"/>
        </w:rPr>
        <w:t>个</w:t>
      </w:r>
      <w:r>
        <w:rPr>
          <w:spacing w:val="-79"/>
          <w:w w:val="95"/>
        </w:rPr>
        <w:t>，</w:t>
      </w:r>
      <w:r>
        <w:rPr>
          <w:w w:val="95"/>
        </w:rPr>
        <w:t>公开项目占全部预算项目的</w:t>
      </w:r>
      <w:r>
        <w:rPr>
          <w:rFonts w:hint="eastAsia"/>
          <w:spacing w:val="3"/>
          <w:w w:val="95"/>
          <w:lang w:val="en-US" w:eastAsia="zh-CN"/>
        </w:rPr>
        <w:t>100</w:t>
      </w:r>
      <w:r>
        <w:rPr>
          <w:spacing w:val="82"/>
          <w:w w:val="95"/>
        </w:rPr>
        <w:t xml:space="preserve"> </w:t>
      </w:r>
      <w:r>
        <w:rPr>
          <w:spacing w:val="6"/>
          <w:w w:val="99"/>
        </w:rPr>
        <w:drawing>
          <wp:inline distT="0" distB="0" distL="0" distR="0">
            <wp:extent cx="91440" cy="142240"/>
            <wp:effectExtent l="0" t="0" r="3810" b="10160"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9"/>
        </w:rPr>
        <w:t>。</w:t>
      </w:r>
      <w:r>
        <w:t>公开填报绩效目标的项目</w:t>
      </w:r>
      <w:r>
        <w:rPr>
          <w:w w:val="95"/>
        </w:rPr>
        <w:t>支出预算</w:t>
      </w:r>
      <w:r>
        <w:rPr>
          <w:rFonts w:hint="eastAsia"/>
          <w:w w:val="95"/>
          <w:lang w:val="en-US" w:eastAsia="zh-CN"/>
        </w:rPr>
        <w:t>52</w:t>
      </w:r>
      <w:r>
        <w:rPr>
          <w:w w:val="95"/>
        </w:rPr>
        <w:t>万元，占全部项目支出预算的</w:t>
      </w:r>
      <w:r>
        <w:rPr>
          <w:rFonts w:hint="eastAsia"/>
          <w:spacing w:val="3"/>
          <w:w w:val="95"/>
          <w:lang w:val="en-US" w:eastAsia="zh-CN"/>
        </w:rPr>
        <w:t>100</w:t>
      </w:r>
      <w:r>
        <w:rPr>
          <w:spacing w:val="6"/>
          <w:w w:val="99"/>
        </w:rPr>
        <w:drawing>
          <wp:inline distT="0" distB="0" distL="0" distR="0">
            <wp:extent cx="91440" cy="142240"/>
            <wp:effectExtent l="0" t="0" r="3810" b="10160"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4" cy="14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pStyle w:val="3"/>
        <w:spacing w:before="54"/>
        <w:ind w:left="740"/>
      </w:pPr>
      <w:r>
        <w:t>二、国有资产占有使用情况说明</w:t>
      </w:r>
    </w:p>
    <w:p>
      <w:pPr>
        <w:pStyle w:val="3"/>
        <w:spacing w:before="149" w:line="328" w:lineRule="auto"/>
        <w:ind w:left="100" w:right="258" w:firstLine="640"/>
        <w:jc w:val="both"/>
      </w:pPr>
      <w:r>
        <w:rPr>
          <w:spacing w:val="-27"/>
        </w:rPr>
        <w:t xml:space="preserve">截至 </w:t>
      </w:r>
      <w:r>
        <w:t>202</w:t>
      </w:r>
      <w:r>
        <w:rPr>
          <w:rFonts w:hint="eastAsia"/>
          <w:lang w:val="en-US" w:eastAsia="zh-CN"/>
        </w:rPr>
        <w:t>2</w:t>
      </w:r>
      <w:r>
        <w:rPr>
          <w:spacing w:val="-9"/>
        </w:rPr>
        <w:t xml:space="preserve">年末，共有车辆 </w:t>
      </w:r>
      <w:r>
        <w:rPr>
          <w:rFonts w:hint="eastAsia"/>
          <w:spacing w:val="-9"/>
          <w:lang w:val="en-US" w:eastAsia="zh-CN"/>
        </w:rPr>
        <w:t>19</w:t>
      </w:r>
      <w:r>
        <w:rPr>
          <w:spacing w:val="-9"/>
        </w:rPr>
        <w:t xml:space="preserve">辆，其中：机要应急车辆 </w:t>
      </w:r>
      <w:r>
        <w:rPr>
          <w:rFonts w:hint="eastAsia"/>
          <w:spacing w:val="-9"/>
          <w:lang w:val="en-US" w:eastAsia="zh-CN"/>
        </w:rPr>
        <w:t>1</w:t>
      </w:r>
      <w:r>
        <w:rPr>
          <w:spacing w:val="-9"/>
        </w:rPr>
        <w:t>辆</w:t>
      </w:r>
      <w:r>
        <w:rPr>
          <w:rFonts w:hint="eastAsia"/>
          <w:spacing w:val="-9"/>
          <w:lang w:eastAsia="zh-CN"/>
        </w:rPr>
        <w:t>、</w:t>
      </w:r>
      <w:r>
        <w:rPr>
          <w:rFonts w:hint="eastAsia"/>
          <w:spacing w:val="-9"/>
          <w:lang w:val="en-US" w:eastAsia="zh-CN"/>
        </w:rPr>
        <w:t>执法执勤用车18辆，</w:t>
      </w:r>
      <w:r>
        <w:rPr>
          <w:spacing w:val="-26"/>
        </w:rPr>
        <w:t xml:space="preserve"> 单 位 价 值 </w:t>
      </w:r>
      <w:r>
        <w:rPr>
          <w:rFonts w:hint="eastAsia"/>
          <w:lang w:val="en-US" w:eastAsia="zh-CN"/>
        </w:rPr>
        <w:t>50</w:t>
      </w:r>
      <w:r>
        <w:rPr>
          <w:spacing w:val="-27"/>
        </w:rPr>
        <w:t xml:space="preserve">万 元 以 上 大 型 设 备 </w:t>
      </w:r>
      <w:r>
        <w:rPr>
          <w:rFonts w:hint="eastAsia"/>
          <w:lang w:val="en-US" w:eastAsia="zh-CN"/>
        </w:rPr>
        <w:t>0</w:t>
      </w:r>
      <w:r>
        <w:rPr>
          <w:spacing w:val="-14"/>
        </w:rPr>
        <w:t xml:space="preserve"> 台 </w:t>
      </w:r>
      <w:r>
        <w:t>。</w:t>
      </w:r>
    </w:p>
    <w:p>
      <w:pPr>
        <w:pStyle w:val="3"/>
        <w:spacing w:before="6"/>
        <w:rPr>
          <w:sz w:val="43"/>
        </w:rPr>
      </w:pPr>
    </w:p>
    <w:p>
      <w:pPr>
        <w:pStyle w:val="2"/>
        <w:tabs>
          <w:tab w:val="left" w:pos="1607"/>
        </w:tabs>
        <w:ind w:right="160"/>
        <w:jc w:val="center"/>
      </w:pPr>
      <w:r>
        <w:t>第四部分</w:t>
      </w:r>
      <w:r>
        <w:tab/>
      </w:r>
      <w:r>
        <w:t>名词解释</w:t>
      </w:r>
    </w:p>
    <w:p>
      <w:pPr>
        <w:pStyle w:val="3"/>
        <w:rPr>
          <w:b/>
        </w:rPr>
      </w:pPr>
    </w:p>
    <w:p>
      <w:pPr>
        <w:pStyle w:val="3"/>
        <w:spacing w:before="3"/>
        <w:rPr>
          <w:b/>
          <w:sz w:val="23"/>
        </w:rPr>
      </w:pPr>
    </w:p>
    <w:p>
      <w:pPr>
        <w:pStyle w:val="3"/>
        <w:spacing w:before="1"/>
        <w:ind w:left="740"/>
      </w:pPr>
      <w:r>
        <w:t>1</w:t>
      </w:r>
      <w:r>
        <w:rPr>
          <w:spacing w:val="-20"/>
        </w:rPr>
        <w:t>、一般公共预算财政拨款收入：是指财政当年拨付的资金。</w:t>
      </w:r>
    </w:p>
    <w:p>
      <w:pPr>
        <w:pStyle w:val="3"/>
        <w:spacing w:before="151" w:line="326" w:lineRule="auto"/>
        <w:ind w:left="100" w:right="258" w:firstLine="640"/>
      </w:pPr>
      <w:r>
        <w:rPr>
          <w:w w:val="95"/>
        </w:rPr>
        <w:t>2</w:t>
      </w:r>
      <w:r>
        <w:rPr>
          <w:spacing w:val="-14"/>
          <w:w w:val="95"/>
        </w:rPr>
        <w:t xml:space="preserve">、事业收入：是指事业单位开展专业业务活动及辅助活动 </w:t>
      </w:r>
      <w:r>
        <w:rPr>
          <w:spacing w:val="-14"/>
        </w:rPr>
        <w:t>所取得的收入。</w:t>
      </w:r>
    </w:p>
    <w:p>
      <w:pPr>
        <w:pStyle w:val="3"/>
        <w:spacing w:before="3" w:line="328" w:lineRule="auto"/>
        <w:ind w:left="100" w:right="258" w:firstLine="645"/>
      </w:pPr>
      <w:r>
        <w:rPr>
          <w:spacing w:val="6"/>
          <w:w w:val="95"/>
        </w:rPr>
        <w:t xml:space="preserve">3、事业单位经营收入：是指事业单位在专业业务活动及 </w:t>
      </w:r>
      <w:r>
        <w:rPr>
          <w:spacing w:val="6"/>
        </w:rPr>
        <w:t>其辅助活动之外开展非独立核算经营活动取得的收入。</w:t>
      </w:r>
    </w:p>
    <w:p>
      <w:pPr>
        <w:pStyle w:val="3"/>
        <w:spacing w:line="328" w:lineRule="auto"/>
        <w:ind w:left="100" w:right="99" w:firstLine="645"/>
      </w:pPr>
      <w:r>
        <w:t>4</w:t>
      </w:r>
      <w:r>
        <w:rPr>
          <w:spacing w:val="-26"/>
        </w:rPr>
        <w:t>、其他收入 ：是指除上述“一般公共预算财政拨款收入”、</w:t>
      </w:r>
      <w:r>
        <w:rPr>
          <w:spacing w:val="-23"/>
        </w:rPr>
        <w:t>“事业收入”、“事业单位经营收入”等以外的收入。主要是指按规定动用的售房收入、存款利息收入等。</w:t>
      </w:r>
    </w:p>
    <w:p>
      <w:pPr>
        <w:pStyle w:val="3"/>
        <w:spacing w:before="69" w:line="328" w:lineRule="auto"/>
        <w:ind w:left="100" w:right="258" w:firstLine="640" w:firstLineChars="200"/>
        <w:jc w:val="both"/>
        <w:rPr>
          <w:spacing w:val="-26"/>
        </w:rPr>
      </w:pPr>
      <w:r>
        <w:t>5</w:t>
      </w:r>
      <w:r>
        <w:rPr>
          <w:spacing w:val="-26"/>
        </w:rPr>
        <w:t>、用事业基金弥补收支差额：是指事业单位在预计用当年的“一般公共预算财政拨款收入”、“财政拨款结转和结余资 金”、“事业收入”、“事业单位经营收入”、“其他收入”不足以 安排当年支出的情况下，使用以前年度积累的事业基金（事业 单位当年收支相抵后按国家规定提取、用于弥补以后年度收支 差额的基金）弥补本年收支缺口的资金。</w:t>
      </w:r>
    </w:p>
    <w:p>
      <w:pPr>
        <w:pStyle w:val="3"/>
        <w:spacing w:line="328" w:lineRule="auto"/>
        <w:ind w:right="258" w:firstLine="632" w:firstLineChars="200"/>
        <w:sectPr>
          <w:pgSz w:w="12240" w:h="15840"/>
          <w:pgMar w:top="1500" w:right="1540" w:bottom="1120" w:left="1700" w:header="0" w:footer="927" w:gutter="0"/>
          <w:cols w:space="720" w:num="1"/>
        </w:sectPr>
      </w:pPr>
      <w:r>
        <w:rPr>
          <w:spacing w:val="6"/>
          <w:w w:val="95"/>
        </w:rPr>
        <w:t xml:space="preserve">6、上年结转：是指以前年度尚未完成、结转到本年仍按 </w:t>
      </w:r>
      <w:r>
        <w:rPr>
          <w:spacing w:val="6"/>
        </w:rPr>
        <w:t>原规定用途继续使用的资金</w:t>
      </w:r>
    </w:p>
    <w:p>
      <w:pPr>
        <w:pStyle w:val="3"/>
        <w:spacing w:line="326" w:lineRule="auto"/>
        <w:ind w:right="258"/>
      </w:pPr>
      <w:r>
        <w:rPr>
          <w:spacing w:val="6"/>
          <w:w w:val="95"/>
        </w:rPr>
        <w:t xml:space="preserve">7、基本支出：是指为保障机构正常运转，完成日常工作 </w:t>
      </w:r>
      <w:r>
        <w:rPr>
          <w:spacing w:val="6"/>
        </w:rPr>
        <w:t>任务而发生的人员支出和共用支出。</w:t>
      </w:r>
    </w:p>
    <w:p>
      <w:pPr>
        <w:pStyle w:val="3"/>
        <w:spacing w:line="326" w:lineRule="auto"/>
        <w:ind w:left="100" w:right="258" w:firstLine="645"/>
      </w:pPr>
      <w:r>
        <w:rPr>
          <w:spacing w:val="6"/>
          <w:w w:val="95"/>
        </w:rPr>
        <w:t xml:space="preserve">8、项目支出：是指基本支出之外，为完成特定行政任务 </w:t>
      </w:r>
      <w:r>
        <w:rPr>
          <w:spacing w:val="6"/>
        </w:rPr>
        <w:t>和事业发展目标所发生的支出。</w:t>
      </w:r>
    </w:p>
    <w:p>
      <w:pPr>
        <w:pStyle w:val="3"/>
        <w:spacing w:line="328" w:lineRule="auto"/>
        <w:ind w:left="100" w:right="253" w:firstLine="645"/>
        <w:jc w:val="both"/>
      </w:pPr>
      <w:r>
        <w:rPr>
          <w:w w:val="95"/>
        </w:rPr>
        <w:t>9</w:t>
      </w:r>
      <w:r>
        <w:rPr>
          <w:spacing w:val="-14"/>
          <w:w w:val="95"/>
        </w:rPr>
        <w:t xml:space="preserve">、“三公”经费：纳入财政预决算管理的“三公”经费， </w:t>
      </w:r>
      <w:r>
        <w:rPr>
          <w:spacing w:val="-14"/>
        </w:rPr>
        <w:t>是指部门用财政拨款安排的因公出国（境）费、公务用车购置及运行费和公务接待费。</w:t>
      </w:r>
    </w:p>
    <w:p>
      <w:pPr>
        <w:pStyle w:val="3"/>
        <w:spacing w:line="328" w:lineRule="auto"/>
        <w:ind w:left="100" w:right="258" w:firstLine="640"/>
        <w:jc w:val="both"/>
      </w:pPr>
      <w:r>
        <w:rPr>
          <w:w w:val="95"/>
        </w:rPr>
        <w:t xml:space="preserve">10、机关运行经费：机关运行经费，是指各部门的公用经 费，包括办公及印刷费、邮电费、差旅费、会议费、福利费、 日常维修费、专业材料及一般设备购置费、办公用房水电费、 办公用房取暖费、办公用房物业管理费、公务用车运行维护费 </w:t>
      </w:r>
      <w:r>
        <w:t>以及其他费用。</w:t>
      </w:r>
    </w:p>
    <w:p>
      <w:pPr>
        <w:pStyle w:val="3"/>
        <w:spacing w:line="328" w:lineRule="auto"/>
        <w:ind w:left="100" w:right="258" w:firstLine="640"/>
        <w:jc w:val="both"/>
      </w:pPr>
      <w:r>
        <w:rPr>
          <w:w w:val="95"/>
        </w:rPr>
        <w:t>11</w:t>
      </w:r>
      <w:r>
        <w:rPr>
          <w:spacing w:val="-17"/>
          <w:w w:val="95"/>
        </w:rPr>
        <w:t>、工资福利支出</w:t>
      </w:r>
      <w:r>
        <w:rPr>
          <w:w w:val="95"/>
        </w:rPr>
        <w:t>（支出经济分类科目类级</w:t>
      </w:r>
      <w:r>
        <w:rPr>
          <w:spacing w:val="-106"/>
          <w:w w:val="95"/>
        </w:rPr>
        <w:t>）</w:t>
      </w:r>
      <w:r>
        <w:rPr>
          <w:spacing w:val="-19"/>
          <w:w w:val="95"/>
        </w:rPr>
        <w:t xml:space="preserve">：反映单位开 支的在职职工和编制外长期聘用人员的各类活动报酬，以及为 </w:t>
      </w:r>
      <w:r>
        <w:rPr>
          <w:spacing w:val="-19"/>
        </w:rPr>
        <w:t>上述人员缴纳的各项社会保险费等。</w:t>
      </w:r>
    </w:p>
    <w:p>
      <w:pPr>
        <w:pStyle w:val="3"/>
        <w:spacing w:line="405" w:lineRule="exact"/>
        <w:ind w:left="740"/>
      </w:pPr>
      <w:r>
        <w:t>12</w:t>
      </w:r>
      <w:r>
        <w:rPr>
          <w:spacing w:val="-15"/>
        </w:rPr>
        <w:t>、商品和服务支出</w:t>
      </w:r>
      <w:r>
        <w:t>（支出经济分类科目类级</w:t>
      </w:r>
      <w:r>
        <w:rPr>
          <w:spacing w:val="-106"/>
        </w:rPr>
        <w:t>）</w:t>
      </w:r>
      <w:r>
        <w:rPr>
          <w:spacing w:val="-22"/>
        </w:rPr>
        <w:t>：反映单位</w:t>
      </w:r>
    </w:p>
    <w:p>
      <w:pPr>
        <w:pStyle w:val="3"/>
        <w:spacing w:before="69" w:line="326" w:lineRule="auto"/>
        <w:ind w:left="100" w:right="258"/>
      </w:pPr>
      <w:r>
        <w:rPr>
          <w:w w:val="95"/>
        </w:rPr>
        <w:t xml:space="preserve">购买商品和服务的支出（不包括用于购置固定资产的支出、战 </w:t>
      </w:r>
      <w:r>
        <w:t>略性和应急储备支出</w:t>
      </w:r>
      <w:r>
        <w:rPr>
          <w:spacing w:val="-159"/>
        </w:rPr>
        <w:t>）</w:t>
      </w:r>
      <w:r>
        <w:t>。</w:t>
      </w:r>
    </w:p>
    <w:p>
      <w:pPr>
        <w:pStyle w:val="2"/>
        <w:tabs>
          <w:tab w:val="left" w:pos="1605"/>
        </w:tabs>
        <w:ind w:right="163"/>
        <w:jc w:val="center"/>
      </w:pPr>
      <w:r>
        <w:t>第五部分</w:t>
      </w:r>
      <w:r>
        <w:tab/>
      </w:r>
      <w:r>
        <w:t>预算公开联系方式及信息反馈渠道</w:t>
      </w:r>
    </w:p>
    <w:p>
      <w:pPr>
        <w:pStyle w:val="3"/>
        <w:spacing w:before="6"/>
        <w:rPr>
          <w:b/>
          <w:sz w:val="23"/>
        </w:rPr>
      </w:pPr>
    </w:p>
    <w:p>
      <w:pPr>
        <w:pStyle w:val="3"/>
        <w:tabs>
          <w:tab w:val="left" w:pos="3779"/>
        </w:tabs>
        <w:spacing w:line="326" w:lineRule="auto"/>
        <w:ind w:right="2819"/>
        <w:jc w:val="left"/>
        <w:rPr>
          <w:rFonts w:hint="eastAsia" w:ascii="仿宋" w:eastAsia="仿宋"/>
          <w:spacing w:val="-13"/>
        </w:rPr>
      </w:pPr>
      <w:r>
        <w:rPr>
          <w:rFonts w:hint="eastAsia" w:ascii="仿宋" w:eastAsia="仿宋"/>
        </w:rPr>
        <w:t>本单位预算公开信息反馈和联方式</w:t>
      </w:r>
      <w:r>
        <w:rPr>
          <w:rFonts w:hint="eastAsia" w:ascii="仿宋" w:eastAsia="仿宋"/>
          <w:spacing w:val="-13"/>
        </w:rPr>
        <w:t xml:space="preserve">： </w:t>
      </w:r>
    </w:p>
    <w:p>
      <w:pPr>
        <w:pStyle w:val="3"/>
        <w:tabs>
          <w:tab w:val="left" w:pos="3779"/>
        </w:tabs>
        <w:spacing w:line="326" w:lineRule="auto"/>
        <w:ind w:right="2819"/>
        <w:jc w:val="left"/>
        <w:rPr>
          <w:rFonts w:hint="default" w:ascii="仿宋" w:eastAsia="仿宋"/>
          <w:lang w:val="en-US" w:eastAsia="zh-CN"/>
        </w:rPr>
      </w:pPr>
      <w:r>
        <w:rPr>
          <w:rFonts w:hint="eastAsia" w:ascii="仿宋" w:eastAsia="仿宋"/>
        </w:rPr>
        <w:t>联系人：</w:t>
      </w:r>
      <w:r>
        <w:rPr>
          <w:rFonts w:hint="eastAsia" w:ascii="仿宋" w:eastAsia="仿宋"/>
          <w:lang w:val="en-US" w:eastAsia="zh-CN"/>
        </w:rPr>
        <w:t xml:space="preserve">吴建杰 </w:t>
      </w:r>
      <w:r>
        <w:rPr>
          <w:rFonts w:hint="eastAsia" w:ascii="仿宋" w:eastAsia="仿宋"/>
        </w:rPr>
        <w:t>联系电话：</w:t>
      </w:r>
      <w:r>
        <w:rPr>
          <w:rFonts w:hint="eastAsia" w:ascii="仿宋" w:eastAsia="仿宋"/>
          <w:lang w:val="en-US" w:eastAsia="zh-CN"/>
        </w:rPr>
        <w:t xml:space="preserve">15947372376                     </w:t>
      </w:r>
    </w:p>
    <w:p>
      <w:pPr>
        <w:pStyle w:val="3"/>
        <w:spacing w:before="1"/>
        <w:rPr>
          <w:rFonts w:ascii="仿宋"/>
          <w:sz w:val="44"/>
        </w:rPr>
      </w:pPr>
    </w:p>
    <w:p>
      <w:pPr>
        <w:pStyle w:val="2"/>
        <w:tabs>
          <w:tab w:val="left" w:pos="1605"/>
        </w:tabs>
        <w:ind w:right="160"/>
        <w:jc w:val="center"/>
      </w:pPr>
    </w:p>
    <w:p>
      <w:pPr>
        <w:pStyle w:val="2"/>
        <w:tabs>
          <w:tab w:val="left" w:pos="1605"/>
        </w:tabs>
        <w:ind w:right="160"/>
        <w:jc w:val="center"/>
      </w:pPr>
      <w:r>
        <w:t>第六部分</w:t>
      </w:r>
      <w:r>
        <w:tab/>
      </w:r>
      <w:r>
        <w:t>20</w:t>
      </w:r>
      <w:r>
        <w:rPr>
          <w:rFonts w:hint="eastAsia"/>
          <w:lang w:val="en-US" w:eastAsia="zh-CN"/>
        </w:rPr>
        <w:t>23</w:t>
      </w:r>
      <w:r>
        <w:t>年部门预算公开表</w:t>
      </w:r>
    </w:p>
    <w:p>
      <w:pPr>
        <w:spacing w:after="0" w:line="405" w:lineRule="exact"/>
        <w:sectPr>
          <w:pgSz w:w="12240" w:h="15840"/>
          <w:pgMar w:top="1500" w:right="1540" w:bottom="1120" w:left="1700" w:header="0" w:footer="927" w:gutter="0"/>
          <w:cols w:space="720" w:num="1"/>
        </w:sectPr>
      </w:pPr>
    </w:p>
    <w:p>
      <w:pPr>
        <w:pStyle w:val="3"/>
        <w:spacing w:before="149" w:line="328" w:lineRule="auto"/>
        <w:ind w:left="100" w:right="256" w:firstLine="640"/>
        <w:jc w:val="center"/>
      </w:pPr>
    </w:p>
    <w:p/>
    <w:p>
      <w:pPr>
        <w:pStyle w:val="3"/>
        <w:rPr>
          <w:sz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3831590</wp:posOffset>
              </wp:positionH>
              <wp:positionV relativeFrom="page">
                <wp:posOffset>9330055</wp:posOffset>
              </wp:positionV>
              <wp:extent cx="107950" cy="1524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1.7pt;margin-top:734.65pt;height:12pt;width:8.5pt;mso-position-horizontal-relative:page;mso-position-vertical-relative:page;z-index:-251657216;mso-width-relative:page;mso-height-relative:page;" filled="f" stroked="f" coordsize="21600,21600" o:gfxdata="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GQfWcLZAAAADQEAAA8AAAAAAAAAAQAgAAAAIgAAAGRycy9kb3ducmV2LnhtbFBLAQIU&#10;ABQAAAAIAIdO4kCsOuTruQEAAHE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BE1609"/>
    <w:multiLevelType w:val="multilevel"/>
    <w:tmpl w:val="9FBE160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062" w:hanging="322"/>
        <w:jc w:val="left"/>
      </w:pPr>
      <w:rPr>
        <w:rFonts w:hint="default" w:ascii="仿宋" w:hAnsi="仿宋" w:eastAsia="仿宋" w:cs="仿宋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4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48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42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36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30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24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18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2" w:hanging="322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2ZDZjOWE5YmM5NTIxYTdkMDVjOGVhYTc4MDE5NzUifQ=="/>
  </w:docVars>
  <w:rsids>
    <w:rsidRoot w:val="67AE1AD1"/>
    <w:rsid w:val="043A5022"/>
    <w:rsid w:val="05F50593"/>
    <w:rsid w:val="06D64164"/>
    <w:rsid w:val="09FA2E9E"/>
    <w:rsid w:val="11A57F5B"/>
    <w:rsid w:val="16B03369"/>
    <w:rsid w:val="18395F74"/>
    <w:rsid w:val="1CB65D97"/>
    <w:rsid w:val="318D23D3"/>
    <w:rsid w:val="328D608E"/>
    <w:rsid w:val="34BB131C"/>
    <w:rsid w:val="35535191"/>
    <w:rsid w:val="365B4B65"/>
    <w:rsid w:val="403C4202"/>
    <w:rsid w:val="470471FE"/>
    <w:rsid w:val="4A7022B7"/>
    <w:rsid w:val="4C0A111C"/>
    <w:rsid w:val="4E8B47B5"/>
    <w:rsid w:val="58DE0F2F"/>
    <w:rsid w:val="5F3B6A32"/>
    <w:rsid w:val="63D8449D"/>
    <w:rsid w:val="67AE1AD1"/>
    <w:rsid w:val="6B5C3778"/>
    <w:rsid w:val="6C103E2F"/>
    <w:rsid w:val="6FFE7D34"/>
    <w:rsid w:val="799C305D"/>
    <w:rsid w:val="7D1E3B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楷体" w:hAnsi="楷体" w:eastAsia="楷体" w:cs="楷体"/>
      <w:b/>
      <w:bCs/>
      <w:sz w:val="32"/>
      <w:szCs w:val="3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楷体" w:hAnsi="楷体" w:eastAsia="楷体" w:cs="楷体"/>
      <w:sz w:val="32"/>
      <w:szCs w:val="32"/>
      <w:lang w:val="zh-CN" w:eastAsia="zh-CN" w:bidi="zh-CN"/>
    </w:rPr>
  </w:style>
  <w:style w:type="paragraph" w:styleId="6">
    <w:name w:val="List Paragraph"/>
    <w:basedOn w:val="1"/>
    <w:qFormat/>
    <w:uiPriority w:val="1"/>
    <w:pPr>
      <w:ind w:left="1062" w:hanging="323"/>
    </w:pPr>
    <w:rPr>
      <w:rFonts w:ascii="仿宋" w:hAnsi="仿宋" w:eastAsia="仿宋" w:cs="仿宋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3282</Words>
  <Characters>3515</Characters>
  <Lines>0</Lines>
  <Paragraphs>0</Paragraphs>
  <TotalTime>76</TotalTime>
  <ScaleCrop>false</ScaleCrop>
  <LinksUpToDate>false</LinksUpToDate>
  <CharactersWithSpaces>3685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2023-01-31T02:04:00Z</dcterms:created>
  <dc:creator>bt</dc:creator>
  <cp:lastModifiedBy>lenovo</cp:lastModifiedBy>
  <cp:lastPrinted>2023-02-06T02:54:09Z</cp:lastPrinted>
  <dcterms:modified xsi:type="dcterms:W3CDTF">2023-02-06T03:13:50Z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4BDEEE280D3E48CF828D7ABF4ABDEE06</vt:lpwstr>
  </property>
</Properties>
</file>