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2023年度达拉特旗城市管理综合行政</w:t>
      </w:r>
    </w:p>
    <w:p>
      <w:pPr>
        <w:spacing w:line="360"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执法局（部门）</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left="5114" w:leftChars="1064" w:hanging="2880" w:hangingChars="900"/>
        <w:jc w:val="left"/>
        <w:rPr>
          <w:rFonts w:ascii="宋体" w:hAnsi="宋体"/>
          <w:sz w:val="32"/>
          <w:szCs w:val="32"/>
        </w:rPr>
      </w:pPr>
      <w:r>
        <w:rPr>
          <w:rFonts w:hint="eastAsia" w:ascii="宋体" w:hAnsi="宋体"/>
          <w:sz w:val="32"/>
          <w:szCs w:val="32"/>
        </w:rPr>
        <w:t>部门名称：达拉特旗城市管理综合行政执法局（部门）</w:t>
      </w:r>
    </w:p>
    <w:p>
      <w:pPr>
        <w:spacing w:line="360" w:lineRule="auto"/>
        <w:ind w:firstLine="2240" w:firstLineChars="700"/>
        <w:jc w:val="left"/>
        <w:rPr>
          <w:rFonts w:ascii="宋体" w:hAnsi="宋体"/>
          <w:sz w:val="32"/>
          <w:szCs w:val="32"/>
        </w:rPr>
      </w:pPr>
      <w:r>
        <w:rPr>
          <w:rFonts w:hint="eastAsia" w:ascii="宋体" w:hAnsi="宋体"/>
          <w:sz w:val="32"/>
          <w:szCs w:val="32"/>
        </w:rPr>
        <w:t>单位负责人：张建国</w:t>
      </w:r>
    </w:p>
    <w:p>
      <w:pPr>
        <w:spacing w:line="360" w:lineRule="auto"/>
        <w:ind w:firstLine="2240" w:firstLineChars="700"/>
        <w:jc w:val="left"/>
        <w:rPr>
          <w:rFonts w:ascii="宋体" w:hAnsi="宋体"/>
          <w:sz w:val="32"/>
          <w:szCs w:val="32"/>
        </w:rPr>
      </w:pPr>
      <w:r>
        <w:rPr>
          <w:rFonts w:hint="eastAsia" w:ascii="宋体" w:hAnsi="宋体"/>
          <w:sz w:val="32"/>
          <w:szCs w:val="32"/>
        </w:rPr>
        <w:t>财务负责人：全宇峰</w:t>
      </w:r>
    </w:p>
    <w:p>
      <w:pPr>
        <w:spacing w:line="360" w:lineRule="auto"/>
        <w:ind w:firstLine="2240" w:firstLineChars="700"/>
        <w:jc w:val="left"/>
        <w:rPr>
          <w:rFonts w:ascii="宋体" w:hAnsi="宋体"/>
          <w:sz w:val="32"/>
          <w:szCs w:val="32"/>
        </w:rPr>
      </w:pPr>
      <w:r>
        <w:rPr>
          <w:rFonts w:hint="eastAsia" w:ascii="宋体" w:hAnsi="宋体"/>
          <w:sz w:val="32"/>
          <w:szCs w:val="32"/>
        </w:rPr>
        <w:t>编制人：吴建杰</w:t>
      </w:r>
    </w:p>
    <w:p>
      <w:pPr>
        <w:spacing w:line="360" w:lineRule="auto"/>
        <w:ind w:firstLine="2240" w:firstLineChars="700"/>
        <w:jc w:val="left"/>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年9月</w:t>
      </w:r>
    </w:p>
    <w:p>
      <w:pPr>
        <w:widowControl/>
        <w:spacing w:after="240"/>
        <w:jc w:val="center"/>
        <w:rPr>
          <w:rFonts w:hint="eastAsia" w:ascii="方正小标宋简体" w:hAnsi="方正小标宋简体" w:eastAsia="方正小标宋简体" w:cs="方正小标宋简体"/>
          <w:b w:val="0"/>
          <w:bCs w:val="0"/>
          <w:kern w:val="0"/>
          <w:sz w:val="44"/>
          <w:szCs w:val="44"/>
        </w:rPr>
      </w:pPr>
      <w:bookmarkStart w:id="0" w:name="a000"/>
      <w:r>
        <w:rPr>
          <w:rFonts w:hint="eastAsia" w:ascii="方正小标宋简体" w:hAnsi="方正小标宋简体" w:eastAsia="方正小标宋简体" w:cs="方正小标宋简体"/>
          <w:b w:val="0"/>
          <w:bCs w:val="0"/>
          <w:kern w:val="0"/>
          <w:sz w:val="44"/>
          <w:szCs w:val="4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第一部分 部门概况</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一、主要职能、职责</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二、部门机构设置及决算单位构成情况</w:t>
      </w:r>
    </w:p>
    <w:p>
      <w:pPr>
        <w:widowControl/>
        <w:spacing w:before="240" w:after="240"/>
        <w:jc w:val="left"/>
        <w:rPr>
          <w:rFonts w:ascii="Times New Roman" w:hAnsi="Times New Roman" w:eastAsia="Times New Roman" w:cs="Times New Roman"/>
          <w:kern w:val="0"/>
          <w:sz w:val="24"/>
        </w:rPr>
      </w:pPr>
      <w:r>
        <w:rPr>
          <w:rFonts w:hint="eastAsia" w:ascii="仿宋_GB2312" w:hAnsi="仿宋_GB2312" w:eastAsia="仿宋_GB2312" w:cs="仿宋_GB2312"/>
          <w:kern w:val="0"/>
          <w:sz w:val="32"/>
          <w:szCs w:val="32"/>
        </w:rPr>
        <w:t>三、2023年度部门主要工作完成情况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32"/>
          <w:szCs w:val="32"/>
        </w:rPr>
        <w:t>第二部分 部门决算情况说明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一、收入支出决算总体情况说明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二、收入决算情况说明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四、财政拨款收入支出决算总体情况说明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五、一般公共预算财政拨款支出决算情况说明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六、一般公共预算财政拨款基本支出决算情况说明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七、一般公共预算财政拨款项目支出决算情况说明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八、财政拨款“三公”经费支出决算情况说明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九、政府性基金预算财政拨款支出决算情况说明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十、国有资本经营预算财政拨款支出决算情况说明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十一、机构运行经费支出决算情况说明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十二、政府采购支出决算情况说明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十三、国有资产占用情况说明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十四、预算绩效情况说明</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第三部分 名词解释</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第四部分 决算公开联系方式及信息反馈渠道</w:t>
      </w:r>
    </w:p>
    <w:p>
      <w:pPr>
        <w:widowControl/>
        <w:spacing w:before="240" w:after="240"/>
        <w:jc w:val="left"/>
        <w:rPr>
          <w:rFonts w:ascii="Times New Roman" w:hAnsi="Times New Roman" w:eastAsia="Times New Roman" w:cs="Times New Roman"/>
          <w:kern w:val="0"/>
          <w:sz w:val="32"/>
          <w:szCs w:val="32"/>
        </w:rPr>
      </w:pPr>
      <w:r>
        <w:rPr>
          <w:rFonts w:ascii="黑体" w:hAnsi="黑体" w:eastAsia="黑体" w:cs="黑体"/>
          <w:kern w:val="0"/>
          <w:sz w:val="32"/>
          <w:szCs w:val="32"/>
        </w:rPr>
        <w:t>第五部分 部门决算表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一、收入支出决算总表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二、收入决算表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四、财政拨款收入支出决算总表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五、一般公共预算财政拨款支出决算表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六、一般公共预算财政拨款基本支出决算明细表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七、一般公共预算财政拨款项目支出决算明细表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八、政府性基金预算财政拨款收入支出决算表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九、国有资本经营预算财政拨款支出决算表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十、财政拨款“三公”经费支出决算表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十一、机构运行经费支出、国有资产占用情况及政府采购支出信息表</w:t>
      </w:r>
    </w:p>
    <w:p>
      <w:pPr>
        <w:widowControl/>
        <w:spacing w:before="240" w:after="240"/>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b w:val="0"/>
          <w:bCs w:val="0"/>
          <w:kern w:val="0"/>
          <w:sz w:val="44"/>
          <w:szCs w:val="44"/>
        </w:rPr>
      </w:pPr>
      <w:r>
        <w:rPr>
          <w:rFonts w:hint="eastAsia" w:ascii="方正小标宋简体" w:hAnsi="方正小标宋简体" w:eastAsia="方正小标宋简体" w:cs="方正小标宋简体"/>
          <w:b w:val="0"/>
          <w:bCs w:val="0"/>
          <w:color w:val="000000"/>
          <w:kern w:val="0"/>
          <w:sz w:val="44"/>
          <w:szCs w:val="44"/>
        </w:rPr>
        <w:t>第一部分 部门概况</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ascii="Times New Roman" w:hAnsi="Times New Roman" w:eastAsia="Times New Roman" w:cs="Times New Roman"/>
          <w:b w:val="0"/>
          <w:bCs w:val="0"/>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val="0"/>
          <w:bCs w:val="0"/>
          <w:kern w:val="0"/>
          <w:sz w:val="32"/>
          <w:szCs w:val="32"/>
        </w:rPr>
        <w:t> </w:t>
      </w:r>
      <w:r>
        <w:rPr>
          <w:rFonts w:ascii="黑体" w:hAnsi="黑体" w:eastAsia="黑体" w:cs="黑体"/>
          <w:b w:val="0"/>
          <w:bCs w:val="0"/>
          <w:kern w:val="0"/>
          <w:sz w:val="32"/>
          <w:szCs w:val="32"/>
        </w:rPr>
        <w:t xml:space="preserve"> 一、主要职能、职责</w:t>
      </w:r>
    </w:p>
    <w:p>
      <w:pPr>
        <w:keepNext w:val="0"/>
        <w:keepLines w:val="0"/>
        <w:pageBreakBefore w:val="0"/>
        <w:kinsoku/>
        <w:wordWrap/>
        <w:overflowPunct/>
        <w:topLinePunct w:val="0"/>
        <w:autoSpaceDE/>
        <w:autoSpaceDN/>
        <w:bidi w:val="0"/>
        <w:adjustRightInd/>
        <w:snapToGrid/>
        <w:spacing w:line="560" w:lineRule="exact"/>
        <w:ind w:firstLine="540" w:firstLineChars="200"/>
        <w:textAlignment w:val="auto"/>
        <w:rPr>
          <w:rFonts w:hint="eastAsia" w:ascii="仿宋_GB2312" w:hAnsi="仿宋_GB2312" w:eastAsia="仿宋_GB2312" w:cs="仿宋_GB2312"/>
          <w:sz w:val="32"/>
          <w:szCs w:val="32"/>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color w:val="0E00FE"/>
          <w:kern w:val="0"/>
          <w:sz w:val="32"/>
          <w:szCs w:val="32"/>
        </w:rPr>
        <w:t xml:space="preserve">  </w:t>
      </w:r>
      <w:r>
        <w:rPr>
          <w:rFonts w:hint="eastAsia" w:ascii="仿宋_GB2312" w:hAnsi="仿宋_GB2312" w:eastAsia="仿宋_GB2312" w:cs="仿宋_GB2312"/>
          <w:sz w:val="32"/>
          <w:szCs w:val="32"/>
        </w:rPr>
        <w:t>负责镇区内市容市貌管理、违章建筑管理、违章停车管理、广告牌匾管理等工作。</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rPr>
      </w:pPr>
      <w:r>
        <w:rPr>
          <w:rFonts w:ascii="fang_song_gb2312" w:hAnsi="fang_song_gb2312" w:eastAsia="fang_song_gb2312" w:cs="fang_song_gb2312"/>
          <w:color w:val="0E00FE"/>
          <w:kern w:val="0"/>
          <w:sz w:val="27"/>
          <w:szCs w:val="27"/>
        </w:rPr>
        <w:t xml:space="preserve"> </w:t>
      </w:r>
      <w:r>
        <w:rPr>
          <w:rFonts w:hint="eastAsia" w:ascii="fang_song_gb2312" w:hAnsi="fang_song_gb2312" w:eastAsia="宋体" w:cs="fang_song_gb2312"/>
          <w:color w:val="0E00FE"/>
          <w:kern w:val="0"/>
          <w:sz w:val="32"/>
          <w:szCs w:val="32"/>
          <w:lang w:val="en-US" w:eastAsia="zh-CN"/>
        </w:rPr>
        <w:t xml:space="preserve"> </w:t>
      </w:r>
      <w:r>
        <w:rPr>
          <w:rFonts w:hint="eastAsia" w:ascii="黑体" w:hAnsi="黑体" w:eastAsia="黑体" w:cs="黑体"/>
          <w:b w:val="0"/>
          <w:bCs w:val="0"/>
          <w:kern w:val="0"/>
          <w:sz w:val="32"/>
          <w:szCs w:val="32"/>
        </w:rPr>
        <w:t xml:space="preserve"> 二、部门机构设置及决算单位构成情况</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times_new_roman" w:hAnsi="times_new_roman" w:eastAsia="times_new_roman" w:cs="times_new_roman"/>
          <w:kern w:val="0"/>
          <w:sz w:val="27"/>
          <w:szCs w:val="27"/>
        </w:rPr>
        <w:t>   </w:t>
      </w:r>
      <w:r>
        <w:rPr>
          <w:rFonts w:hint="eastAsia" w:ascii="times_new_roman" w:hAnsi="times_new_roman" w:cs="times_new_roman"/>
          <w:kern w:val="0"/>
          <w:sz w:val="27"/>
          <w:szCs w:val="27"/>
          <w:lang w:val="en-US" w:eastAsia="zh-CN"/>
        </w:rPr>
        <w:t xml:space="preserve">   </w:t>
      </w:r>
      <w:r>
        <w:rPr>
          <w:rFonts w:hint="eastAsia" w:ascii="仿宋_GB2312" w:hAnsi="仿宋_GB2312" w:eastAsia="仿宋_GB2312" w:cs="仿宋_GB2312"/>
          <w:kern w:val="0"/>
          <w:sz w:val="32"/>
          <w:szCs w:val="32"/>
        </w:rPr>
        <w:t xml:space="preserve"> 1.</w:t>
      </w:r>
      <w:r>
        <w:rPr>
          <w:rFonts w:hint="eastAsia" w:ascii="仿宋_GB2312" w:hAnsi="仿宋_GB2312" w:eastAsia="仿宋_GB2312" w:cs="仿宋_GB2312"/>
          <w:kern w:val="0"/>
          <w:sz w:val="32"/>
          <w:szCs w:val="32"/>
          <w:lang w:val="en-US" w:eastAsia="zh-CN" w:bidi="ar"/>
        </w:rPr>
        <w:t>根据部门职责分工，本部门内设机构包括：8</w:t>
      </w:r>
      <w:r>
        <w:rPr>
          <w:rFonts w:hint="eastAsia" w:ascii="仿宋_GB2312" w:hAnsi="仿宋_GB2312" w:eastAsia="仿宋_GB2312" w:cs="仿宋_GB2312"/>
          <w:kern w:val="0"/>
          <w:sz w:val="32"/>
          <w:szCs w:val="32"/>
          <w:lang w:bidi="ar"/>
        </w:rPr>
        <w:t>个执法大队，5个科室。本</w:t>
      </w:r>
      <w:r>
        <w:rPr>
          <w:rFonts w:hint="eastAsia" w:ascii="仿宋_GB2312" w:hAnsi="仿宋_GB2312" w:eastAsia="仿宋_GB2312" w:cs="仿宋_GB2312"/>
          <w:kern w:val="0"/>
          <w:sz w:val="32"/>
          <w:szCs w:val="32"/>
          <w:lang w:val="en-US" w:eastAsia="zh-CN" w:bidi="ar"/>
        </w:rPr>
        <w:t>部门</w:t>
      </w:r>
      <w:r>
        <w:rPr>
          <w:rFonts w:hint="eastAsia" w:ascii="仿宋_GB2312" w:hAnsi="仿宋_GB2312" w:eastAsia="仿宋_GB2312" w:cs="仿宋_GB2312"/>
          <w:kern w:val="0"/>
          <w:sz w:val="32"/>
          <w:szCs w:val="32"/>
          <w:lang w:bidi="ar"/>
        </w:rPr>
        <w:t>无下属单位。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w:t>
      </w:r>
      <w:r>
        <w:rPr>
          <w:rFonts w:hint="eastAsia" w:ascii="仿宋_GB2312" w:hAnsi="仿宋_GB2312" w:eastAsia="仿宋_GB2312" w:cs="仿宋_GB2312"/>
          <w:kern w:val="0"/>
          <w:sz w:val="32"/>
          <w:szCs w:val="32"/>
          <w:lang w:val="en-US" w:eastAsia="zh-CN" w:bidi="ar"/>
        </w:rPr>
        <w:t>从决算单位构成看，纳入本部门2023年部门汇总决算编制范围的预算单位共计1家，具体包括：达拉特旗城市管理综合行政执法局部门本级、</w:t>
      </w:r>
      <w:r>
        <w:rPr>
          <w:rFonts w:hint="eastAsia" w:ascii="仿宋_GB2312" w:hAnsi="仿宋_GB2312" w:eastAsia="仿宋_GB2312" w:cs="仿宋_GB2312"/>
          <w:kern w:val="0"/>
          <w:sz w:val="32"/>
          <w:szCs w:val="32"/>
        </w:rPr>
        <w:t>财政拨款的行政单位0家，参照公务员法管理的事业单位为1家，公益一类事业单位为0家，公益二类事业单位为0家。</w:t>
      </w:r>
    </w:p>
    <w:p>
      <w:pPr>
        <w:widowControl/>
        <w:spacing w:before="240" w:after="2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详细情况见表：</w:t>
      </w:r>
    </w:p>
    <w:tbl>
      <w:tblPr>
        <w:tblStyle w:val="18"/>
        <w:tblW w:w="5209"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1101"/>
        <w:gridCol w:w="4860"/>
        <w:gridCol w:w="423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540" w:type="pct"/>
            <w:tcBorders>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hint="eastAsia" w:ascii="仿宋_GB2312" w:hAnsi="仿宋_GB2312" w:eastAsia="仿宋_GB2312" w:cs="仿宋_GB2312"/>
                <w:b w:val="0"/>
                <w:bCs w:val="0"/>
                <w:i w:val="0"/>
                <w:iCs w:val="0"/>
                <w:smallCaps w:val="0"/>
                <w:color w:val="000000"/>
                <w:kern w:val="0"/>
                <w:sz w:val="32"/>
                <w:szCs w:val="32"/>
              </w:rPr>
            </w:pPr>
            <w:r>
              <w:rPr>
                <w:rFonts w:hint="eastAsia" w:ascii="仿宋_GB2312" w:hAnsi="仿宋_GB2312" w:eastAsia="仿宋_GB2312" w:cs="仿宋_GB2312"/>
                <w:b w:val="0"/>
                <w:bCs w:val="0"/>
                <w:i w:val="0"/>
                <w:iCs w:val="0"/>
                <w:smallCaps w:val="0"/>
                <w:color w:val="000000"/>
                <w:kern w:val="0"/>
                <w:sz w:val="32"/>
                <w:szCs w:val="32"/>
              </w:rPr>
              <w:t>序号</w:t>
            </w:r>
          </w:p>
        </w:tc>
        <w:tc>
          <w:tcPr>
            <w:tcW w:w="2383"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hint="eastAsia" w:ascii="仿宋_GB2312" w:hAnsi="仿宋_GB2312" w:eastAsia="仿宋_GB2312" w:cs="仿宋_GB2312"/>
                <w:b w:val="0"/>
                <w:bCs w:val="0"/>
                <w:i w:val="0"/>
                <w:iCs w:val="0"/>
                <w:smallCaps w:val="0"/>
                <w:color w:val="000000"/>
                <w:kern w:val="0"/>
                <w:sz w:val="32"/>
                <w:szCs w:val="32"/>
              </w:rPr>
            </w:pPr>
            <w:r>
              <w:rPr>
                <w:rFonts w:hint="eastAsia" w:ascii="仿宋_GB2312" w:hAnsi="仿宋_GB2312" w:eastAsia="仿宋_GB2312" w:cs="仿宋_GB2312"/>
                <w:b w:val="0"/>
                <w:bCs w:val="0"/>
                <w:i w:val="0"/>
                <w:iCs w:val="0"/>
                <w:smallCaps w:val="0"/>
                <w:color w:val="000000"/>
                <w:kern w:val="0"/>
                <w:sz w:val="32"/>
                <w:szCs w:val="32"/>
              </w:rPr>
              <w:t>单位名称</w:t>
            </w:r>
          </w:p>
        </w:tc>
        <w:tc>
          <w:tcPr>
            <w:tcW w:w="2075" w:type="pct"/>
            <w:tcBorders>
              <w:left w:val="inset" w:color="808080" w:sz="6" w:space="0"/>
              <w:bottom w:val="inset" w:color="808080" w:sz="6" w:space="0"/>
            </w:tcBorders>
            <w:noWrap w:val="0"/>
            <w:tcMar>
              <w:top w:w="22" w:type="dxa"/>
              <w:left w:w="22" w:type="dxa"/>
              <w:bottom w:w="22" w:type="dxa"/>
              <w:right w:w="22" w:type="dxa"/>
            </w:tcMar>
            <w:vAlign w:val="center"/>
          </w:tcPr>
          <w:p>
            <w:pPr>
              <w:widowControl/>
              <w:jc w:val="center"/>
              <w:rPr>
                <w:rFonts w:hint="eastAsia" w:ascii="仿宋_GB2312" w:hAnsi="仿宋_GB2312" w:eastAsia="仿宋_GB2312" w:cs="仿宋_GB2312"/>
                <w:b w:val="0"/>
                <w:bCs w:val="0"/>
                <w:i w:val="0"/>
                <w:iCs w:val="0"/>
                <w:smallCaps w:val="0"/>
                <w:color w:val="000000"/>
                <w:kern w:val="0"/>
                <w:sz w:val="32"/>
                <w:szCs w:val="32"/>
              </w:rPr>
            </w:pPr>
            <w:r>
              <w:rPr>
                <w:rFonts w:hint="eastAsia" w:ascii="仿宋_GB2312" w:hAnsi="仿宋_GB2312" w:eastAsia="仿宋_GB2312" w:cs="仿宋_GB2312"/>
                <w:b w:val="0"/>
                <w:bCs w:val="0"/>
                <w:i w:val="0"/>
                <w:iCs w:val="0"/>
                <w:smallCaps w:val="0"/>
                <w:color w:val="000000"/>
                <w:kern w:val="0"/>
                <w:sz w:val="32"/>
                <w:szCs w:val="32"/>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540"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hint="eastAsia" w:ascii="仿宋_GB2312" w:hAnsi="仿宋_GB2312" w:eastAsia="仿宋_GB2312" w:cs="仿宋_GB2312"/>
                <w:b w:val="0"/>
                <w:bCs w:val="0"/>
                <w:i w:val="0"/>
                <w:iCs w:val="0"/>
                <w:smallCaps w:val="0"/>
                <w:color w:val="000000"/>
                <w:kern w:val="0"/>
                <w:sz w:val="32"/>
                <w:szCs w:val="32"/>
                <w:lang w:eastAsia="zh-CN"/>
              </w:rPr>
            </w:pPr>
            <w:r>
              <w:rPr>
                <w:rFonts w:hint="eastAsia" w:ascii="仿宋_GB2312" w:hAnsi="仿宋_GB2312" w:eastAsia="仿宋_GB2312" w:cs="仿宋_GB2312"/>
                <w:b w:val="0"/>
                <w:bCs w:val="0"/>
                <w:i w:val="0"/>
                <w:iCs w:val="0"/>
                <w:smallCaps w:val="0"/>
                <w:color w:val="000000"/>
                <w:kern w:val="0"/>
                <w:sz w:val="32"/>
                <w:szCs w:val="32"/>
                <w:lang w:val="en-US" w:eastAsia="zh-CN"/>
              </w:rPr>
              <w:t>1</w:t>
            </w:r>
          </w:p>
        </w:tc>
        <w:tc>
          <w:tcPr>
            <w:tcW w:w="2383"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left"/>
              <w:rPr>
                <w:rFonts w:hint="eastAsia" w:ascii="仿宋_GB2312" w:hAnsi="仿宋_GB2312" w:eastAsia="仿宋_GB2312" w:cs="仿宋_GB2312"/>
                <w:b w:val="0"/>
                <w:bCs w:val="0"/>
                <w:i w:val="0"/>
                <w:iCs w:val="0"/>
                <w:smallCaps w:val="0"/>
                <w:color w:val="000000"/>
                <w:kern w:val="0"/>
                <w:sz w:val="32"/>
                <w:szCs w:val="32"/>
                <w:lang w:val="en-US" w:eastAsia="zh-CN"/>
              </w:rPr>
            </w:pPr>
            <w:r>
              <w:rPr>
                <w:rFonts w:hint="eastAsia" w:ascii="仿宋_GB2312" w:hAnsi="仿宋_GB2312" w:eastAsia="仿宋_GB2312" w:cs="仿宋_GB2312"/>
                <w:b w:val="0"/>
                <w:bCs w:val="0"/>
                <w:i w:val="0"/>
                <w:iCs w:val="0"/>
                <w:smallCaps w:val="0"/>
                <w:color w:val="000000"/>
                <w:kern w:val="0"/>
                <w:sz w:val="32"/>
                <w:szCs w:val="32"/>
                <w:lang w:val="en-US" w:eastAsia="zh-CN"/>
              </w:rPr>
              <w:t>达拉特旗城市管理综合行政执法局</w:t>
            </w:r>
          </w:p>
        </w:tc>
        <w:tc>
          <w:tcPr>
            <w:tcW w:w="2075"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widowControl/>
              <w:jc w:val="left"/>
              <w:rPr>
                <w:rFonts w:hint="eastAsia" w:ascii="仿宋_GB2312" w:hAnsi="仿宋_GB2312" w:eastAsia="仿宋_GB2312" w:cs="仿宋_GB2312"/>
                <w:b w:val="0"/>
                <w:bCs w:val="0"/>
                <w:i w:val="0"/>
                <w:iCs w:val="0"/>
                <w:smallCaps w:val="0"/>
                <w:color w:val="000000"/>
                <w:kern w:val="0"/>
                <w:sz w:val="32"/>
                <w:szCs w:val="32"/>
              </w:rPr>
            </w:pPr>
            <w:r>
              <w:rPr>
                <w:rFonts w:hint="eastAsia" w:ascii="仿宋_GB2312" w:hAnsi="仿宋_GB2312" w:eastAsia="仿宋_GB2312" w:cs="仿宋_GB2312"/>
                <w:b w:val="0"/>
                <w:bCs w:val="0"/>
                <w:i w:val="0"/>
                <w:iCs w:val="0"/>
                <w:smallCaps w:val="0"/>
                <w:color w:val="000000"/>
                <w:kern w:val="0"/>
                <w:sz w:val="32"/>
                <w:szCs w:val="32"/>
              </w:rPr>
              <w:t>参照公务员法管理的事业单位</w:t>
            </w:r>
          </w:p>
        </w:tc>
      </w:tr>
    </w:tbl>
    <w:p>
      <w:pPr>
        <w:widowControl/>
        <w:spacing w:before="240" w:after="240"/>
        <w:jc w:val="left"/>
        <w:rPr>
          <w:rFonts w:ascii="Times New Roman" w:hAnsi="Times New Roman" w:eastAsia="Times New Roman" w:cs="Times New Roman"/>
          <w:b w:val="0"/>
          <w:bCs w:val="0"/>
          <w:kern w:val="0"/>
          <w:sz w:val="32"/>
          <w:szCs w:val="32"/>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color w:val="0E00FE"/>
          <w:kern w:val="0"/>
          <w:sz w:val="32"/>
          <w:szCs w:val="32"/>
        </w:rPr>
        <w:t xml:space="preserve">  </w:t>
      </w:r>
      <w:r>
        <w:rPr>
          <w:rFonts w:ascii="Calibri" w:hAnsi="Calibri" w:eastAsia="Calibri" w:cs="Calibri"/>
          <w:b/>
          <w:bCs/>
          <w:kern w:val="0"/>
          <w:sz w:val="32"/>
          <w:szCs w:val="32"/>
        </w:rPr>
        <w:t> </w:t>
      </w:r>
      <w:r>
        <w:rPr>
          <w:rFonts w:ascii="黑体" w:hAnsi="黑体" w:eastAsia="黑体" w:cs="黑体"/>
          <w:b/>
          <w:bCs/>
          <w:kern w:val="0"/>
          <w:sz w:val="32"/>
          <w:szCs w:val="32"/>
        </w:rPr>
        <w:t xml:space="preserve"> </w:t>
      </w:r>
      <w:r>
        <w:rPr>
          <w:rFonts w:ascii="Calibri" w:hAnsi="Calibri" w:eastAsia="Calibri" w:cs="Calibri"/>
          <w:b/>
          <w:bCs/>
          <w:kern w:val="0"/>
          <w:sz w:val="32"/>
          <w:szCs w:val="32"/>
        </w:rPr>
        <w:t> </w:t>
      </w:r>
      <w:r>
        <w:rPr>
          <w:rFonts w:ascii="黑体" w:hAnsi="黑体" w:eastAsia="黑体" w:cs="黑体"/>
          <w:b/>
          <w:bCs/>
          <w:kern w:val="0"/>
          <w:sz w:val="32"/>
          <w:szCs w:val="32"/>
        </w:rPr>
        <w:t xml:space="preserve"> </w:t>
      </w:r>
      <w:r>
        <w:rPr>
          <w:rFonts w:ascii="黑体" w:hAnsi="黑体" w:eastAsia="黑体" w:cs="黑体"/>
          <w:b w:val="0"/>
          <w:bCs w:val="0"/>
          <w:kern w:val="0"/>
          <w:sz w:val="32"/>
          <w:szCs w:val="32"/>
        </w:rPr>
        <w:t>三、2023年度部门主要工作完成情况</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120" w:afterAutospacing="0" w:line="560" w:lineRule="atLeast"/>
        <w:ind w:left="420" w:right="0" w:firstLine="42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bidi="ar"/>
        </w:rPr>
        <w:t>2023年度我单位</w:t>
      </w:r>
      <w:r>
        <w:rPr>
          <w:rFonts w:hint="eastAsia" w:ascii="仿宋_GB2312" w:hAnsi="仿宋_GB2312" w:eastAsia="仿宋_GB2312" w:cs="仿宋_GB2312"/>
          <w:sz w:val="32"/>
          <w:szCs w:val="32"/>
        </w:rPr>
        <w:t>负责镇区内市容市貌管理、违章建筑管理、违章停车管理、广告牌匾管理等工作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各项工作</w:t>
      </w:r>
      <w:r>
        <w:rPr>
          <w:rFonts w:hint="eastAsia" w:ascii="仿宋_GB2312" w:hAnsi="仿宋_GB2312" w:eastAsia="仿宋_GB2312" w:cs="仿宋_GB2312"/>
          <w:kern w:val="0"/>
          <w:sz w:val="32"/>
          <w:szCs w:val="32"/>
          <w:lang w:val="en-US" w:eastAsia="zh-CN" w:bidi="ar"/>
        </w:rPr>
        <w:t>全部按工作要求完成。</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bCs/>
          <w:kern w:val="0"/>
          <w:sz w:val="44"/>
          <w:szCs w:val="44"/>
        </w:rPr>
      </w:pPr>
      <w:r>
        <w:rPr>
          <w:rFonts w:hint="eastAsia" w:ascii="方正小标宋简体" w:hAnsi="方正小标宋简体" w:eastAsia="方正小标宋简体" w:cs="方正小标宋简体"/>
          <w:b w:val="0"/>
          <w:bCs w:val="0"/>
          <w:kern w:val="0"/>
          <w:sz w:val="44"/>
          <w:szCs w:val="44"/>
        </w:rPr>
        <w:t>第二部分  部门决算情况说明</w:t>
      </w:r>
    </w:p>
    <w:p>
      <w:pPr>
        <w:widowControl/>
        <w:spacing w:before="240" w:after="240"/>
        <w:jc w:val="left"/>
        <w:rPr>
          <w:rFonts w:hint="eastAsia" w:ascii="仿宋_GB2312" w:hAnsi="仿宋_GB2312" w:eastAsia="仿宋_GB2312" w:cs="仿宋_GB2312"/>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val="0"/>
          <w:bCs w:val="0"/>
          <w:kern w:val="0"/>
          <w:sz w:val="32"/>
          <w:szCs w:val="32"/>
        </w:rPr>
        <w:t> </w:t>
      </w:r>
      <w:r>
        <w:rPr>
          <w:rFonts w:hint="eastAsia" w:ascii="黑体" w:hAnsi="黑体" w:eastAsia="黑体" w:cs="黑体"/>
          <w:b w:val="0"/>
          <w:bCs w:val="0"/>
          <w:kern w:val="0"/>
          <w:sz w:val="32"/>
          <w:szCs w:val="32"/>
        </w:rPr>
        <w:t xml:space="preserve"> 一、收入支出决算总体情况说明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E00FE"/>
          <w:kern w:val="0"/>
          <w:sz w:val="32"/>
          <w:szCs w:val="32"/>
        </w:rPr>
        <w:t>   </w:t>
      </w:r>
      <w:r>
        <w:rPr>
          <w:rFonts w:hint="eastAsia" w:ascii="仿宋_GB2312" w:hAnsi="仿宋_GB2312" w:eastAsia="仿宋_GB2312" w:cs="仿宋_GB2312"/>
          <w:color w:val="0E00FE"/>
          <w:kern w:val="0"/>
          <w:sz w:val="32"/>
          <w:szCs w:val="32"/>
          <w:lang w:val="en-US" w:eastAsia="zh-CN"/>
        </w:rPr>
        <w:t xml:space="preserve">   </w:t>
      </w:r>
      <w:r>
        <w:rPr>
          <w:rFonts w:hint="eastAsia" w:ascii="仿宋_GB2312" w:hAnsi="仿宋_GB2312" w:eastAsia="仿宋_GB2312" w:cs="仿宋_GB2312"/>
          <w:kern w:val="0"/>
          <w:sz w:val="32"/>
          <w:szCs w:val="32"/>
        </w:rPr>
        <w:t>达拉特旗城市管理综合行政执法局（部门） 2023年度收入、支出决算总计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万元。与年初预算相比，收、支总计各增加</w:t>
      </w:r>
      <w:r>
        <w:rPr>
          <w:rFonts w:hint="eastAsia" w:ascii="仿宋_GB2312" w:hAnsi="仿宋_GB2312" w:eastAsia="仿宋_GB2312" w:cs="仿宋_GB2312"/>
          <w:kern w:val="0"/>
          <w:sz w:val="32"/>
          <w:szCs w:val="32"/>
          <w:u w:val="single"/>
        </w:rPr>
        <w:t xml:space="preserve"> 1,050.99</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61.08</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2023年度增加了北国购物停车场升级改造项目资金、白塔早市升级改造项目资金、树林召便民市场项目资金导致收入、支出决算总计增加</w:t>
      </w:r>
      <w:r>
        <w:rPr>
          <w:rFonts w:hint="eastAsia" w:ascii="仿宋_GB2312" w:hAnsi="仿宋_GB2312" w:eastAsia="仿宋_GB2312" w:cs="仿宋_GB2312"/>
          <w:kern w:val="0"/>
          <w:sz w:val="32"/>
          <w:szCs w:val="32"/>
        </w:rPr>
        <w:t>；与上年决算相比，收、支总计各增加</w:t>
      </w:r>
      <w:r>
        <w:rPr>
          <w:rFonts w:hint="eastAsia" w:ascii="仿宋_GB2312" w:hAnsi="仿宋_GB2312" w:eastAsia="仿宋_GB2312" w:cs="仿宋_GB2312"/>
          <w:kern w:val="0"/>
          <w:sz w:val="32"/>
          <w:szCs w:val="32"/>
          <w:u w:val="single"/>
        </w:rPr>
        <w:t xml:space="preserve"> 853.81</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44.52</w:t>
      </w:r>
      <w:r>
        <w:rPr>
          <w:rFonts w:hint="eastAsia" w:ascii="仿宋_GB2312" w:hAnsi="仿宋_GB2312" w:eastAsia="仿宋_GB2312" w:cs="仿宋_GB2312"/>
          <w:kern w:val="0"/>
          <w:sz w:val="32"/>
          <w:szCs w:val="32"/>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xml:space="preserve">    </w:t>
      </w:r>
      <w:r>
        <w:rPr>
          <w:rFonts w:hint="eastAsia" w:ascii="楷体_GB2312" w:hAnsi="楷体_GB2312" w:eastAsia="楷体_GB2312" w:cs="楷体_GB2312"/>
          <w:b/>
          <w:bCs/>
          <w:kern w:val="0"/>
          <w:sz w:val="32"/>
          <w:szCs w:val="32"/>
        </w:rPr>
        <w:t>（一）收入决算总计</w:t>
      </w:r>
      <w:r>
        <w:rPr>
          <w:rFonts w:hint="eastAsia" w:ascii="楷体_GB2312" w:hAnsi="楷体_GB2312" w:eastAsia="楷体_GB2312" w:cs="楷体_GB2312"/>
          <w:b/>
          <w:bCs/>
          <w:kern w:val="0"/>
          <w:sz w:val="32"/>
          <w:szCs w:val="32"/>
          <w:u w:val="single"/>
        </w:rPr>
        <w:t xml:space="preserve"> 2,771.64</w:t>
      </w:r>
      <w:r>
        <w:rPr>
          <w:rFonts w:hint="eastAsia" w:ascii="楷体_GB2312" w:hAnsi="楷体_GB2312" w:eastAsia="楷体_GB2312" w:cs="楷体_GB2312"/>
          <w:b/>
          <w:bCs/>
          <w:kern w:val="0"/>
          <w:sz w:val="32"/>
          <w:szCs w:val="32"/>
        </w:rPr>
        <w:t>万元。包括：</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1.本年收入决算合计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853.81</w:t>
      </w:r>
      <w:r>
        <w:rPr>
          <w:rFonts w:hint="eastAsia" w:ascii="仿宋_GB2312" w:hAnsi="仿宋_GB2312" w:eastAsia="仿宋_GB2312" w:cs="仿宋_GB2312"/>
          <w:kern w:val="0"/>
          <w:sz w:val="32"/>
          <w:szCs w:val="32"/>
        </w:rPr>
        <w:t xml:space="preserve">万元，增长 </w:t>
      </w:r>
      <w:r>
        <w:rPr>
          <w:rFonts w:hint="eastAsia" w:ascii="仿宋_GB2312" w:hAnsi="仿宋_GB2312" w:eastAsia="仿宋_GB2312" w:cs="仿宋_GB2312"/>
          <w:kern w:val="0"/>
          <w:sz w:val="32"/>
          <w:szCs w:val="32"/>
          <w:u w:val="single"/>
        </w:rPr>
        <w:t>44.52</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2023年度增加了北国购物停车场升级改造项目资金、白塔早市升级改造项目资金、树林召便民市场项目资金导致收入决算总计增加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2.使用非财政拨款结余和专用结余</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3.年初结转和结余 </w:t>
      </w:r>
      <w:r>
        <w:rPr>
          <w:rFonts w:hint="eastAsia" w:ascii="仿宋_GB2312" w:hAnsi="仿宋_GB2312" w:eastAsia="仿宋_GB2312" w:cs="仿宋_GB2312"/>
          <w:kern w:val="0"/>
          <w:sz w:val="32"/>
          <w:szCs w:val="32"/>
          <w:u w:val="single"/>
        </w:rPr>
        <w:t>0.00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widowControl/>
        <w:spacing w:before="240" w:after="240"/>
        <w:jc w:val="left"/>
        <w:rPr>
          <w:rFonts w:hint="eastAsia" w:ascii="楷体_GB2312" w:hAnsi="楷体_GB2312" w:eastAsia="楷体_GB2312" w:cs="楷体_GB2312"/>
          <w:kern w:val="0"/>
          <w:sz w:val="32"/>
          <w:szCs w:val="32"/>
        </w:rPr>
      </w:pPr>
      <w:r>
        <w:rPr>
          <w:rFonts w:ascii="kai_ti_gb2312" w:hAnsi="kai_ti_gb2312" w:eastAsia="kai_ti_gb2312" w:cs="kai_ti_gb2312"/>
          <w:b/>
          <w:bCs/>
          <w:kern w:val="0"/>
          <w:sz w:val="27"/>
          <w:szCs w:val="27"/>
        </w:rPr>
        <w:t xml:space="preserve">    </w:t>
      </w:r>
      <w:r>
        <w:rPr>
          <w:rFonts w:hint="eastAsia" w:ascii="楷体_GB2312" w:hAnsi="楷体_GB2312" w:eastAsia="楷体_GB2312" w:cs="楷体_GB2312"/>
          <w:b/>
          <w:bCs/>
          <w:kern w:val="0"/>
          <w:sz w:val="32"/>
          <w:szCs w:val="32"/>
        </w:rPr>
        <w:t>（二）支出决算总计</w:t>
      </w:r>
      <w:r>
        <w:rPr>
          <w:rFonts w:hint="eastAsia" w:ascii="楷体_GB2312" w:hAnsi="楷体_GB2312" w:eastAsia="楷体_GB2312" w:cs="楷体_GB2312"/>
          <w:b/>
          <w:bCs/>
          <w:kern w:val="0"/>
          <w:sz w:val="32"/>
          <w:szCs w:val="32"/>
          <w:u w:val="single"/>
        </w:rPr>
        <w:t xml:space="preserve"> 2,771.64</w:t>
      </w:r>
      <w:r>
        <w:rPr>
          <w:rFonts w:hint="eastAsia" w:ascii="楷体_GB2312" w:hAnsi="楷体_GB2312" w:eastAsia="楷体_GB2312" w:cs="楷体_GB2312"/>
          <w:b/>
          <w:bCs/>
          <w:kern w:val="0"/>
          <w:sz w:val="32"/>
          <w:szCs w:val="32"/>
        </w:rPr>
        <w:t>万元。包括：</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xml:space="preserve">    </w:t>
      </w:r>
      <w:r>
        <w:rPr>
          <w:rFonts w:hint="eastAsia" w:ascii="仿宋_GB2312" w:hAnsi="仿宋_GB2312" w:eastAsia="仿宋_GB2312" w:cs="仿宋_GB2312"/>
          <w:kern w:val="0"/>
          <w:sz w:val="32"/>
          <w:szCs w:val="32"/>
        </w:rPr>
        <w:t>1.本年支出决算合计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853.81</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44.52</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2023年度增加了北国购物停车场升级改造项目资金、白塔早市升级改造项目资金、树林召便民市场项目资金导致支出决算总计增加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0" w:firstLineChars="1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2.结余分配</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万元。结余分配事项：</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kern w:val="0"/>
          <w:sz w:val="32"/>
          <w:szCs w:val="32"/>
        </w:rPr>
        <w:t>。与上年决算相比，增加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3.年末结转和结余</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万元。结转和结余事项：</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kern w:val="0"/>
          <w:sz w:val="32"/>
          <w:szCs w:val="32"/>
        </w:rPr>
        <w:t>。与上年决算相比，增加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widowControl/>
        <w:spacing w:before="240" w:after="240"/>
        <w:rPr>
          <w:rFonts w:ascii="黑体" w:hAnsi="黑体" w:eastAsia="黑体" w:cs="黑体"/>
          <w:b w:val="0"/>
          <w:bCs w:val="0"/>
          <w:kern w:val="0"/>
          <w:sz w:val="32"/>
          <w:szCs w:val="32"/>
        </w:rPr>
      </w:pPr>
      <w:r>
        <w:rPr>
          <w:rFonts w:ascii="fang_song_gb2312" w:hAnsi="fang_song_gb2312" w:eastAsia="fang_song_gb2312" w:cs="fang_song_gb2312"/>
          <w:color w:val="0E00FE"/>
          <w:kern w:val="0"/>
          <w:sz w:val="32"/>
          <w:szCs w:val="32"/>
        </w:rPr>
        <w:t> </w:t>
      </w:r>
      <w:r>
        <w:rPr>
          <w:rFonts w:ascii="Calibri" w:hAnsi="Calibri" w:eastAsia="Calibri" w:cs="Calibri"/>
          <w:b/>
          <w:bCs/>
          <w:kern w:val="0"/>
          <w:sz w:val="32"/>
          <w:szCs w:val="32"/>
        </w:rPr>
        <w:t> </w:t>
      </w:r>
      <w:r>
        <w:rPr>
          <w:rFonts w:ascii="黑体" w:hAnsi="黑体" w:eastAsia="黑体" w:cs="黑体"/>
          <w:b/>
          <w:bCs/>
          <w:kern w:val="0"/>
          <w:sz w:val="32"/>
          <w:szCs w:val="32"/>
        </w:rPr>
        <w:t xml:space="preserve"> </w:t>
      </w:r>
      <w:r>
        <w:rPr>
          <w:rFonts w:ascii="黑体" w:hAnsi="黑体" w:eastAsia="黑体" w:cs="黑体"/>
          <w:b w:val="0"/>
          <w:bCs w:val="0"/>
          <w:kern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ind w:firstLine="960" w:firstLineChars="3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达拉特旗城市管理综合行政执法局（部门） 2023年度本年收入决算合计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本年一般公共预算财政拨款收入</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本年政府性基金预算财政拨款收入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本年国有资本经营预算财政拨款收入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本年上级补助收入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本年事业收入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本年经营收入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本年附属单位上缴收入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本年其他收入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E00FE"/>
          <w:kern w:val="0"/>
          <w:sz w:val="32"/>
          <w:szCs w:val="32"/>
        </w:rPr>
        <w:t xml:space="preserve">    </w:t>
      </w:r>
    </w:p>
    <w:p>
      <w:pPr>
        <w:widowControl/>
        <w:spacing w:before="240" w:after="240"/>
        <w:jc w:val="left"/>
        <w:rPr>
          <w:rFonts w:hint="eastAsia" w:ascii="Times New Roman" w:hAnsi="Times New Roman" w:eastAsia="宋体" w:cs="Times New Roman"/>
          <w:kern w:val="0"/>
          <w:sz w:val="24"/>
          <w:lang w:eastAsia="zh-CN"/>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lang w:eastAsia="zh-CN"/>
        </w:rPr>
        <w:drawing>
          <wp:inline distT="0" distB="0" distL="114300" distR="114300">
            <wp:extent cx="5256530" cy="2988310"/>
            <wp:effectExtent l="5080" t="4445" r="1524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left"/>
        <w:rPr>
          <w:rFonts w:ascii="Times New Roman" w:hAnsi="Times New Roman" w:eastAsia="Times New Roman" w:cs="Times New Roman"/>
          <w:b w:val="0"/>
          <w:bCs w:val="0"/>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val="0"/>
          <w:bCs w:val="0"/>
          <w:kern w:val="0"/>
          <w:sz w:val="27"/>
          <w:szCs w:val="27"/>
        </w:rPr>
        <w:t> </w:t>
      </w:r>
      <w:r>
        <w:rPr>
          <w:rFonts w:ascii="黑体" w:hAnsi="黑体" w:eastAsia="黑体" w:cs="黑体"/>
          <w:b w:val="0"/>
          <w:bCs w:val="0"/>
          <w:kern w:val="0"/>
          <w:sz w:val="32"/>
          <w:szCs w:val="32"/>
        </w:rPr>
        <w:t xml:space="preserve"> 三、支出决算情况说明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color w:val="0E00FE"/>
          <w:kern w:val="0"/>
          <w:sz w:val="27"/>
          <w:szCs w:val="27"/>
        </w:rPr>
        <w:t xml:space="preserve">  </w:t>
      </w:r>
      <w:r>
        <w:rPr>
          <w:rFonts w:hint="eastAsia" w:ascii="仿宋_GB2312" w:hAnsi="仿宋_GB2312" w:eastAsia="仿宋_GB2312" w:cs="仿宋_GB2312"/>
          <w:color w:val="0E00FE"/>
          <w:kern w:val="0"/>
          <w:sz w:val="32"/>
          <w:szCs w:val="32"/>
          <w:lang w:val="en-US" w:eastAsia="zh-CN"/>
        </w:rPr>
        <w:t xml:space="preserve">    </w:t>
      </w:r>
      <w:r>
        <w:rPr>
          <w:rFonts w:hint="eastAsia" w:ascii="仿宋_GB2312" w:hAnsi="仿宋_GB2312" w:eastAsia="仿宋_GB2312" w:cs="仿宋_GB2312"/>
          <w:kern w:val="0"/>
          <w:sz w:val="32"/>
          <w:szCs w:val="32"/>
        </w:rPr>
        <w:t>达拉特旗城市管理综合行政执法局（部门） 2023年度本年支出决算合计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本年基本支出</w:t>
      </w:r>
      <w:r>
        <w:rPr>
          <w:rFonts w:hint="eastAsia" w:ascii="仿宋_GB2312" w:hAnsi="仿宋_GB2312" w:eastAsia="仿宋_GB2312" w:cs="仿宋_GB2312"/>
          <w:kern w:val="0"/>
          <w:sz w:val="32"/>
          <w:szCs w:val="32"/>
          <w:u w:val="single"/>
        </w:rPr>
        <w:t xml:space="preserve"> 2,569.64</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92.71</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本年项目支出</w:t>
      </w:r>
      <w:r>
        <w:rPr>
          <w:rFonts w:hint="eastAsia" w:ascii="仿宋_GB2312" w:hAnsi="仿宋_GB2312" w:eastAsia="仿宋_GB2312" w:cs="仿宋_GB2312"/>
          <w:kern w:val="0"/>
          <w:sz w:val="32"/>
          <w:szCs w:val="32"/>
          <w:u w:val="single"/>
        </w:rPr>
        <w:t xml:space="preserve"> 202.00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7.29</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本年上缴上级支出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本年经营支出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本年对附属单位补助支出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pPr>
        <w:widowControl/>
        <w:spacing w:before="240" w:after="240"/>
        <w:rPr>
          <w:rFonts w:hint="eastAsia" w:ascii="Times New Roman" w:hAnsi="Times New Roman" w:eastAsia="宋体" w:cs="Times New Roman"/>
          <w:kern w:val="0"/>
          <w:sz w:val="24"/>
          <w:lang w:eastAsia="zh-CN"/>
        </w:rPr>
      </w:pPr>
      <w:r>
        <w:rPr>
          <w:rFonts w:hint="eastAsia" w:ascii="仿宋_GB2312" w:hAnsi="仿宋_GB2312" w:eastAsia="仿宋_GB2312" w:cs="仿宋_GB2312"/>
          <w:color w:val="0E00FE"/>
          <w:kern w:val="0"/>
          <w:sz w:val="32"/>
          <w:szCs w:val="32"/>
        </w:rPr>
        <w:t>   </w:t>
      </w:r>
      <w:r>
        <w:rPr>
          <w:rFonts w:hint="eastAsia" w:ascii="仿宋_GB2312" w:hAnsi="仿宋_GB2312" w:eastAsia="仿宋_GB2312" w:cs="仿宋_GB2312"/>
          <w:color w:val="0E00FE"/>
          <w:kern w:val="0"/>
          <w:sz w:val="32"/>
          <w:szCs w:val="32"/>
          <w:lang w:val="en-US" w:eastAsia="zh-CN"/>
        </w:rPr>
        <w:t xml:space="preserve">   </w:t>
      </w:r>
      <w:r>
        <w:rPr>
          <w:rFonts w:hint="eastAsia" w:ascii="仿宋_GB2312" w:hAnsi="仿宋_GB2312" w:eastAsia="仿宋_GB2312" w:cs="仿宋_GB2312"/>
          <w:kern w:val="0"/>
          <w:sz w:val="32"/>
          <w:szCs w:val="32"/>
          <w:lang w:eastAsia="zh-CN"/>
        </w:rPr>
        <w:drawing>
          <wp:inline distT="0" distB="0" distL="114300" distR="114300">
            <wp:extent cx="5256530" cy="2988310"/>
            <wp:effectExtent l="5080" t="4445" r="15240" b="1714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pacing w:before="240" w:after="240"/>
        <w:jc w:val="left"/>
        <w:rPr>
          <w:rFonts w:ascii="Times New Roman" w:hAnsi="Times New Roman" w:eastAsia="Times New Roman" w:cs="Times New Roman"/>
          <w:b w:val="0"/>
          <w:bCs w:val="0"/>
          <w:kern w:val="0"/>
          <w:sz w:val="32"/>
          <w:szCs w:val="32"/>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32"/>
          <w:szCs w:val="32"/>
        </w:rPr>
        <w:t> </w:t>
      </w:r>
      <w:r>
        <w:rPr>
          <w:rFonts w:ascii="黑体" w:hAnsi="黑体" w:eastAsia="黑体" w:cs="黑体"/>
          <w:b w:val="0"/>
          <w:bCs w:val="0"/>
          <w:kern w:val="0"/>
          <w:sz w:val="32"/>
          <w:szCs w:val="32"/>
        </w:rPr>
        <w:t xml:space="preserve"> 四、财政拨款收入支出决算总体情况说明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color w:val="0E00FE"/>
          <w:kern w:val="0"/>
          <w:sz w:val="27"/>
          <w:szCs w:val="27"/>
        </w:rPr>
        <w:t>   </w:t>
      </w:r>
      <w:r>
        <w:rPr>
          <w:rFonts w:hint="eastAsia" w:ascii="fang_song_gb2312" w:hAnsi="fang_song_gb2312" w:eastAsia="宋体" w:cs="fang_song_gb2312"/>
          <w:color w:val="0E00FE"/>
          <w:kern w:val="0"/>
          <w:sz w:val="27"/>
          <w:szCs w:val="27"/>
          <w:lang w:val="en-US" w:eastAsia="zh-CN"/>
        </w:rPr>
        <w:t xml:space="preserve">   </w:t>
      </w:r>
      <w:r>
        <w:rPr>
          <w:rFonts w:hint="eastAsia" w:ascii="仿宋_GB2312" w:hAnsi="仿宋_GB2312" w:eastAsia="仿宋_GB2312" w:cs="仿宋_GB2312"/>
          <w:kern w:val="0"/>
          <w:sz w:val="32"/>
          <w:szCs w:val="32"/>
        </w:rPr>
        <w:t xml:space="preserve"> 达拉特旗城市管理综合行政执法局（部门） 2023年度财政拨款收入、支出决算总计</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万元，与年初预算相比，收、支总计各增加</w:t>
      </w:r>
      <w:r>
        <w:rPr>
          <w:rFonts w:hint="eastAsia" w:ascii="仿宋_GB2312" w:hAnsi="仿宋_GB2312" w:eastAsia="仿宋_GB2312" w:cs="仿宋_GB2312"/>
          <w:kern w:val="0"/>
          <w:sz w:val="32"/>
          <w:szCs w:val="32"/>
          <w:u w:val="single"/>
        </w:rPr>
        <w:t xml:space="preserve"> 1,050.99</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61.08</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2023年度增加了北国购物停车场升级改造项目资金、白塔早市升级改造项目资金、树林召便民市场项目资金导致财政拨款收入、支出决算总计增加</w:t>
      </w:r>
      <w:r>
        <w:rPr>
          <w:rFonts w:hint="eastAsia" w:ascii="仿宋_GB2312" w:hAnsi="仿宋_GB2312" w:eastAsia="仿宋_GB2312" w:cs="仿宋_GB2312"/>
          <w:kern w:val="0"/>
          <w:sz w:val="32"/>
          <w:szCs w:val="32"/>
        </w:rPr>
        <w:t>。与上年决算相比，收、支总计各增加</w:t>
      </w:r>
      <w:r>
        <w:rPr>
          <w:rFonts w:hint="eastAsia" w:ascii="仿宋_GB2312" w:hAnsi="仿宋_GB2312" w:eastAsia="仿宋_GB2312" w:cs="仿宋_GB2312"/>
          <w:kern w:val="0"/>
          <w:sz w:val="32"/>
          <w:szCs w:val="32"/>
          <w:u w:val="single"/>
        </w:rPr>
        <w:t xml:space="preserve"> 853.81</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44.52</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2023年度增加了北国购物停车场升级改造项目资金、白塔早市升级改造项目资金、树林召便民市场项目资金导致财政拨款收入、支出决算总计增加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ascii="黑体" w:hAnsi="黑体" w:eastAsia="黑体" w:cs="黑体"/>
          <w:b w:val="0"/>
          <w:bCs w:val="0"/>
          <w:kern w:val="0"/>
          <w:sz w:val="32"/>
          <w:szCs w:val="32"/>
        </w:rPr>
      </w:pPr>
      <w:r>
        <w:rPr>
          <w:rFonts w:hint="eastAsia" w:ascii="黑体" w:hAnsi="黑体" w:eastAsia="黑体" w:cs="黑体"/>
          <w:b/>
          <w:bCs/>
          <w:kern w:val="0"/>
          <w:sz w:val="32"/>
          <w:szCs w:val="32"/>
          <w:lang w:val="en-US" w:eastAsia="zh-CN"/>
        </w:rPr>
        <w:t xml:space="preserve"> </w:t>
      </w:r>
      <w:r>
        <w:rPr>
          <w:rFonts w:hint="eastAsia" w:ascii="黑体" w:hAnsi="黑体" w:eastAsia="黑体" w:cs="黑体"/>
          <w:b w:val="0"/>
          <w:bCs w:val="0"/>
          <w:kern w:val="0"/>
          <w:sz w:val="32"/>
          <w:szCs w:val="32"/>
          <w:lang w:val="en-US" w:eastAsia="zh-CN"/>
        </w:rPr>
        <w:t xml:space="preserve"> 五、</w:t>
      </w:r>
      <w:r>
        <w:rPr>
          <w:rFonts w:ascii="黑体" w:hAnsi="黑体" w:eastAsia="黑体" w:cs="黑体"/>
          <w:b w:val="0"/>
          <w:bCs w:val="0"/>
          <w:kern w:val="0"/>
          <w:sz w:val="32"/>
          <w:szCs w:val="32"/>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before="240" w:after="240" w:line="560" w:lineRule="exact"/>
        <w:ind w:firstLine="960" w:firstLineChars="3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达拉特旗城市管理综合行政执法局（部门） 2023年度一般公共预算财政拨款支出决算</w:t>
      </w:r>
      <w:r>
        <w:rPr>
          <w:rFonts w:hint="eastAsia" w:ascii="仿宋_GB2312" w:hAnsi="仿宋_GB2312" w:eastAsia="仿宋_GB2312" w:cs="仿宋_GB2312"/>
          <w:kern w:val="0"/>
          <w:sz w:val="32"/>
          <w:szCs w:val="32"/>
          <w:u w:val="single"/>
        </w:rPr>
        <w:t xml:space="preserve"> 2,771.64</w:t>
      </w:r>
      <w:r>
        <w:rPr>
          <w:rFonts w:hint="eastAsia" w:ascii="仿宋_GB2312" w:hAnsi="仿宋_GB2312" w:eastAsia="仿宋_GB2312" w:cs="仿宋_GB2312"/>
          <w:kern w:val="0"/>
          <w:sz w:val="32"/>
          <w:szCs w:val="32"/>
        </w:rPr>
        <w:t>万元。与年初预算</w:t>
      </w:r>
      <w:r>
        <w:rPr>
          <w:rFonts w:hint="eastAsia" w:ascii="仿宋_GB2312" w:hAnsi="仿宋_GB2312" w:eastAsia="仿宋_GB2312" w:cs="仿宋_GB2312"/>
          <w:kern w:val="0"/>
          <w:sz w:val="32"/>
          <w:szCs w:val="32"/>
          <w:u w:val="single"/>
        </w:rPr>
        <w:t xml:space="preserve"> 1,720.65</w:t>
      </w:r>
      <w:r>
        <w:rPr>
          <w:rFonts w:hint="eastAsia" w:ascii="仿宋_GB2312" w:hAnsi="仿宋_GB2312" w:eastAsia="仿宋_GB2312" w:cs="仿宋_GB2312"/>
          <w:kern w:val="0"/>
          <w:sz w:val="32"/>
          <w:szCs w:val="32"/>
        </w:rPr>
        <w:t>万元相比，完成年初预算的</w:t>
      </w:r>
      <w:r>
        <w:rPr>
          <w:rFonts w:hint="eastAsia" w:ascii="仿宋_GB2312" w:hAnsi="仿宋_GB2312" w:eastAsia="仿宋_GB2312" w:cs="仿宋_GB2312"/>
          <w:kern w:val="0"/>
          <w:sz w:val="32"/>
          <w:szCs w:val="32"/>
          <w:u w:val="single"/>
        </w:rPr>
        <w:t xml:space="preserve"> 161.08</w:t>
      </w:r>
      <w:r>
        <w:rPr>
          <w:rFonts w:hint="eastAsia" w:ascii="仿宋_GB2312" w:hAnsi="仿宋_GB2312" w:eastAsia="仿宋_GB2312" w:cs="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楷体_GB2312" w:hAnsi="楷体_GB2312" w:eastAsia="楷体_GB2312" w:cs="楷体_GB2312"/>
          <w:kern w:val="0"/>
          <w:sz w:val="32"/>
          <w:szCs w:val="32"/>
        </w:rPr>
      </w:pPr>
      <w:r>
        <w:rPr>
          <w:rFonts w:ascii="kai_ti_gb2312" w:hAnsi="kai_ti_gb2312" w:eastAsia="kai_ti_gb2312" w:cs="kai_ti_gb2312"/>
          <w:b/>
          <w:bCs/>
          <w:kern w:val="0"/>
          <w:sz w:val="27"/>
          <w:szCs w:val="27"/>
        </w:rPr>
        <w:t xml:space="preserve">    </w:t>
      </w:r>
      <w:r>
        <w:rPr>
          <w:rFonts w:hint="eastAsia" w:ascii="楷体_GB2312" w:hAnsi="楷体_GB2312" w:eastAsia="楷体_GB2312" w:cs="楷体_GB2312"/>
          <w:b/>
          <w:bCs/>
          <w:kern w:val="0"/>
          <w:sz w:val="32"/>
          <w:szCs w:val="32"/>
        </w:rPr>
        <w:t>（一）一般公共服务（类）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一般公共服务类决算数为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kern w:val="0"/>
          <w:sz w:val="24"/>
        </w:rPr>
      </w:pPr>
      <w:r>
        <w:rPr>
          <w:rFonts w:hint="eastAsia" w:ascii="仿宋_GB2312" w:hAnsi="仿宋_GB2312" w:eastAsia="仿宋_GB2312" w:cs="仿宋_GB2312"/>
          <w:kern w:val="0"/>
          <w:sz w:val="32"/>
          <w:szCs w:val="32"/>
        </w:rPr>
        <w:t>    1．人大事务（款）行政运行（项）。年初预算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楷体_GB2312" w:hAnsi="楷体_GB2312" w:eastAsia="楷体_GB2312" w:cs="楷体_GB2312"/>
          <w:kern w:val="0"/>
          <w:sz w:val="32"/>
          <w:szCs w:val="32"/>
        </w:rPr>
      </w:pPr>
      <w:r>
        <w:rPr>
          <w:rFonts w:ascii="fang_song_gb2312" w:hAnsi="fang_song_gb2312" w:eastAsia="fang_song_gb2312" w:cs="fang_song_gb2312"/>
          <w:kern w:val="0"/>
          <w:sz w:val="27"/>
          <w:szCs w:val="27"/>
        </w:rPr>
        <w:t> </w:t>
      </w:r>
      <w:r>
        <w:rPr>
          <w:rFonts w:hint="eastAsia" w:ascii="楷体_GB2312" w:hAnsi="楷体_GB2312" w:eastAsia="楷体_GB2312" w:cs="楷体_GB2312"/>
          <w:kern w:val="0"/>
          <w:sz w:val="32"/>
          <w:szCs w:val="32"/>
        </w:rPr>
        <w:t xml:space="preserve">  </w:t>
      </w:r>
      <w:r>
        <w:rPr>
          <w:rFonts w:hint="eastAsia" w:ascii="楷体_GB2312" w:hAnsi="楷体_GB2312" w:eastAsia="楷体_GB2312" w:cs="楷体_GB2312"/>
          <w:b/>
          <w:bCs/>
          <w:kern w:val="0"/>
          <w:sz w:val="32"/>
          <w:szCs w:val="32"/>
        </w:rPr>
        <w:t>（二）公共安全（类）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公共安全类决算数为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1．公安（款）行政运行（项）。年初预算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楷体_GB2312" w:hAnsi="楷体_GB2312" w:eastAsia="楷体_GB2312" w:cs="楷体_GB2312"/>
          <w:kern w:val="0"/>
          <w:sz w:val="32"/>
          <w:szCs w:val="32"/>
        </w:rPr>
        <w:t> </w:t>
      </w:r>
      <w:r>
        <w:rPr>
          <w:rFonts w:hint="eastAsia" w:ascii="楷体_GB2312" w:hAnsi="楷体_GB2312" w:eastAsia="楷体_GB2312" w:cs="楷体_GB2312"/>
          <w:b/>
          <w:bCs/>
          <w:kern w:val="0"/>
          <w:sz w:val="32"/>
          <w:szCs w:val="32"/>
        </w:rPr>
        <w:t>（三）社会保障和就业支出（类）</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社会保障和就业支出类决算数为</w:t>
      </w:r>
      <w:r>
        <w:rPr>
          <w:rFonts w:hint="eastAsia" w:ascii="仿宋_GB2312" w:hAnsi="仿宋_GB2312" w:eastAsia="仿宋_GB2312" w:cs="仿宋_GB2312"/>
          <w:kern w:val="0"/>
          <w:sz w:val="32"/>
          <w:szCs w:val="32"/>
          <w:u w:val="single"/>
        </w:rPr>
        <w:t xml:space="preserve"> 253.40</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99.63</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1．行政事业单位养老支出（款）行政单位离退休（项）。年初预算</w:t>
      </w:r>
      <w:r>
        <w:rPr>
          <w:rFonts w:hint="eastAsia" w:ascii="仿宋_GB2312" w:hAnsi="仿宋_GB2312" w:eastAsia="仿宋_GB2312" w:cs="仿宋_GB2312"/>
          <w:kern w:val="0"/>
          <w:sz w:val="32"/>
          <w:szCs w:val="32"/>
          <w:u w:val="single"/>
          <w:lang w:val="en-US" w:eastAsia="zh-CN"/>
        </w:rPr>
        <w:t>37.14</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47.63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128.24</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2023年5月份退休1人，养老退休费增加，导致决算数增加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2．行政事业单位养老支出（款）事业单位离退休（项）。年初预算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3．行政事业单位养老支出（款）机关事业单位基本养老保险缴费支出（项）。年初预算</w:t>
      </w:r>
      <w:r>
        <w:rPr>
          <w:rFonts w:hint="eastAsia" w:ascii="仿宋_GB2312" w:hAnsi="仿宋_GB2312" w:eastAsia="仿宋_GB2312" w:cs="仿宋_GB2312"/>
          <w:kern w:val="0"/>
          <w:sz w:val="32"/>
          <w:szCs w:val="32"/>
          <w:u w:val="single"/>
          <w:lang w:val="en-US" w:eastAsia="zh-CN"/>
        </w:rPr>
        <w:t>115.12</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131.6</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114.32</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2023年10月份调入1人，2023年年初养老保险重新核定基数，导致养老保险决算数增加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4．行政事业单位养老支出（款）机关事业单位职业年金缴费支出（项）。年初预算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57.02</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2023年10月份调入1人，2023年年初养老保险重新核定基数，导致职业年金决算数增加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抚恤</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死亡抚恤</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15.04</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2023年去世1人，导致死亡抚恤金决算数增加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 xml:space="preserve">  6</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其他社会保障和就业支出</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其他社会保障和就业支出</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1.51</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2.12</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140.4</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2023年10月份调入1人，2023年年初养老保险、失业保险重新核定基数，导致其他社会保障和就业支出决算数增加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1" w:firstLineChars="100"/>
        <w:jc w:val="left"/>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b/>
          <w:bCs/>
          <w:kern w:val="0"/>
          <w:sz w:val="32"/>
          <w:szCs w:val="32"/>
        </w:rPr>
        <w:t>（四）卫生健康支出（类）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卫生健康支出类决算数为</w:t>
      </w:r>
      <w:r>
        <w:rPr>
          <w:rFonts w:hint="eastAsia" w:ascii="仿宋_GB2312" w:hAnsi="仿宋_GB2312" w:eastAsia="仿宋_GB2312" w:cs="仿宋_GB2312"/>
          <w:kern w:val="0"/>
          <w:sz w:val="32"/>
          <w:szCs w:val="32"/>
          <w:u w:val="single"/>
        </w:rPr>
        <w:t xml:space="preserve"> 78.60</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0.91</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1．行政事业单位医疗（款）行政单位医疗（项）。年初预算</w:t>
      </w:r>
      <w:r>
        <w:rPr>
          <w:rFonts w:hint="eastAsia" w:ascii="仿宋_GB2312" w:hAnsi="仿宋_GB2312" w:eastAsia="仿宋_GB2312" w:cs="仿宋_GB2312"/>
          <w:kern w:val="0"/>
          <w:sz w:val="32"/>
          <w:szCs w:val="32"/>
          <w:u w:val="single"/>
          <w:lang w:val="en-US" w:eastAsia="zh-CN"/>
        </w:rPr>
        <w:t>58.1</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59.73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102.81</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2023年10月份调入1人，2023年7月份医疗保险重新核定基数，导致医疗保险决算数增加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2．行政事业单位医疗（款）事业单位医疗（项）。年初预算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0" w:firstLineChars="1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3．行政事业单位医疗（款）公务员医疗补助（项）。年初预算</w:t>
      </w:r>
      <w:r>
        <w:rPr>
          <w:rFonts w:hint="eastAsia" w:ascii="仿宋_GB2312" w:hAnsi="仿宋_GB2312" w:eastAsia="仿宋_GB2312" w:cs="仿宋_GB2312"/>
          <w:kern w:val="0"/>
          <w:sz w:val="32"/>
          <w:szCs w:val="32"/>
          <w:u w:val="single"/>
          <w:lang w:val="en-US" w:eastAsia="zh-CN"/>
        </w:rPr>
        <w:t>19.6</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18.87</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96.28</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2023年5月份退休1人，导致公务员医疗补助决算数减少</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1" w:firstLineChars="100"/>
        <w:jc w:val="left"/>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b/>
          <w:bCs/>
          <w:kern w:val="0"/>
          <w:sz w:val="32"/>
          <w:szCs w:val="32"/>
        </w:rPr>
        <w:t>（</w:t>
      </w:r>
      <w:r>
        <w:rPr>
          <w:rFonts w:hint="eastAsia" w:ascii="楷体_GB2312" w:hAnsi="楷体_GB2312" w:eastAsia="楷体_GB2312" w:cs="楷体_GB2312"/>
          <w:b/>
          <w:bCs/>
          <w:kern w:val="0"/>
          <w:sz w:val="32"/>
          <w:szCs w:val="32"/>
          <w:lang w:val="en-US" w:eastAsia="zh-CN"/>
        </w:rPr>
        <w:t>五</w:t>
      </w:r>
      <w:r>
        <w:rPr>
          <w:rFonts w:hint="eastAsia" w:ascii="楷体_GB2312" w:hAnsi="楷体_GB2312" w:eastAsia="楷体_GB2312" w:cs="楷体_GB2312"/>
          <w:b/>
          <w:bCs/>
          <w:kern w:val="0"/>
          <w:sz w:val="32"/>
          <w:szCs w:val="32"/>
        </w:rPr>
        <w:t>）</w:t>
      </w:r>
      <w:r>
        <w:rPr>
          <w:rFonts w:hint="eastAsia" w:ascii="楷体_GB2312" w:hAnsi="楷体_GB2312" w:eastAsia="楷体_GB2312" w:cs="楷体_GB2312"/>
          <w:b/>
          <w:bCs/>
          <w:kern w:val="0"/>
          <w:sz w:val="32"/>
          <w:szCs w:val="32"/>
          <w:lang w:val="en-US" w:eastAsia="zh-CN"/>
        </w:rPr>
        <w:t>城乡社区支出</w:t>
      </w:r>
      <w:r>
        <w:rPr>
          <w:rFonts w:hint="eastAsia" w:ascii="楷体_GB2312" w:hAnsi="楷体_GB2312" w:eastAsia="楷体_GB2312" w:cs="楷体_GB2312"/>
          <w:b/>
          <w:bCs/>
          <w:kern w:val="0"/>
          <w:sz w:val="32"/>
          <w:szCs w:val="32"/>
        </w:rPr>
        <w:t>（类）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城乡社区</w:t>
      </w:r>
      <w:r>
        <w:rPr>
          <w:rFonts w:hint="eastAsia" w:ascii="仿宋_GB2312" w:hAnsi="仿宋_GB2312" w:eastAsia="仿宋_GB2312" w:cs="仿宋_GB2312"/>
          <w:kern w:val="0"/>
          <w:sz w:val="32"/>
          <w:szCs w:val="32"/>
        </w:rPr>
        <w:t>支出类决算数为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2297.71</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926.2</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w:t>
      </w:r>
      <w:r>
        <w:rPr>
          <w:rFonts w:hint="eastAsia" w:ascii="仿宋_GB2312" w:hAnsi="仿宋_GB2312" w:eastAsia="仿宋_GB2312" w:cs="仿宋_GB2312"/>
          <w:kern w:val="0"/>
          <w:sz w:val="32"/>
          <w:szCs w:val="32"/>
          <w:lang w:val="en-US" w:eastAsia="zh-CN"/>
        </w:rPr>
        <w:t>城乡社区管理事务</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行政运行</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1111.51</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1321.93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118.93</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2023年10月份调入1人，年初五险一金基数调整，缴费增加，导致行政运行决算数增加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w:t>
      </w:r>
      <w:r>
        <w:rPr>
          <w:rFonts w:hint="eastAsia" w:ascii="仿宋_GB2312" w:hAnsi="仿宋_GB2312" w:eastAsia="仿宋_GB2312" w:cs="仿宋_GB2312"/>
          <w:kern w:val="0"/>
          <w:sz w:val="32"/>
          <w:szCs w:val="32"/>
          <w:lang w:val="en-US" w:eastAsia="zh-CN"/>
        </w:rPr>
        <w:t>城乡社区管理事务</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城管执法局</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208</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214.78</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103.26</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2022年部分经费财政未支付，2023年增加指标，导致决算数增加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3．</w:t>
      </w:r>
      <w:r>
        <w:rPr>
          <w:rFonts w:hint="eastAsia" w:ascii="仿宋_GB2312" w:hAnsi="仿宋_GB2312" w:eastAsia="仿宋_GB2312" w:cs="仿宋_GB2312"/>
          <w:kern w:val="0"/>
          <w:sz w:val="32"/>
          <w:szCs w:val="32"/>
          <w:lang w:val="en-US" w:eastAsia="zh-CN"/>
        </w:rPr>
        <w:t>城乡社区公共设施</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其他城乡社区公共设施支出</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52</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761</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1463.46</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2023年度增加了北国购物停车场升级改造项目资金、白塔早市升级改造项目资金、树林召便民市场项目资金导致其他城乡社区公共设施支出决算总计增加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1" w:firstLineChars="1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b/>
          <w:bCs/>
          <w:kern w:val="0"/>
          <w:sz w:val="32"/>
          <w:szCs w:val="32"/>
        </w:rPr>
        <w:t>（</w:t>
      </w:r>
      <w:r>
        <w:rPr>
          <w:rFonts w:hint="eastAsia" w:ascii="楷体_GB2312" w:hAnsi="楷体_GB2312" w:eastAsia="楷体_GB2312" w:cs="楷体_GB2312"/>
          <w:b/>
          <w:bCs/>
          <w:kern w:val="0"/>
          <w:sz w:val="32"/>
          <w:szCs w:val="32"/>
          <w:lang w:val="en-US" w:eastAsia="zh-CN"/>
        </w:rPr>
        <w:t>六</w:t>
      </w:r>
      <w:r>
        <w:rPr>
          <w:rFonts w:hint="eastAsia" w:ascii="楷体_GB2312" w:hAnsi="楷体_GB2312" w:eastAsia="楷体_GB2312" w:cs="楷体_GB2312"/>
          <w:b/>
          <w:bCs/>
          <w:kern w:val="0"/>
          <w:sz w:val="32"/>
          <w:szCs w:val="32"/>
        </w:rPr>
        <w:t>）住房保障支出（类）</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住房保障支出类决算数为</w:t>
      </w:r>
      <w:r>
        <w:rPr>
          <w:rFonts w:hint="eastAsia" w:ascii="仿宋_GB2312" w:hAnsi="仿宋_GB2312" w:eastAsia="仿宋_GB2312" w:cs="仿宋_GB2312"/>
          <w:kern w:val="0"/>
          <w:sz w:val="32"/>
          <w:szCs w:val="32"/>
          <w:u w:val="single"/>
        </w:rPr>
        <w:t xml:space="preserve"> 141.93</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24.25</w:t>
      </w:r>
      <w:r>
        <w:rPr>
          <w:rFonts w:hint="eastAsia" w:ascii="仿宋_GB2312" w:hAnsi="仿宋_GB2312" w:eastAsia="仿宋_GB2312" w:cs="仿宋_GB2312"/>
          <w:kern w:val="0"/>
          <w:sz w:val="32"/>
          <w:szCs w:val="32"/>
        </w:rPr>
        <w:t>万元。其中：</w:t>
      </w:r>
    </w:p>
    <w:p>
      <w:pPr>
        <w:keepNext w:val="0"/>
        <w:keepLines w:val="0"/>
        <w:pageBreakBefore w:val="0"/>
        <w:widowControl/>
        <w:numPr>
          <w:ilvl w:val="0"/>
          <w:numId w:val="1"/>
        </w:numPr>
        <w:kinsoku/>
        <w:wordWrap/>
        <w:overflowPunct/>
        <w:topLinePunct w:val="0"/>
        <w:autoSpaceDE/>
        <w:autoSpaceDN/>
        <w:bidi w:val="0"/>
        <w:adjustRightInd/>
        <w:snapToGrid/>
        <w:spacing w:before="240" w:after="240" w:line="560" w:lineRule="exact"/>
        <w:ind w:left="497" w:leftChars="0" w:firstLine="0" w:firstLineChars="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住房改革支出（款）住房公积金（项）。年初预算</w:t>
      </w:r>
      <w:r>
        <w:rPr>
          <w:rFonts w:hint="eastAsia" w:ascii="仿宋_GB2312" w:hAnsi="仿宋_GB2312" w:eastAsia="仿宋_GB2312" w:cs="仿宋_GB2312"/>
          <w:kern w:val="0"/>
          <w:sz w:val="32"/>
          <w:szCs w:val="32"/>
          <w:u w:val="single"/>
          <w:lang w:val="en-US" w:eastAsia="zh-CN"/>
        </w:rPr>
        <w:t>117.68</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141.93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120.61</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2023年10月份调入1人，2023年年初住房公积金重新核定基数，导致住房公积金决算数增加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atLeast"/>
        <w:jc w:val="left"/>
        <w:textAlignment w:val="auto"/>
        <w:rPr>
          <w:rFonts w:ascii="Times New Roman" w:hAnsi="Times New Roman" w:eastAsia="Times New Roman" w:cs="Times New Roman"/>
          <w:kern w:val="0"/>
          <w:sz w:val="24"/>
        </w:rPr>
      </w:pPr>
      <w:r>
        <w:rPr>
          <w:rFonts w:ascii="黑体" w:hAnsi="黑体" w:eastAsia="黑体" w:cs="黑体"/>
          <w:b w:val="0"/>
          <w:bCs w:val="0"/>
          <w:kern w:val="0"/>
          <w:sz w:val="32"/>
          <w:szCs w:val="32"/>
        </w:rPr>
        <w:t xml:space="preserve"> </w:t>
      </w:r>
      <w:r>
        <w:rPr>
          <w:rFonts w:hint="eastAsia" w:ascii="黑体" w:hAnsi="黑体" w:eastAsia="黑体" w:cs="黑体"/>
          <w:b w:val="0"/>
          <w:bCs w:val="0"/>
          <w:kern w:val="0"/>
          <w:sz w:val="32"/>
          <w:szCs w:val="32"/>
          <w:lang w:val="en-US" w:eastAsia="zh-CN"/>
        </w:rPr>
        <w:t xml:space="preserve"> </w:t>
      </w:r>
      <w:r>
        <w:rPr>
          <w:rFonts w:ascii="黑体" w:hAnsi="黑体" w:eastAsia="黑体" w:cs="黑体"/>
          <w:b w:val="0"/>
          <w:bCs w:val="0"/>
          <w:kern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240" w:after="240" w:line="560" w:lineRule="atLeas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color w:val="0E00FE"/>
          <w:kern w:val="0"/>
          <w:sz w:val="27"/>
          <w:szCs w:val="27"/>
        </w:rPr>
        <w:t xml:space="preserve">  </w:t>
      </w:r>
      <w:r>
        <w:rPr>
          <w:rFonts w:hint="eastAsia" w:ascii="fang_song_gb2312" w:hAnsi="fang_song_gb2312" w:eastAsia="宋体" w:cs="fang_song_gb2312"/>
          <w:color w:val="0E00FE"/>
          <w:kern w:val="0"/>
          <w:sz w:val="27"/>
          <w:szCs w:val="27"/>
          <w:lang w:val="en-US" w:eastAsia="zh-CN"/>
        </w:rPr>
        <w:t xml:space="preserve">   </w:t>
      </w:r>
      <w:r>
        <w:rPr>
          <w:rFonts w:hint="eastAsia" w:ascii="仿宋_GB2312" w:hAnsi="仿宋_GB2312" w:eastAsia="仿宋_GB2312" w:cs="仿宋_GB2312"/>
          <w:color w:val="0E00FE"/>
          <w:kern w:val="0"/>
          <w:sz w:val="32"/>
          <w:szCs w:val="32"/>
          <w:lang w:val="en-US" w:eastAsia="zh-CN"/>
        </w:rPr>
        <w:t xml:space="preserve"> </w:t>
      </w:r>
      <w:r>
        <w:rPr>
          <w:rFonts w:hint="eastAsia" w:ascii="仿宋_GB2312" w:hAnsi="仿宋_GB2312" w:eastAsia="仿宋_GB2312" w:cs="仿宋_GB2312"/>
          <w:kern w:val="0"/>
          <w:sz w:val="32"/>
          <w:szCs w:val="32"/>
        </w:rPr>
        <w:t>达拉特旗城市管理综合行政执法局（部门） 2023年度一般公共预算财政拨款基本支出决算</w:t>
      </w:r>
      <w:r>
        <w:rPr>
          <w:rFonts w:hint="eastAsia" w:ascii="仿宋_GB2312" w:hAnsi="仿宋_GB2312" w:eastAsia="仿宋_GB2312" w:cs="仿宋_GB2312"/>
          <w:kern w:val="0"/>
          <w:sz w:val="32"/>
          <w:szCs w:val="32"/>
          <w:u w:val="single"/>
        </w:rPr>
        <w:t xml:space="preserve"> 2,569.64</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atLeas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w:t>
      </w:r>
      <w:r>
        <w:rPr>
          <w:rFonts w:hint="eastAsia" w:ascii="楷体_GB2312" w:hAnsi="楷体_GB2312" w:eastAsia="楷体_GB2312" w:cs="楷体_GB2312"/>
          <w:b/>
          <w:bCs/>
          <w:kern w:val="0"/>
          <w:sz w:val="32"/>
          <w:szCs w:val="32"/>
        </w:rPr>
        <w:t xml:space="preserve"> （一）人员经费</w:t>
      </w:r>
      <w:r>
        <w:rPr>
          <w:rFonts w:hint="eastAsia" w:ascii="楷体_GB2312" w:hAnsi="楷体_GB2312" w:eastAsia="楷体_GB2312" w:cs="楷体_GB2312"/>
          <w:kern w:val="0"/>
          <w:sz w:val="32"/>
          <w:szCs w:val="32"/>
          <w:u w:val="single"/>
        </w:rPr>
        <w:t xml:space="preserve"> 1,750.54</w:t>
      </w:r>
      <w:r>
        <w:rPr>
          <w:rFonts w:hint="eastAsia" w:ascii="楷体_GB2312" w:hAnsi="楷体_GB2312" w:eastAsia="楷体_GB2312" w:cs="楷体_GB2312"/>
          <w:b/>
          <w:bCs/>
          <w:kern w:val="0"/>
          <w:sz w:val="32"/>
          <w:szCs w:val="32"/>
        </w:rPr>
        <w:t>万元</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主要包括：基本工资</w:t>
      </w:r>
      <w:r>
        <w:rPr>
          <w:rFonts w:hint="eastAsia" w:ascii="仿宋_GB2312" w:hAnsi="仿宋_GB2312" w:eastAsia="仿宋_GB2312" w:cs="仿宋_GB2312"/>
          <w:kern w:val="0"/>
          <w:sz w:val="32"/>
          <w:szCs w:val="32"/>
          <w:lang w:val="en-US" w:eastAsia="zh-CN"/>
        </w:rPr>
        <w:t>401.18万元</w:t>
      </w:r>
      <w:r>
        <w:rPr>
          <w:rFonts w:hint="eastAsia" w:ascii="仿宋_GB2312" w:hAnsi="仿宋_GB2312" w:eastAsia="仿宋_GB2312" w:cs="仿宋_GB2312"/>
          <w:kern w:val="0"/>
          <w:sz w:val="32"/>
          <w:szCs w:val="32"/>
        </w:rPr>
        <w:t>、津贴补贴</w:t>
      </w:r>
      <w:r>
        <w:rPr>
          <w:rFonts w:hint="eastAsia" w:ascii="仿宋_GB2312" w:hAnsi="仿宋_GB2312" w:eastAsia="仿宋_GB2312" w:cs="仿宋_GB2312"/>
          <w:kern w:val="0"/>
          <w:sz w:val="32"/>
          <w:szCs w:val="32"/>
          <w:lang w:val="en-US" w:eastAsia="zh-CN"/>
        </w:rPr>
        <w:t>823.86万元</w:t>
      </w:r>
      <w:r>
        <w:rPr>
          <w:rFonts w:hint="eastAsia" w:ascii="仿宋_GB2312" w:hAnsi="仿宋_GB2312" w:eastAsia="仿宋_GB2312" w:cs="仿宋_GB2312"/>
          <w:kern w:val="0"/>
          <w:sz w:val="32"/>
          <w:szCs w:val="32"/>
        </w:rPr>
        <w:t>、奖金</w:t>
      </w:r>
      <w:r>
        <w:rPr>
          <w:rFonts w:hint="eastAsia" w:ascii="仿宋_GB2312" w:hAnsi="仿宋_GB2312" w:eastAsia="仿宋_GB2312" w:cs="仿宋_GB2312"/>
          <w:kern w:val="0"/>
          <w:sz w:val="32"/>
          <w:szCs w:val="32"/>
          <w:lang w:val="en-US" w:eastAsia="zh-CN"/>
        </w:rPr>
        <w:t>23.98万元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机关事业单位基本养老保险费131.6万元、职业年金缴费57.02万元，职工基本医疗保险缴费59.73万元、公务员医疗补助缴费18.87万元、其他社会保障缴费2.12万元、</w:t>
      </w:r>
      <w:r>
        <w:rPr>
          <w:rFonts w:hint="eastAsia" w:ascii="仿宋_GB2312" w:hAnsi="仿宋_GB2312" w:eastAsia="仿宋_GB2312" w:cs="仿宋_GB2312"/>
          <w:kern w:val="0"/>
          <w:sz w:val="32"/>
          <w:szCs w:val="32"/>
        </w:rPr>
        <w:t>社会保障缴费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、伙食补助费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、绩效工资</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、其他工资福利支出</w:t>
      </w:r>
      <w:r>
        <w:rPr>
          <w:rFonts w:hint="eastAsia" w:ascii="仿宋_GB2312" w:hAnsi="仿宋_GB2312" w:eastAsia="仿宋_GB2312" w:cs="仿宋_GB2312"/>
          <w:kern w:val="0"/>
          <w:sz w:val="32"/>
          <w:szCs w:val="32"/>
          <w:lang w:val="en-US" w:eastAsia="zh-CN"/>
        </w:rPr>
        <w:t>18.36万元</w:t>
      </w:r>
      <w:r>
        <w:rPr>
          <w:rFonts w:hint="eastAsia" w:ascii="仿宋_GB2312" w:hAnsi="仿宋_GB2312" w:eastAsia="仿宋_GB2312" w:cs="仿宋_GB2312"/>
          <w:kern w:val="0"/>
          <w:sz w:val="32"/>
          <w:szCs w:val="32"/>
        </w:rPr>
        <w:t>、离休费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、退休费</w:t>
      </w:r>
      <w:r>
        <w:rPr>
          <w:rFonts w:hint="eastAsia" w:ascii="仿宋_GB2312" w:hAnsi="仿宋_GB2312" w:eastAsia="仿宋_GB2312" w:cs="仿宋_GB2312"/>
          <w:kern w:val="0"/>
          <w:sz w:val="32"/>
          <w:szCs w:val="32"/>
          <w:lang w:val="en-US" w:eastAsia="zh-CN"/>
        </w:rPr>
        <w:t>47.63万元</w:t>
      </w:r>
      <w:r>
        <w:rPr>
          <w:rFonts w:hint="eastAsia" w:ascii="仿宋_GB2312" w:hAnsi="仿宋_GB2312" w:eastAsia="仿宋_GB2312" w:cs="仿宋_GB2312"/>
          <w:kern w:val="0"/>
          <w:sz w:val="32"/>
          <w:szCs w:val="32"/>
        </w:rPr>
        <w:t>、抚恤金</w:t>
      </w:r>
      <w:r>
        <w:rPr>
          <w:rFonts w:hint="eastAsia" w:ascii="仿宋_GB2312" w:hAnsi="仿宋_GB2312" w:eastAsia="仿宋_GB2312" w:cs="仿宋_GB2312"/>
          <w:kern w:val="0"/>
          <w:sz w:val="32"/>
          <w:szCs w:val="32"/>
          <w:lang w:val="en-US" w:eastAsia="zh-CN"/>
        </w:rPr>
        <w:t>15.04万元</w:t>
      </w:r>
      <w:r>
        <w:rPr>
          <w:rFonts w:hint="eastAsia" w:ascii="仿宋_GB2312" w:hAnsi="仿宋_GB2312" w:eastAsia="仿宋_GB2312" w:cs="仿宋_GB2312"/>
          <w:kern w:val="0"/>
          <w:sz w:val="32"/>
          <w:szCs w:val="32"/>
        </w:rPr>
        <w:t>、生活补助</w:t>
      </w:r>
      <w:r>
        <w:rPr>
          <w:rFonts w:hint="eastAsia" w:ascii="仿宋_GB2312" w:hAnsi="仿宋_GB2312" w:eastAsia="仿宋_GB2312" w:cs="仿宋_GB2312"/>
          <w:kern w:val="0"/>
          <w:sz w:val="32"/>
          <w:szCs w:val="32"/>
          <w:lang w:val="en-US" w:eastAsia="zh-CN"/>
        </w:rPr>
        <w:t>9.23万元</w:t>
      </w:r>
      <w:r>
        <w:rPr>
          <w:rFonts w:hint="eastAsia" w:ascii="仿宋_GB2312" w:hAnsi="仿宋_GB2312" w:eastAsia="仿宋_GB2312" w:cs="仿宋_GB2312"/>
          <w:kern w:val="0"/>
          <w:sz w:val="32"/>
          <w:szCs w:val="32"/>
        </w:rPr>
        <w:t>、医疗费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、奖励金</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、住房公积金</w:t>
      </w:r>
      <w:r>
        <w:rPr>
          <w:rFonts w:hint="eastAsia" w:ascii="仿宋_GB2312" w:hAnsi="仿宋_GB2312" w:eastAsia="仿宋_GB2312" w:cs="仿宋_GB2312"/>
          <w:kern w:val="0"/>
          <w:sz w:val="32"/>
          <w:szCs w:val="32"/>
          <w:lang w:val="en-US" w:eastAsia="zh-CN"/>
        </w:rPr>
        <w:t>141.93万元</w:t>
      </w:r>
      <w:r>
        <w:rPr>
          <w:rFonts w:hint="eastAsia" w:ascii="仿宋_GB2312" w:hAnsi="仿宋_GB2312" w:eastAsia="仿宋_GB2312" w:cs="仿宋_GB2312"/>
          <w:kern w:val="0"/>
          <w:sz w:val="32"/>
          <w:szCs w:val="32"/>
        </w:rPr>
        <w:t>、提租补贴</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、其他对个人和家庭的补助支出</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等。</w:t>
      </w:r>
    </w:p>
    <w:p>
      <w:pPr>
        <w:keepNext w:val="0"/>
        <w:keepLines w:val="0"/>
        <w:pageBreakBefore w:val="0"/>
        <w:widowControl/>
        <w:kinsoku/>
        <w:wordWrap/>
        <w:overflowPunct/>
        <w:topLinePunct w:val="0"/>
        <w:autoSpaceDE/>
        <w:autoSpaceDN/>
        <w:bidi w:val="0"/>
        <w:adjustRightInd/>
        <w:snapToGrid/>
        <w:spacing w:before="240" w:after="240" w:line="560" w:lineRule="atLeas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xml:space="preserve">  </w:t>
      </w:r>
      <w:r>
        <w:rPr>
          <w:rFonts w:hint="eastAsia" w:ascii="楷体_GB2312" w:hAnsi="楷体_GB2312" w:eastAsia="楷体_GB2312" w:cs="楷体_GB2312"/>
          <w:b/>
          <w:bCs/>
          <w:kern w:val="0"/>
          <w:sz w:val="32"/>
          <w:szCs w:val="32"/>
        </w:rPr>
        <w:t>  （二）公用经费</w:t>
      </w:r>
      <w:r>
        <w:rPr>
          <w:rFonts w:hint="eastAsia" w:ascii="楷体_GB2312" w:hAnsi="楷体_GB2312" w:eastAsia="楷体_GB2312" w:cs="楷体_GB2312"/>
          <w:kern w:val="0"/>
          <w:sz w:val="32"/>
          <w:szCs w:val="32"/>
          <w:u w:val="single"/>
        </w:rPr>
        <w:t xml:space="preserve"> 819.10</w:t>
      </w:r>
      <w:r>
        <w:rPr>
          <w:rFonts w:hint="eastAsia" w:ascii="楷体_GB2312" w:hAnsi="楷体_GB2312" w:eastAsia="楷体_GB2312" w:cs="楷体_GB2312"/>
          <w:b/>
          <w:bCs/>
          <w:kern w:val="0"/>
          <w:sz w:val="32"/>
          <w:szCs w:val="32"/>
        </w:rPr>
        <w:t>万元</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主要包括：办公费</w:t>
      </w:r>
      <w:r>
        <w:rPr>
          <w:rFonts w:hint="eastAsia" w:ascii="仿宋_GB2312" w:hAnsi="仿宋_GB2312" w:eastAsia="仿宋_GB2312" w:cs="仿宋_GB2312"/>
          <w:kern w:val="0"/>
          <w:sz w:val="32"/>
          <w:szCs w:val="32"/>
          <w:lang w:val="en-US" w:eastAsia="zh-CN"/>
        </w:rPr>
        <w:t>6.28万元</w:t>
      </w:r>
      <w:r>
        <w:rPr>
          <w:rFonts w:hint="eastAsia" w:ascii="仿宋_GB2312" w:hAnsi="仿宋_GB2312" w:eastAsia="仿宋_GB2312" w:cs="仿宋_GB2312"/>
          <w:kern w:val="0"/>
          <w:sz w:val="32"/>
          <w:szCs w:val="32"/>
        </w:rPr>
        <w:t>、印刷费</w:t>
      </w:r>
      <w:r>
        <w:rPr>
          <w:rFonts w:hint="eastAsia" w:ascii="仿宋_GB2312" w:hAnsi="仿宋_GB2312" w:eastAsia="仿宋_GB2312" w:cs="仿宋_GB2312"/>
          <w:kern w:val="0"/>
          <w:sz w:val="32"/>
          <w:szCs w:val="32"/>
          <w:lang w:val="en-US" w:eastAsia="zh-CN"/>
        </w:rPr>
        <w:t>2.2万元</w:t>
      </w:r>
      <w:r>
        <w:rPr>
          <w:rFonts w:hint="eastAsia" w:ascii="仿宋_GB2312" w:hAnsi="仿宋_GB2312" w:eastAsia="仿宋_GB2312" w:cs="仿宋_GB2312"/>
          <w:kern w:val="0"/>
          <w:sz w:val="32"/>
          <w:szCs w:val="32"/>
        </w:rPr>
        <w:t>、咨询费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、手续费</w:t>
      </w:r>
      <w:r>
        <w:rPr>
          <w:rFonts w:hint="eastAsia" w:ascii="仿宋_GB2312" w:hAnsi="仿宋_GB2312" w:eastAsia="仿宋_GB2312" w:cs="仿宋_GB2312"/>
          <w:kern w:val="0"/>
          <w:sz w:val="32"/>
          <w:szCs w:val="32"/>
          <w:lang w:val="en-US" w:eastAsia="zh-CN"/>
        </w:rPr>
        <w:t>0.19万元</w:t>
      </w:r>
      <w:r>
        <w:rPr>
          <w:rFonts w:hint="eastAsia" w:ascii="仿宋_GB2312" w:hAnsi="仿宋_GB2312" w:eastAsia="仿宋_GB2312" w:cs="仿宋_GB2312"/>
          <w:kern w:val="0"/>
          <w:sz w:val="32"/>
          <w:szCs w:val="32"/>
        </w:rPr>
        <w:t>、水费</w:t>
      </w:r>
      <w:r>
        <w:rPr>
          <w:rFonts w:hint="eastAsia" w:ascii="仿宋_GB2312" w:hAnsi="仿宋_GB2312" w:eastAsia="仿宋_GB2312" w:cs="仿宋_GB2312"/>
          <w:kern w:val="0"/>
          <w:sz w:val="32"/>
          <w:szCs w:val="32"/>
          <w:lang w:val="en-US" w:eastAsia="zh-CN"/>
        </w:rPr>
        <w:t>2万元</w:t>
      </w:r>
      <w:r>
        <w:rPr>
          <w:rFonts w:hint="eastAsia" w:ascii="仿宋_GB2312" w:hAnsi="仿宋_GB2312" w:eastAsia="仿宋_GB2312" w:cs="仿宋_GB2312"/>
          <w:kern w:val="0"/>
          <w:sz w:val="32"/>
          <w:szCs w:val="32"/>
        </w:rPr>
        <w:t>、电费</w:t>
      </w:r>
      <w:r>
        <w:rPr>
          <w:rFonts w:hint="eastAsia" w:ascii="仿宋_GB2312" w:hAnsi="仿宋_GB2312" w:eastAsia="仿宋_GB2312" w:cs="仿宋_GB2312"/>
          <w:kern w:val="0"/>
          <w:sz w:val="32"/>
          <w:szCs w:val="32"/>
          <w:lang w:val="en-US" w:eastAsia="zh-CN"/>
        </w:rPr>
        <w:t>1.95万元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lang w:val="en-US" w:eastAsia="zh-CN"/>
        </w:rPr>
        <w:t>5.05万元</w:t>
      </w:r>
      <w:r>
        <w:rPr>
          <w:rFonts w:hint="eastAsia" w:ascii="仿宋_GB2312" w:hAnsi="仿宋_GB2312" w:eastAsia="仿宋_GB2312" w:cs="仿宋_GB2312"/>
          <w:kern w:val="0"/>
          <w:sz w:val="32"/>
          <w:szCs w:val="32"/>
        </w:rPr>
        <w:t>、取暖费</w:t>
      </w:r>
      <w:r>
        <w:rPr>
          <w:rFonts w:hint="eastAsia" w:ascii="仿宋_GB2312" w:hAnsi="仿宋_GB2312" w:eastAsia="仿宋_GB2312" w:cs="仿宋_GB2312"/>
          <w:kern w:val="0"/>
          <w:sz w:val="32"/>
          <w:szCs w:val="32"/>
          <w:lang w:val="en-US" w:eastAsia="zh-CN"/>
        </w:rPr>
        <w:t>6.58万元</w:t>
      </w:r>
      <w:r>
        <w:rPr>
          <w:rFonts w:hint="eastAsia" w:ascii="仿宋_GB2312" w:hAnsi="仿宋_GB2312" w:eastAsia="仿宋_GB2312" w:cs="仿宋_GB2312"/>
          <w:kern w:val="0"/>
          <w:sz w:val="32"/>
          <w:szCs w:val="32"/>
        </w:rPr>
        <w:t>、物业管理费</w:t>
      </w:r>
      <w:r>
        <w:rPr>
          <w:rFonts w:hint="eastAsia" w:ascii="仿宋_GB2312" w:hAnsi="仿宋_GB2312" w:eastAsia="仿宋_GB2312" w:cs="仿宋_GB2312"/>
          <w:kern w:val="0"/>
          <w:sz w:val="32"/>
          <w:szCs w:val="32"/>
          <w:lang w:val="en-US" w:eastAsia="zh-CN"/>
        </w:rPr>
        <w:t>10万元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lang w:val="en-US" w:eastAsia="zh-CN"/>
        </w:rPr>
        <w:t>4.75万元</w:t>
      </w:r>
      <w:r>
        <w:rPr>
          <w:rFonts w:hint="eastAsia" w:ascii="仿宋_GB2312" w:hAnsi="仿宋_GB2312" w:eastAsia="仿宋_GB2312" w:cs="仿宋_GB2312"/>
          <w:kern w:val="0"/>
          <w:sz w:val="32"/>
          <w:szCs w:val="32"/>
        </w:rPr>
        <w:t>、维修（护）费</w:t>
      </w:r>
      <w:r>
        <w:rPr>
          <w:rFonts w:hint="eastAsia" w:ascii="仿宋_GB2312" w:hAnsi="仿宋_GB2312" w:eastAsia="仿宋_GB2312" w:cs="仿宋_GB2312"/>
          <w:kern w:val="0"/>
          <w:sz w:val="32"/>
          <w:szCs w:val="32"/>
          <w:lang w:val="en-US" w:eastAsia="zh-CN"/>
        </w:rPr>
        <w:t>3.49万元</w:t>
      </w:r>
      <w:r>
        <w:rPr>
          <w:rFonts w:hint="eastAsia" w:ascii="仿宋_GB2312" w:hAnsi="仿宋_GB2312" w:eastAsia="仿宋_GB2312" w:cs="仿宋_GB2312"/>
          <w:kern w:val="0"/>
          <w:sz w:val="32"/>
          <w:szCs w:val="32"/>
        </w:rPr>
        <w:t>、租赁费</w:t>
      </w:r>
      <w:r>
        <w:rPr>
          <w:rFonts w:hint="eastAsia" w:ascii="仿宋_GB2312" w:hAnsi="仿宋_GB2312" w:eastAsia="仿宋_GB2312" w:cs="仿宋_GB2312"/>
          <w:kern w:val="0"/>
          <w:sz w:val="32"/>
          <w:szCs w:val="32"/>
          <w:lang w:val="en-US" w:eastAsia="zh-CN"/>
        </w:rPr>
        <w:t>14.87万元</w:t>
      </w:r>
      <w:r>
        <w:rPr>
          <w:rFonts w:hint="eastAsia" w:ascii="仿宋_GB2312" w:hAnsi="仿宋_GB2312" w:eastAsia="仿宋_GB2312" w:cs="仿宋_GB2312"/>
          <w:kern w:val="0"/>
          <w:sz w:val="32"/>
          <w:szCs w:val="32"/>
        </w:rPr>
        <w:t>、会议费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、培训费</w:t>
      </w:r>
      <w:r>
        <w:rPr>
          <w:rFonts w:hint="eastAsia" w:ascii="仿宋_GB2312" w:hAnsi="仿宋_GB2312" w:eastAsia="仿宋_GB2312" w:cs="仿宋_GB2312"/>
          <w:kern w:val="0"/>
          <w:sz w:val="32"/>
          <w:szCs w:val="32"/>
          <w:lang w:val="en-US" w:eastAsia="zh-CN"/>
        </w:rPr>
        <w:t>0.71万元</w:t>
      </w:r>
      <w:r>
        <w:rPr>
          <w:rFonts w:hint="eastAsia" w:ascii="仿宋_GB2312" w:hAnsi="仿宋_GB2312" w:eastAsia="仿宋_GB2312" w:cs="仿宋_GB2312"/>
          <w:kern w:val="0"/>
          <w:sz w:val="32"/>
          <w:szCs w:val="32"/>
        </w:rPr>
        <w:t>、公务接待费</w:t>
      </w:r>
      <w:r>
        <w:rPr>
          <w:rFonts w:hint="eastAsia" w:ascii="仿宋_GB2312" w:hAnsi="仿宋_GB2312" w:eastAsia="仿宋_GB2312" w:cs="仿宋_GB2312"/>
          <w:kern w:val="0"/>
          <w:sz w:val="32"/>
          <w:szCs w:val="32"/>
          <w:lang w:val="en-US" w:eastAsia="zh-CN"/>
        </w:rPr>
        <w:t>1.26万元</w:t>
      </w:r>
      <w:r>
        <w:rPr>
          <w:rFonts w:hint="eastAsia" w:ascii="仿宋_GB2312" w:hAnsi="仿宋_GB2312" w:eastAsia="仿宋_GB2312" w:cs="仿宋_GB2312"/>
          <w:kern w:val="0"/>
          <w:sz w:val="32"/>
          <w:szCs w:val="32"/>
        </w:rPr>
        <w:t>、专用材料费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、劳务费</w:t>
      </w:r>
      <w:r>
        <w:rPr>
          <w:rFonts w:hint="eastAsia" w:ascii="仿宋_GB2312" w:hAnsi="仿宋_GB2312" w:eastAsia="仿宋_GB2312" w:cs="仿宋_GB2312"/>
          <w:kern w:val="0"/>
          <w:sz w:val="32"/>
          <w:szCs w:val="32"/>
          <w:lang w:val="en-US" w:eastAsia="zh-CN"/>
        </w:rPr>
        <w:t>638.28万元</w:t>
      </w:r>
      <w:r>
        <w:rPr>
          <w:rFonts w:hint="eastAsia" w:ascii="仿宋_GB2312" w:hAnsi="仿宋_GB2312" w:eastAsia="仿宋_GB2312" w:cs="仿宋_GB2312"/>
          <w:kern w:val="0"/>
          <w:sz w:val="32"/>
          <w:szCs w:val="32"/>
        </w:rPr>
        <w:t>、委托业务费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、工会经费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、福利费</w:t>
      </w:r>
      <w:r>
        <w:rPr>
          <w:rFonts w:hint="eastAsia" w:ascii="仿宋_GB2312" w:hAnsi="仿宋_GB2312" w:eastAsia="仿宋_GB2312" w:cs="仿宋_GB2312"/>
          <w:kern w:val="0"/>
          <w:sz w:val="32"/>
          <w:szCs w:val="32"/>
          <w:lang w:val="en-US" w:eastAsia="zh-CN"/>
        </w:rPr>
        <w:t>17.88万元</w:t>
      </w:r>
      <w:r>
        <w:rPr>
          <w:rFonts w:hint="eastAsia" w:ascii="仿宋_GB2312" w:hAnsi="仿宋_GB2312" w:eastAsia="仿宋_GB2312" w:cs="仿宋_GB2312"/>
          <w:kern w:val="0"/>
          <w:sz w:val="32"/>
          <w:szCs w:val="32"/>
        </w:rPr>
        <w:t>、公务用车运行维护费</w:t>
      </w:r>
      <w:r>
        <w:rPr>
          <w:rFonts w:hint="eastAsia" w:ascii="仿宋_GB2312" w:hAnsi="仿宋_GB2312" w:eastAsia="仿宋_GB2312" w:cs="仿宋_GB2312"/>
          <w:kern w:val="0"/>
          <w:sz w:val="32"/>
          <w:szCs w:val="32"/>
          <w:lang w:val="en-US" w:eastAsia="zh-CN"/>
        </w:rPr>
        <w:t>32万元</w:t>
      </w:r>
      <w:r>
        <w:rPr>
          <w:rFonts w:hint="eastAsia" w:ascii="仿宋_GB2312" w:hAnsi="仿宋_GB2312" w:eastAsia="仿宋_GB2312" w:cs="仿宋_GB2312"/>
          <w:kern w:val="0"/>
          <w:sz w:val="32"/>
          <w:szCs w:val="32"/>
        </w:rPr>
        <w:t>、其他交通费用</w:t>
      </w:r>
      <w:r>
        <w:rPr>
          <w:rFonts w:hint="eastAsia" w:ascii="仿宋_GB2312" w:hAnsi="仿宋_GB2312" w:eastAsia="仿宋_GB2312" w:cs="仿宋_GB2312"/>
          <w:kern w:val="0"/>
          <w:sz w:val="32"/>
          <w:szCs w:val="32"/>
          <w:lang w:val="en-US" w:eastAsia="zh-CN"/>
        </w:rPr>
        <w:t>8.99万元</w:t>
      </w:r>
      <w:r>
        <w:rPr>
          <w:rFonts w:hint="eastAsia" w:ascii="仿宋_GB2312" w:hAnsi="仿宋_GB2312" w:eastAsia="仿宋_GB2312" w:cs="仿宋_GB2312"/>
          <w:kern w:val="0"/>
          <w:sz w:val="32"/>
          <w:szCs w:val="32"/>
        </w:rPr>
        <w:t>、其他商品和服务支出</w:t>
      </w:r>
      <w:r>
        <w:rPr>
          <w:rFonts w:hint="eastAsia" w:ascii="仿宋_GB2312" w:hAnsi="仿宋_GB2312" w:eastAsia="仿宋_GB2312" w:cs="仿宋_GB2312"/>
          <w:kern w:val="0"/>
          <w:sz w:val="32"/>
          <w:szCs w:val="32"/>
          <w:lang w:val="en-US" w:eastAsia="zh-CN"/>
        </w:rPr>
        <w:t>57.71万元</w:t>
      </w:r>
      <w:r>
        <w:rPr>
          <w:rFonts w:hint="eastAsia" w:ascii="仿宋_GB2312" w:hAnsi="仿宋_GB2312" w:eastAsia="仿宋_GB2312" w:cs="仿宋_GB2312"/>
          <w:kern w:val="0"/>
          <w:sz w:val="32"/>
          <w:szCs w:val="32"/>
        </w:rPr>
        <w:t>、办公设备购置</w:t>
      </w:r>
      <w:r>
        <w:rPr>
          <w:rFonts w:hint="eastAsia" w:ascii="仿宋_GB2312" w:hAnsi="仿宋_GB2312" w:eastAsia="仿宋_GB2312" w:cs="仿宋_GB2312"/>
          <w:kern w:val="0"/>
          <w:sz w:val="32"/>
          <w:szCs w:val="32"/>
          <w:lang w:val="en-US" w:eastAsia="zh-CN"/>
        </w:rPr>
        <w:t>4.92万元</w:t>
      </w:r>
      <w:r>
        <w:rPr>
          <w:rFonts w:hint="eastAsia" w:ascii="仿宋_GB2312" w:hAnsi="仿宋_GB2312" w:eastAsia="仿宋_GB2312" w:cs="仿宋_GB2312"/>
          <w:kern w:val="0"/>
          <w:sz w:val="32"/>
          <w:szCs w:val="32"/>
        </w:rPr>
        <w:t>、专用设备购置</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、信息网络及软件购置更新</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、其他资本性支出</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等。</w:t>
      </w:r>
    </w:p>
    <w:p>
      <w:pPr>
        <w:widowControl/>
        <w:spacing w:before="240" w:after="240"/>
        <w:rPr>
          <w:rFonts w:ascii="Times New Roman" w:hAnsi="Times New Roman" w:eastAsia="Times New Roman" w:cs="Times New Roman"/>
          <w:b w:val="0"/>
          <w:bCs w:val="0"/>
          <w:kern w:val="0"/>
          <w:sz w:val="32"/>
          <w:szCs w:val="32"/>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color w:val="0E00FE"/>
          <w:kern w:val="0"/>
          <w:sz w:val="32"/>
          <w:szCs w:val="32"/>
        </w:rPr>
        <w:t xml:space="preserve">  </w:t>
      </w:r>
      <w:r>
        <w:rPr>
          <w:rFonts w:ascii="黑体" w:hAnsi="黑体" w:eastAsia="黑体" w:cs="黑体"/>
          <w:b/>
          <w:bCs/>
          <w:kern w:val="0"/>
          <w:sz w:val="32"/>
          <w:szCs w:val="32"/>
        </w:rPr>
        <w:t xml:space="preserve"> </w:t>
      </w:r>
      <w:r>
        <w:rPr>
          <w:rFonts w:ascii="黑体" w:hAnsi="黑体" w:eastAsia="黑体" w:cs="黑体"/>
          <w:b w:val="0"/>
          <w:bCs w:val="0"/>
          <w:kern w:val="0"/>
          <w:sz w:val="32"/>
          <w:szCs w:val="32"/>
        </w:rPr>
        <w:t>七、一般公共预算财政拨款项目支出决算情况说明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color w:val="0E00FE"/>
          <w:kern w:val="0"/>
          <w:sz w:val="27"/>
          <w:szCs w:val="27"/>
        </w:rPr>
        <w:t xml:space="preserve">  </w:t>
      </w:r>
      <w:r>
        <w:rPr>
          <w:rFonts w:hint="eastAsia" w:ascii="仿宋_GB2312" w:hAnsi="仿宋_GB2312" w:eastAsia="仿宋_GB2312" w:cs="仿宋_GB2312"/>
          <w:color w:val="0E00FE"/>
          <w:kern w:val="0"/>
          <w:sz w:val="32"/>
          <w:szCs w:val="32"/>
        </w:rPr>
        <w:t xml:space="preserve">  </w:t>
      </w:r>
      <w:r>
        <w:rPr>
          <w:rFonts w:hint="eastAsia" w:ascii="仿宋_GB2312" w:hAnsi="仿宋_GB2312" w:eastAsia="仿宋_GB2312" w:cs="仿宋_GB2312"/>
          <w:kern w:val="0"/>
          <w:sz w:val="32"/>
          <w:szCs w:val="32"/>
        </w:rPr>
        <w:t>达拉特旗城市管理综合行政执法局（部门） 2023年度一般公共预算财政拨款项目支出决算</w:t>
      </w:r>
      <w:r>
        <w:rPr>
          <w:rFonts w:hint="eastAsia" w:ascii="仿宋_GB2312" w:hAnsi="仿宋_GB2312" w:eastAsia="仿宋_GB2312" w:cs="仿宋_GB2312"/>
          <w:kern w:val="0"/>
          <w:sz w:val="32"/>
          <w:szCs w:val="32"/>
          <w:u w:val="single"/>
        </w:rPr>
        <w:t xml:space="preserve"> 202.00</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xml:space="preserve">  </w:t>
      </w:r>
      <w:r>
        <w:rPr>
          <w:rFonts w:hint="eastAsia" w:ascii="楷体_GB2312" w:hAnsi="楷体_GB2312" w:eastAsia="楷体_GB2312" w:cs="楷体_GB2312"/>
          <w:b/>
          <w:bCs/>
          <w:kern w:val="0"/>
          <w:sz w:val="32"/>
          <w:szCs w:val="32"/>
        </w:rPr>
        <w:t>  （一）工资福利支出</w:t>
      </w:r>
      <w:r>
        <w:rPr>
          <w:rFonts w:hint="eastAsia" w:ascii="楷体_GB2312" w:hAnsi="楷体_GB2312" w:eastAsia="楷体_GB2312" w:cs="楷体_GB2312"/>
          <w:kern w:val="0"/>
          <w:sz w:val="32"/>
          <w:szCs w:val="32"/>
          <w:u w:val="single"/>
        </w:rPr>
        <w:t xml:space="preserve"> 0.00</w:t>
      </w:r>
      <w:r>
        <w:rPr>
          <w:rFonts w:hint="eastAsia" w:ascii="楷体_GB2312" w:hAnsi="楷体_GB2312" w:eastAsia="楷体_GB2312" w:cs="楷体_GB2312"/>
          <w:b/>
          <w:bCs/>
          <w:kern w:val="0"/>
          <w:sz w:val="32"/>
          <w:szCs w:val="32"/>
        </w:rPr>
        <w:t>万元</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主要包括：基本工资</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、津贴补贴</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、奖金</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、伙食补助费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、绩效工资</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、机关事业单位基本养老保险缴费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、职业年金缴费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、职工基本医疗保险缴费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、公务员医疗补助缴费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、其他社会保障缴费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、住房公积金</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、医疗费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、其他工资福利支出</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等。</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xml:space="preserve">    </w:t>
      </w:r>
      <w:r>
        <w:rPr>
          <w:rFonts w:hint="eastAsia" w:ascii="楷体_GB2312" w:hAnsi="楷体_GB2312" w:eastAsia="楷体_GB2312" w:cs="楷体_GB2312"/>
          <w:b/>
          <w:bCs/>
          <w:kern w:val="0"/>
          <w:sz w:val="32"/>
          <w:szCs w:val="32"/>
        </w:rPr>
        <w:t>（二）商品和服务支出</w:t>
      </w:r>
      <w:r>
        <w:rPr>
          <w:rFonts w:hint="eastAsia" w:ascii="楷体_GB2312" w:hAnsi="楷体_GB2312" w:eastAsia="楷体_GB2312" w:cs="楷体_GB2312"/>
          <w:kern w:val="0"/>
          <w:sz w:val="32"/>
          <w:szCs w:val="32"/>
          <w:u w:val="single"/>
        </w:rPr>
        <w:t xml:space="preserve"> 52.00</w:t>
      </w:r>
      <w:r>
        <w:rPr>
          <w:rFonts w:hint="eastAsia" w:ascii="楷体_GB2312" w:hAnsi="楷体_GB2312" w:eastAsia="楷体_GB2312" w:cs="楷体_GB2312"/>
          <w:b/>
          <w:bCs/>
          <w:kern w:val="0"/>
          <w:sz w:val="32"/>
          <w:szCs w:val="32"/>
        </w:rPr>
        <w:t>万元</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主要包括：办公费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、印刷费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、咨询费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、手续费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、水费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、电费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、取暖费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、物业管理费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、因公出国（境）费用</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、维修（护）费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、租赁费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、会议费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、培训费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、公务接待费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、专用材料费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、被装购置费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、专用燃料费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、劳务费</w:t>
      </w:r>
      <w:r>
        <w:rPr>
          <w:rFonts w:hint="eastAsia" w:ascii="仿宋_GB2312" w:hAnsi="仿宋_GB2312" w:eastAsia="仿宋_GB2312" w:cs="仿宋_GB2312"/>
          <w:kern w:val="0"/>
          <w:sz w:val="32"/>
          <w:szCs w:val="32"/>
          <w:lang w:val="en-US" w:eastAsia="zh-CN"/>
        </w:rPr>
        <w:t>52万元</w:t>
      </w:r>
      <w:r>
        <w:rPr>
          <w:rFonts w:hint="eastAsia" w:ascii="仿宋_GB2312" w:hAnsi="仿宋_GB2312" w:eastAsia="仿宋_GB2312" w:cs="仿宋_GB2312"/>
          <w:kern w:val="0"/>
          <w:sz w:val="32"/>
          <w:szCs w:val="32"/>
        </w:rPr>
        <w:t>、委托业务费工会经费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、福利费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、公务用车运行维护费</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、其他交通费用</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、税金及附加费用</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、其他商品和服务支出</w:t>
      </w:r>
      <w:r>
        <w:rPr>
          <w:rFonts w:hint="eastAsia" w:ascii="仿宋_GB2312" w:hAnsi="仿宋_GB2312" w:eastAsia="仿宋_GB2312" w:cs="仿宋_GB2312"/>
          <w:kern w:val="0"/>
          <w:sz w:val="32"/>
          <w:szCs w:val="32"/>
          <w:lang w:val="en-US" w:eastAsia="zh-CN"/>
        </w:rPr>
        <w:t>0万元</w:t>
      </w:r>
      <w:r>
        <w:rPr>
          <w:rFonts w:hint="eastAsia" w:ascii="仿宋_GB2312" w:hAnsi="仿宋_GB2312" w:eastAsia="仿宋_GB2312" w:cs="仿宋_GB2312"/>
          <w:kern w:val="0"/>
          <w:sz w:val="32"/>
          <w:szCs w:val="32"/>
        </w:rPr>
        <w:t>等。</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w:t>
      </w:r>
      <w:r>
        <w:rPr>
          <w:rFonts w:hint="eastAsia" w:ascii="楷体_GB2312" w:hAnsi="楷体_GB2312" w:eastAsia="楷体_GB2312" w:cs="楷体_GB2312"/>
          <w:kern w:val="0"/>
          <w:sz w:val="32"/>
          <w:szCs w:val="32"/>
          <w:lang w:val="en-US" w:eastAsia="zh-CN"/>
        </w:rPr>
        <w:t xml:space="preserve"> </w:t>
      </w:r>
      <w:r>
        <w:rPr>
          <w:rFonts w:hint="eastAsia" w:ascii="楷体_GB2312" w:hAnsi="楷体_GB2312" w:eastAsia="楷体_GB2312" w:cs="楷体_GB2312"/>
          <w:b/>
          <w:bCs/>
          <w:kern w:val="0"/>
          <w:sz w:val="32"/>
          <w:szCs w:val="32"/>
        </w:rPr>
        <w:t>（</w:t>
      </w:r>
      <w:r>
        <w:rPr>
          <w:rFonts w:hint="eastAsia" w:ascii="楷体_GB2312" w:hAnsi="楷体_GB2312" w:eastAsia="楷体_GB2312" w:cs="楷体_GB2312"/>
          <w:b/>
          <w:bCs/>
          <w:kern w:val="0"/>
          <w:sz w:val="32"/>
          <w:szCs w:val="32"/>
          <w:lang w:val="en-US" w:eastAsia="zh-CN"/>
        </w:rPr>
        <w:t>三</w:t>
      </w:r>
      <w:r>
        <w:rPr>
          <w:rFonts w:hint="eastAsia" w:ascii="楷体_GB2312" w:hAnsi="楷体_GB2312" w:eastAsia="楷体_GB2312" w:cs="楷体_GB2312"/>
          <w:b/>
          <w:bCs/>
          <w:kern w:val="0"/>
          <w:sz w:val="32"/>
          <w:szCs w:val="32"/>
        </w:rPr>
        <w:t>）</w:t>
      </w:r>
      <w:r>
        <w:rPr>
          <w:rFonts w:hint="eastAsia" w:ascii="楷体_GB2312" w:hAnsi="楷体_GB2312" w:eastAsia="楷体_GB2312" w:cs="楷体_GB2312"/>
          <w:b/>
          <w:bCs/>
          <w:kern w:val="0"/>
          <w:sz w:val="32"/>
          <w:szCs w:val="32"/>
          <w:lang w:val="en-US" w:eastAsia="zh-CN"/>
        </w:rPr>
        <w:t>资本性</w:t>
      </w:r>
      <w:r>
        <w:rPr>
          <w:rFonts w:hint="eastAsia" w:ascii="楷体_GB2312" w:hAnsi="楷体_GB2312" w:eastAsia="楷体_GB2312" w:cs="楷体_GB2312"/>
          <w:b/>
          <w:bCs/>
          <w:kern w:val="0"/>
          <w:sz w:val="32"/>
          <w:szCs w:val="32"/>
        </w:rPr>
        <w:t>支出</w:t>
      </w:r>
      <w:r>
        <w:rPr>
          <w:rFonts w:hint="eastAsia" w:ascii="楷体_GB2312" w:hAnsi="楷体_GB2312" w:eastAsia="楷体_GB2312" w:cs="楷体_GB2312"/>
          <w:kern w:val="0"/>
          <w:sz w:val="32"/>
          <w:szCs w:val="32"/>
          <w:u w:val="single"/>
        </w:rPr>
        <w:t xml:space="preserve"> </w:t>
      </w:r>
      <w:r>
        <w:rPr>
          <w:rFonts w:hint="eastAsia" w:ascii="楷体_GB2312" w:hAnsi="楷体_GB2312" w:eastAsia="楷体_GB2312" w:cs="楷体_GB2312"/>
          <w:kern w:val="0"/>
          <w:sz w:val="32"/>
          <w:szCs w:val="32"/>
          <w:u w:val="single"/>
          <w:lang w:val="en-US" w:eastAsia="zh-CN"/>
        </w:rPr>
        <w:t>150</w:t>
      </w:r>
      <w:r>
        <w:rPr>
          <w:rFonts w:hint="eastAsia" w:ascii="楷体_GB2312" w:hAnsi="楷体_GB2312" w:eastAsia="楷体_GB2312" w:cs="楷体_GB2312"/>
          <w:b/>
          <w:bCs/>
          <w:kern w:val="0"/>
          <w:sz w:val="32"/>
          <w:szCs w:val="32"/>
        </w:rPr>
        <w:t>万元</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主要包括：</w:t>
      </w:r>
      <w:r>
        <w:rPr>
          <w:rFonts w:hint="eastAsia" w:ascii="仿宋_GB2312" w:hAnsi="仿宋_GB2312" w:eastAsia="仿宋_GB2312" w:cs="仿宋_GB2312"/>
          <w:kern w:val="0"/>
          <w:sz w:val="32"/>
          <w:szCs w:val="32"/>
          <w:lang w:val="en-US" w:eastAsia="zh-CN"/>
        </w:rPr>
        <w:t>大型修缮150万元。</w:t>
      </w:r>
    </w:p>
    <w:p>
      <w:pPr>
        <w:widowControl/>
        <w:spacing w:before="240" w:after="240"/>
        <w:rPr>
          <w:rFonts w:ascii="Times New Roman" w:hAnsi="Times New Roman" w:eastAsia="Times New Roman" w:cs="Times New Roman"/>
          <w:b w:val="0"/>
          <w:bCs w:val="0"/>
          <w:kern w:val="0"/>
          <w:sz w:val="32"/>
          <w:szCs w:val="32"/>
        </w:rPr>
      </w:pPr>
      <w:r>
        <w:rPr>
          <w:rFonts w:ascii="黑体" w:hAnsi="黑体" w:eastAsia="黑体" w:cs="黑体"/>
          <w:b w:val="0"/>
          <w:bCs w:val="0"/>
          <w:kern w:val="0"/>
          <w:sz w:val="32"/>
          <w:szCs w:val="32"/>
        </w:rPr>
        <w:t xml:space="preserve"> </w:t>
      </w:r>
      <w:r>
        <w:rPr>
          <w:rFonts w:hint="eastAsia" w:ascii="黑体" w:hAnsi="黑体" w:eastAsia="黑体" w:cs="黑体"/>
          <w:b w:val="0"/>
          <w:bCs w:val="0"/>
          <w:kern w:val="0"/>
          <w:sz w:val="32"/>
          <w:szCs w:val="32"/>
          <w:lang w:val="en-US" w:eastAsia="zh-CN"/>
        </w:rPr>
        <w:t xml:space="preserve"> </w:t>
      </w:r>
      <w:r>
        <w:rPr>
          <w:rFonts w:ascii="黑体" w:hAnsi="黑体" w:eastAsia="黑体" w:cs="黑体"/>
          <w:b w:val="0"/>
          <w:bCs w:val="0"/>
          <w:kern w:val="0"/>
          <w:sz w:val="32"/>
          <w:szCs w:val="32"/>
        </w:rPr>
        <w:t>八、财政拨款“三公”经费支出决算情况说明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E00FE"/>
          <w:kern w:val="0"/>
          <w:sz w:val="32"/>
          <w:szCs w:val="32"/>
        </w:rPr>
        <w:t xml:space="preserve">    </w:t>
      </w:r>
      <w:r>
        <w:rPr>
          <w:rFonts w:hint="eastAsia" w:ascii="仿宋_GB2312" w:hAnsi="仿宋_GB2312" w:eastAsia="仿宋_GB2312" w:cs="仿宋_GB2312"/>
          <w:b/>
          <w:bCs/>
          <w:kern w:val="0"/>
          <w:sz w:val="32"/>
          <w:szCs w:val="32"/>
        </w:rPr>
        <w:t xml:space="preserve"> </w:t>
      </w:r>
      <w:r>
        <w:rPr>
          <w:rFonts w:hint="eastAsia" w:ascii="楷体_GB2312" w:hAnsi="楷体_GB2312" w:eastAsia="楷体_GB2312" w:cs="楷体_GB2312"/>
          <w:b/>
          <w:bCs/>
          <w:kern w:val="0"/>
          <w:sz w:val="32"/>
          <w:szCs w:val="32"/>
        </w:rPr>
        <w:t>（一）财政拨款“三公”经费支出总体情况说明。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达拉特旗城市管理综合行政执法局（部门） 2023年度财政拨款“三公”经费全年预算</w:t>
      </w:r>
      <w:r>
        <w:rPr>
          <w:rFonts w:hint="eastAsia" w:ascii="仿宋_GB2312" w:hAnsi="仿宋_GB2312" w:eastAsia="仿宋_GB2312" w:cs="仿宋_GB2312"/>
          <w:kern w:val="0"/>
          <w:sz w:val="32"/>
          <w:szCs w:val="32"/>
          <w:u w:val="single"/>
        </w:rPr>
        <w:t xml:space="preserve"> 33.26</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33.26</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%。其中：因公出国（境）费全年预算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%；公务用车购置及运行维护费全年预算</w:t>
      </w:r>
      <w:r>
        <w:rPr>
          <w:rFonts w:hint="eastAsia" w:ascii="仿宋_GB2312" w:hAnsi="仿宋_GB2312" w:eastAsia="仿宋_GB2312" w:cs="仿宋_GB2312"/>
          <w:kern w:val="0"/>
          <w:sz w:val="32"/>
          <w:szCs w:val="32"/>
          <w:u w:val="single"/>
        </w:rPr>
        <w:t xml:space="preserve"> 32.00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32.00</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%；公务接待费全年预算</w:t>
      </w:r>
      <w:r>
        <w:rPr>
          <w:rFonts w:hint="eastAsia" w:ascii="仿宋_GB2312" w:hAnsi="仿宋_GB2312" w:eastAsia="仿宋_GB2312" w:cs="仿宋_GB2312"/>
          <w:kern w:val="0"/>
          <w:sz w:val="32"/>
          <w:szCs w:val="32"/>
          <w:u w:val="single"/>
        </w:rPr>
        <w:t xml:space="preserve"> 1.26</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1.26</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%。2023年度一般公共预算财政拨款“三公”经费支出决算与预算</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kern w:val="0"/>
          <w:sz w:val="32"/>
          <w:szCs w:val="32"/>
        </w:rPr>
        <w:t>差异。</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eastAsia" w:ascii="楷体_GB2312" w:hAnsi="楷体_GB2312" w:eastAsia="楷体_GB2312" w:cs="楷体_GB2312"/>
          <w:kern w:val="0"/>
          <w:sz w:val="32"/>
          <w:szCs w:val="32"/>
        </w:rPr>
      </w:pPr>
      <w:r>
        <w:rPr>
          <w:rFonts w:ascii="kai_ti_gb2312" w:hAnsi="kai_ti_gb2312" w:eastAsia="kai_ti_gb2312" w:cs="kai_ti_gb2312"/>
          <w:b/>
          <w:bCs/>
          <w:kern w:val="0"/>
          <w:sz w:val="27"/>
          <w:szCs w:val="27"/>
        </w:rPr>
        <w:t>   </w:t>
      </w:r>
      <w:r>
        <w:rPr>
          <w:rFonts w:hint="eastAsia" w:ascii="楷体_GB2312" w:hAnsi="楷体_GB2312" w:eastAsia="楷体_GB2312" w:cs="楷体_GB2312"/>
          <w:b/>
          <w:bCs/>
          <w:kern w:val="0"/>
          <w:sz w:val="32"/>
          <w:szCs w:val="32"/>
        </w:rPr>
        <w:t xml:space="preserve"> （二）财政拨款“三公”经费支出具体情况说明。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达拉特旗城市管理综合行政执法局（部门） 2023年度财政拨款“三公”经费支出</w:t>
      </w:r>
      <w:r>
        <w:rPr>
          <w:rFonts w:hint="eastAsia" w:ascii="仿宋_GB2312" w:hAnsi="仿宋_GB2312" w:eastAsia="仿宋_GB2312" w:cs="仿宋_GB2312"/>
          <w:kern w:val="0"/>
          <w:sz w:val="32"/>
          <w:szCs w:val="32"/>
          <w:u w:val="single"/>
        </w:rPr>
        <w:t xml:space="preserve"> 33.26</w:t>
      </w:r>
      <w:r>
        <w:rPr>
          <w:rFonts w:hint="eastAsia" w:ascii="仿宋_GB2312" w:hAnsi="仿宋_GB2312" w:eastAsia="仿宋_GB2312" w:cs="仿宋_GB2312"/>
          <w:kern w:val="0"/>
          <w:sz w:val="32"/>
          <w:szCs w:val="32"/>
        </w:rPr>
        <w:t>万元。因公出国（境）费支出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%；公务用车购置及运行维护费支出</w:t>
      </w:r>
      <w:r>
        <w:rPr>
          <w:rFonts w:hint="eastAsia" w:ascii="仿宋_GB2312" w:hAnsi="仿宋_GB2312" w:eastAsia="仿宋_GB2312" w:cs="仿宋_GB2312"/>
          <w:kern w:val="0"/>
          <w:sz w:val="32"/>
          <w:szCs w:val="32"/>
          <w:u w:val="single"/>
        </w:rPr>
        <w:t xml:space="preserve"> 32.00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96.21</w:t>
      </w:r>
      <w:r>
        <w:rPr>
          <w:rFonts w:hint="eastAsia" w:ascii="仿宋_GB2312" w:hAnsi="仿宋_GB2312" w:eastAsia="仿宋_GB2312" w:cs="仿宋_GB2312"/>
          <w:kern w:val="0"/>
          <w:sz w:val="32"/>
          <w:szCs w:val="32"/>
        </w:rPr>
        <w:t>%；公务接待费支出</w:t>
      </w:r>
      <w:r>
        <w:rPr>
          <w:rFonts w:hint="eastAsia" w:ascii="仿宋_GB2312" w:hAnsi="仿宋_GB2312" w:eastAsia="仿宋_GB2312" w:cs="仿宋_GB2312"/>
          <w:kern w:val="0"/>
          <w:sz w:val="32"/>
          <w:szCs w:val="32"/>
          <w:u w:val="single"/>
        </w:rPr>
        <w:t xml:space="preserve"> 1.26</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3.79</w:t>
      </w:r>
      <w:r>
        <w:rPr>
          <w:rFonts w:hint="eastAsia" w:ascii="仿宋_GB2312" w:hAnsi="仿宋_GB2312" w:eastAsia="仿宋_GB2312" w:cs="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1.因公出国（境）费支出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万元，全年出国（境）团组</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个，累计</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人次。与上年决算相比，增加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2.公务用车购置及运行维护费支出</w:t>
      </w:r>
      <w:r>
        <w:rPr>
          <w:rFonts w:hint="eastAsia" w:ascii="仿宋_GB2312" w:hAnsi="仿宋_GB2312" w:eastAsia="仿宋_GB2312" w:cs="仿宋_GB2312"/>
          <w:kern w:val="0"/>
          <w:sz w:val="32"/>
          <w:szCs w:val="32"/>
          <w:u w:val="single"/>
        </w:rPr>
        <w:t xml:space="preserve"> 32.00</w:t>
      </w:r>
      <w:r>
        <w:rPr>
          <w:rFonts w:hint="eastAsia" w:ascii="仿宋_GB2312" w:hAnsi="仿宋_GB2312" w:eastAsia="仿宋_GB2312" w:cs="仿宋_GB2312"/>
          <w:kern w:val="0"/>
          <w:sz w:val="32"/>
          <w:szCs w:val="32"/>
        </w:rPr>
        <w:t>万元。其中：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（1）公务用车购置支出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万元。本年度使用财政拨款购置公务用车</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辆，开支内容：</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kern w:val="0"/>
          <w:sz w:val="32"/>
          <w:szCs w:val="32"/>
        </w:rPr>
        <w:t>。与上年决算相比，增加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（2）公务用车运行维护费支出</w:t>
      </w:r>
      <w:r>
        <w:rPr>
          <w:rFonts w:hint="eastAsia" w:ascii="仿宋_GB2312" w:hAnsi="仿宋_GB2312" w:eastAsia="仿宋_GB2312" w:cs="仿宋_GB2312"/>
          <w:kern w:val="0"/>
          <w:sz w:val="32"/>
          <w:szCs w:val="32"/>
          <w:u w:val="single"/>
        </w:rPr>
        <w:t xml:space="preserve"> 32.00</w:t>
      </w:r>
      <w:r>
        <w:rPr>
          <w:rFonts w:hint="eastAsia" w:ascii="仿宋_GB2312" w:hAnsi="仿宋_GB2312" w:eastAsia="仿宋_GB2312" w:cs="仿宋_GB2312"/>
          <w:kern w:val="0"/>
          <w:sz w:val="32"/>
          <w:szCs w:val="32"/>
        </w:rPr>
        <w:t>万元。公务用车运行维护费主要用于按规定保留的公务用车的燃料费、维修费、过桥过路费、保险费、安全奖励费用等支出。截至2023年12月31日，使用财政拨款开支的公务用车保有量为</w:t>
      </w:r>
      <w:r>
        <w:rPr>
          <w:rFonts w:hint="eastAsia" w:ascii="仿宋_GB2312" w:hAnsi="仿宋_GB2312" w:eastAsia="仿宋_GB2312" w:cs="仿宋_GB2312"/>
          <w:kern w:val="0"/>
          <w:sz w:val="32"/>
          <w:szCs w:val="32"/>
          <w:u w:val="single"/>
        </w:rPr>
        <w:t xml:space="preserve">19 </w:t>
      </w:r>
      <w:r>
        <w:rPr>
          <w:rFonts w:hint="eastAsia" w:ascii="仿宋_GB2312" w:hAnsi="仿宋_GB2312" w:eastAsia="仿宋_GB2312" w:cs="仿宋_GB2312"/>
          <w:kern w:val="0"/>
          <w:sz w:val="32"/>
          <w:szCs w:val="32"/>
        </w:rPr>
        <w:t>辆。与上年决算相比，增加</w:t>
      </w:r>
      <w:r>
        <w:rPr>
          <w:rFonts w:hint="eastAsia" w:ascii="仿宋_GB2312" w:hAnsi="仿宋_GB2312" w:eastAsia="仿宋_GB2312" w:cs="仿宋_GB2312"/>
          <w:kern w:val="0"/>
          <w:sz w:val="32"/>
          <w:szCs w:val="32"/>
          <w:u w:val="single"/>
        </w:rPr>
        <w:t xml:space="preserve"> 2.94</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10.11</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2022年部分油燃费和修理费当年未能支付，2023年支付，导致2023年公务用车维护费增加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3.公务接待费支出</w:t>
      </w:r>
      <w:r>
        <w:rPr>
          <w:rFonts w:hint="eastAsia" w:ascii="仿宋_GB2312" w:hAnsi="仿宋_GB2312" w:eastAsia="仿宋_GB2312" w:cs="仿宋_GB2312"/>
          <w:kern w:val="0"/>
          <w:sz w:val="32"/>
          <w:szCs w:val="32"/>
          <w:u w:val="single"/>
        </w:rPr>
        <w:t xml:space="preserve"> 1.26</w:t>
      </w:r>
      <w:r>
        <w:rPr>
          <w:rFonts w:hint="eastAsia" w:ascii="仿宋_GB2312" w:hAnsi="仿宋_GB2312" w:eastAsia="仿宋_GB2312" w:cs="仿宋_GB2312"/>
          <w:kern w:val="0"/>
          <w:sz w:val="32"/>
          <w:szCs w:val="32"/>
        </w:rPr>
        <w:t>万元。其中：国内公务接待支出</w:t>
      </w:r>
      <w:r>
        <w:rPr>
          <w:rFonts w:hint="eastAsia" w:ascii="仿宋_GB2312" w:hAnsi="仿宋_GB2312" w:eastAsia="仿宋_GB2312" w:cs="仿宋_GB2312"/>
          <w:kern w:val="0"/>
          <w:sz w:val="32"/>
          <w:szCs w:val="32"/>
          <w:u w:val="single"/>
        </w:rPr>
        <w:t xml:space="preserve"> 1.26</w:t>
      </w:r>
      <w:r>
        <w:rPr>
          <w:rFonts w:hint="eastAsia" w:ascii="仿宋_GB2312" w:hAnsi="仿宋_GB2312" w:eastAsia="仿宋_GB2312" w:cs="仿宋_GB2312"/>
          <w:kern w:val="0"/>
          <w:sz w:val="32"/>
          <w:szCs w:val="32"/>
        </w:rPr>
        <w:t>万元，接待</w:t>
      </w:r>
      <w:r>
        <w:rPr>
          <w:rFonts w:hint="eastAsia" w:ascii="仿宋_GB2312" w:hAnsi="仿宋_GB2312" w:eastAsia="仿宋_GB2312" w:cs="仿宋_GB2312"/>
          <w:kern w:val="0"/>
          <w:sz w:val="32"/>
          <w:szCs w:val="32"/>
          <w:u w:val="single"/>
        </w:rPr>
        <w:t xml:space="preserve">30 </w:t>
      </w:r>
      <w:r>
        <w:rPr>
          <w:rFonts w:hint="eastAsia" w:ascii="仿宋_GB2312" w:hAnsi="仿宋_GB2312" w:eastAsia="仿宋_GB2312" w:cs="仿宋_GB2312"/>
          <w:kern w:val="0"/>
          <w:sz w:val="32"/>
          <w:szCs w:val="32"/>
        </w:rPr>
        <w:t>批次，</w:t>
      </w:r>
      <w:r>
        <w:rPr>
          <w:rFonts w:hint="eastAsia" w:ascii="仿宋_GB2312" w:hAnsi="仿宋_GB2312" w:eastAsia="仿宋_GB2312" w:cs="仿宋_GB2312"/>
          <w:kern w:val="0"/>
          <w:sz w:val="32"/>
          <w:szCs w:val="32"/>
          <w:u w:val="single"/>
        </w:rPr>
        <w:t xml:space="preserve">420 </w:t>
      </w:r>
      <w:r>
        <w:rPr>
          <w:rFonts w:hint="eastAsia" w:ascii="仿宋_GB2312" w:hAnsi="仿宋_GB2312" w:eastAsia="仿宋_GB2312" w:cs="仿宋_GB2312"/>
          <w:kern w:val="0"/>
          <w:sz w:val="32"/>
          <w:szCs w:val="32"/>
        </w:rPr>
        <w:t>人次，开支内容：</w:t>
      </w:r>
      <w:r>
        <w:rPr>
          <w:rFonts w:hint="eastAsia" w:ascii="仿宋_GB2312" w:hAnsi="仿宋_GB2312" w:eastAsia="仿宋_GB2312" w:cs="仿宋_GB2312"/>
          <w:kern w:val="0"/>
          <w:sz w:val="32"/>
          <w:szCs w:val="32"/>
          <w:lang w:val="en-US" w:eastAsia="zh-CN"/>
        </w:rPr>
        <w:t>单位职工加班用餐费。</w:t>
      </w:r>
      <w:r>
        <w:rPr>
          <w:rFonts w:hint="eastAsia" w:ascii="仿宋_GB2312" w:hAnsi="仿宋_GB2312" w:eastAsia="仿宋_GB2312" w:cs="仿宋_GB2312"/>
          <w:kern w:val="0"/>
          <w:sz w:val="32"/>
          <w:szCs w:val="32"/>
        </w:rPr>
        <w:t>国（境）外公务接待支出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万元，接待</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批次，</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人次，开支内容：</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。与上年决算相比</w:t>
      </w:r>
      <w:r>
        <w:rPr>
          <w:rFonts w:hint="eastAsia" w:ascii="仿宋_GB2312" w:hAnsi="仿宋_GB2312" w:eastAsia="仿宋_GB2312" w:cs="仿宋_GB2312"/>
          <w:kern w:val="0"/>
          <w:sz w:val="32"/>
          <w:szCs w:val="32"/>
          <w:lang w:val="en-US" w:eastAsia="zh-CN"/>
        </w:rPr>
        <w:t>减少</w:t>
      </w:r>
      <w:r>
        <w:rPr>
          <w:rFonts w:hint="eastAsia" w:ascii="仿宋_GB2312" w:hAnsi="仿宋_GB2312" w:eastAsia="仿宋_GB2312" w:cs="仿宋_GB2312"/>
          <w:kern w:val="0"/>
          <w:sz w:val="32"/>
          <w:szCs w:val="32"/>
          <w:u w:val="single"/>
        </w:rPr>
        <w:t xml:space="preserve"> 0.59</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减少</w:t>
      </w:r>
      <w:r>
        <w:rPr>
          <w:rFonts w:hint="eastAsia" w:ascii="仿宋_GB2312" w:hAnsi="仿宋_GB2312" w:eastAsia="仿宋_GB2312" w:cs="仿宋_GB2312"/>
          <w:kern w:val="0"/>
          <w:sz w:val="32"/>
          <w:szCs w:val="32"/>
          <w:u w:val="single"/>
        </w:rPr>
        <w:t xml:space="preserve"> 31.80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单位厉行节约，减少加班次数，减少加班用餐，导致决算数减少</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黑体" w:hAnsi="黑体" w:eastAsia="黑体" w:cs="黑体"/>
          <w:b w:val="0"/>
          <w:bCs w:val="0"/>
          <w:kern w:val="0"/>
          <w:sz w:val="32"/>
          <w:szCs w:val="32"/>
        </w:rPr>
      </w:pPr>
      <w:r>
        <w:rPr>
          <w:rFonts w:hint="eastAsia" w:ascii="黑体" w:hAnsi="黑体" w:eastAsia="黑体" w:cs="黑体"/>
          <w:color w:val="0E00FE"/>
          <w:kern w:val="0"/>
          <w:sz w:val="32"/>
          <w:szCs w:val="32"/>
        </w:rPr>
        <w:t xml:space="preserve">  </w:t>
      </w:r>
      <w:r>
        <w:rPr>
          <w:rFonts w:hint="eastAsia" w:ascii="黑体" w:hAnsi="黑体" w:eastAsia="黑体" w:cs="黑体"/>
          <w:b w:val="0"/>
          <w:bCs w:val="0"/>
          <w:color w:val="0E00FE"/>
          <w:kern w:val="0"/>
          <w:sz w:val="32"/>
          <w:szCs w:val="32"/>
        </w:rPr>
        <w:t> </w:t>
      </w:r>
      <w:r>
        <w:rPr>
          <w:rFonts w:hint="eastAsia" w:ascii="黑体" w:hAnsi="黑体" w:eastAsia="黑体" w:cs="黑体"/>
          <w:b w:val="0"/>
          <w:bCs w:val="0"/>
          <w:kern w:val="0"/>
          <w:sz w:val="32"/>
          <w:szCs w:val="32"/>
        </w:rPr>
        <w:t>九、政府性基金预算财政拨款支出决算情况说明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E00FE"/>
          <w:kern w:val="0"/>
          <w:sz w:val="32"/>
          <w:szCs w:val="32"/>
        </w:rPr>
        <w:t xml:space="preserve">    </w:t>
      </w:r>
      <w:r>
        <w:rPr>
          <w:rFonts w:hint="eastAsia" w:ascii="仿宋_GB2312" w:hAnsi="仿宋_GB2312" w:eastAsia="仿宋_GB2312" w:cs="仿宋_GB2312"/>
          <w:kern w:val="0"/>
          <w:sz w:val="32"/>
          <w:szCs w:val="32"/>
        </w:rPr>
        <w:t>    达拉特旗城市管理综合行政执法局（部门） 2023年度政府性基金预算财政拨款支出决算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color w:val="auto"/>
          <w:kern w:val="0"/>
          <w:sz w:val="32"/>
          <w:szCs w:val="32"/>
        </w:rPr>
        <w:t>本年无政府性基金预算财政拨款收、支、余</w:t>
      </w:r>
      <w:r>
        <w:rPr>
          <w:rFonts w:hint="eastAsia" w:ascii="仿宋_GB2312" w:hAnsi="仿宋_GB2312" w:eastAsia="仿宋_GB2312" w:cs="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（一）城乡社区支出（类）政府住房基金及对应专项债务收入安排的支出（款）管理费用支出（项）支出</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万元，主要用于</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auto"/>
          <w:kern w:val="0"/>
          <w:sz w:val="32"/>
          <w:szCs w:val="32"/>
          <w:lang w:val="en-US" w:eastAsia="zh-CN"/>
        </w:rPr>
        <w:t>无</w:t>
      </w:r>
      <w:r>
        <w:rPr>
          <w:rFonts w:hint="eastAsia" w:ascii="仿宋_GB2312" w:hAnsi="仿宋_GB2312" w:eastAsia="仿宋_GB2312" w:cs="仿宋_GB2312"/>
          <w:kern w:val="0"/>
          <w:sz w:val="32"/>
          <w:szCs w:val="32"/>
        </w:rPr>
        <w:t xml:space="preserve">    </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kern w:val="0"/>
          <w:sz w:val="32"/>
          <w:szCs w:val="32"/>
        </w:rPr>
      </w:pPr>
      <w:r>
        <w:rPr>
          <w:rFonts w:ascii="fang_song_gb2312" w:hAnsi="fang_song_gb2312" w:eastAsia="fang_song_gb2312" w:cs="fang_song_gb2312"/>
          <w:color w:val="0E00FE"/>
          <w:kern w:val="0"/>
          <w:sz w:val="32"/>
          <w:szCs w:val="32"/>
        </w:rPr>
        <w:t> </w:t>
      </w:r>
      <w:r>
        <w:rPr>
          <w:rFonts w:ascii="fang_song_gb2312" w:hAnsi="fang_song_gb2312" w:eastAsia="fang_song_gb2312" w:cs="fang_song_gb2312"/>
          <w:b w:val="0"/>
          <w:bCs w:val="0"/>
          <w:color w:val="0E00FE"/>
          <w:kern w:val="0"/>
          <w:sz w:val="32"/>
          <w:szCs w:val="32"/>
        </w:rPr>
        <w:t xml:space="preserve">  </w:t>
      </w:r>
      <w:r>
        <w:rPr>
          <w:rFonts w:ascii="黑体" w:hAnsi="黑体" w:eastAsia="黑体" w:cs="黑体"/>
          <w:b w:val="0"/>
          <w:bCs w:val="0"/>
          <w:kern w:val="0"/>
          <w:sz w:val="32"/>
          <w:szCs w:val="32"/>
        </w:rPr>
        <w:t>十、国有资本经营预算财政拨款支出决算情况说明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color w:val="0E00FE"/>
          <w:kern w:val="0"/>
          <w:sz w:val="27"/>
          <w:szCs w:val="27"/>
        </w:rPr>
        <w:t xml:space="preserve">  </w:t>
      </w:r>
      <w:r>
        <w:rPr>
          <w:rFonts w:hint="eastAsia" w:ascii="仿宋_GB2312" w:hAnsi="仿宋_GB2312" w:eastAsia="仿宋_GB2312" w:cs="仿宋_GB2312"/>
          <w:color w:val="0E00FE"/>
          <w:kern w:val="0"/>
          <w:sz w:val="32"/>
          <w:szCs w:val="32"/>
          <w:lang w:val="en-US" w:eastAsia="zh-CN"/>
        </w:rPr>
        <w:t xml:space="preserve">  </w:t>
      </w:r>
      <w:r>
        <w:rPr>
          <w:rFonts w:hint="eastAsia" w:ascii="仿宋_GB2312" w:hAnsi="仿宋_GB2312" w:eastAsia="仿宋_GB2312" w:cs="仿宋_GB2312"/>
          <w:kern w:val="0"/>
          <w:sz w:val="32"/>
          <w:szCs w:val="32"/>
        </w:rPr>
        <w:t xml:space="preserve"> 达拉特旗城市管理综合行政执法局（部门） 2023年度国有资本经营预算财政拨款支出决算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color w:val="auto"/>
          <w:kern w:val="0"/>
          <w:sz w:val="32"/>
          <w:szCs w:val="32"/>
        </w:rPr>
        <w:t>本年无国有资本经营预算财政拨款收、支、余</w:t>
      </w:r>
      <w:r>
        <w:rPr>
          <w:rFonts w:hint="eastAsia" w:ascii="仿宋_GB2312" w:hAnsi="仿宋_GB2312" w:eastAsia="仿宋_GB2312" w:cs="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（一）国有资本经营预算支出（类）解决历史遗留问题及改革成本支出（款）“三供一业”移交补助支出（项）支出</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万元，主要用于</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不存在此项内容</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b w:val="0"/>
          <w:bCs w:val="0"/>
          <w:kern w:val="0"/>
          <w:sz w:val="32"/>
          <w:szCs w:val="32"/>
        </w:rPr>
      </w:pPr>
      <w:r>
        <w:rPr>
          <w:rFonts w:ascii="fang_song_gb2312" w:hAnsi="fang_song_gb2312" w:eastAsia="fang_song_gb2312" w:cs="fang_song_gb2312"/>
          <w:kern w:val="0"/>
          <w:sz w:val="27"/>
          <w:szCs w:val="27"/>
        </w:rPr>
        <w:t> </w:t>
      </w:r>
      <w:r>
        <w:rPr>
          <w:rFonts w:ascii="fang_song_gb2312" w:hAnsi="fang_song_gb2312" w:eastAsia="fang_song_gb2312" w:cs="fang_song_gb2312"/>
          <w:kern w:val="0"/>
          <w:sz w:val="32"/>
          <w:szCs w:val="32"/>
        </w:rPr>
        <w:t xml:space="preserve"> </w:t>
      </w:r>
      <w:r>
        <w:rPr>
          <w:rFonts w:ascii="fang_song_gb2312" w:hAnsi="fang_song_gb2312" w:eastAsia="fang_song_gb2312" w:cs="fang_song_gb2312"/>
          <w:b w:val="0"/>
          <w:bCs w:val="0"/>
          <w:kern w:val="0"/>
          <w:sz w:val="32"/>
          <w:szCs w:val="32"/>
        </w:rPr>
        <w:t xml:space="preserve"> </w:t>
      </w:r>
      <w:r>
        <w:rPr>
          <w:rFonts w:ascii="黑体" w:hAnsi="黑体" w:eastAsia="黑体" w:cs="黑体"/>
          <w:b w:val="0"/>
          <w:bCs w:val="0"/>
          <w:kern w:val="0"/>
          <w:sz w:val="32"/>
          <w:szCs w:val="32"/>
        </w:rPr>
        <w:t>十一、机构运行经费支出决算情况说明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达拉特旗城市管理综合行政执法局（部门） 2023年度机构运行经费支出决算</w:t>
      </w:r>
      <w:r>
        <w:rPr>
          <w:rFonts w:hint="eastAsia" w:ascii="仿宋_GB2312" w:hAnsi="仿宋_GB2312" w:eastAsia="仿宋_GB2312" w:cs="仿宋_GB2312"/>
          <w:kern w:val="0"/>
          <w:sz w:val="32"/>
          <w:szCs w:val="32"/>
          <w:u w:val="single"/>
        </w:rPr>
        <w:t xml:space="preserve"> 819.10</w:t>
      </w:r>
      <w:r>
        <w:rPr>
          <w:rFonts w:hint="eastAsia" w:ascii="仿宋_GB2312" w:hAnsi="仿宋_GB2312" w:eastAsia="仿宋_GB2312" w:cs="仿宋_GB2312"/>
          <w:kern w:val="0"/>
          <w:sz w:val="32"/>
          <w:szCs w:val="32"/>
        </w:rPr>
        <w:t>万元。比上年决算相比，增加</w:t>
      </w:r>
      <w:r>
        <w:rPr>
          <w:rFonts w:hint="eastAsia" w:ascii="仿宋_GB2312" w:hAnsi="仿宋_GB2312" w:eastAsia="仿宋_GB2312" w:cs="仿宋_GB2312"/>
          <w:kern w:val="0"/>
          <w:sz w:val="32"/>
          <w:szCs w:val="32"/>
          <w:u w:val="single"/>
        </w:rPr>
        <w:t xml:space="preserve"> 498.94</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155.84</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bidi="ar"/>
        </w:rPr>
        <w:t>2023年度增加了北国购物停车场升级改造项目资金、白塔早市升级改造项目资金、树林召便民市场项目资金导致运行经费支出决算总计增加</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0" w:firstLineChars="100"/>
        <w:textAlignment w:val="auto"/>
        <w:rPr>
          <w:rFonts w:ascii="Times New Roman" w:hAnsi="Times New Roman" w:eastAsia="Times New Roman" w:cs="Times New Roman"/>
          <w:b w:val="0"/>
          <w:bCs w:val="0"/>
          <w:kern w:val="0"/>
          <w:sz w:val="32"/>
          <w:szCs w:val="32"/>
        </w:rPr>
      </w:pPr>
      <w:r>
        <w:rPr>
          <w:rFonts w:ascii="黑体" w:hAnsi="黑体" w:eastAsia="黑体" w:cs="黑体"/>
          <w:b w:val="0"/>
          <w:bCs w:val="0"/>
          <w:kern w:val="0"/>
          <w:sz w:val="32"/>
          <w:szCs w:val="32"/>
        </w:rPr>
        <w:t>十二、政府采购支出决算情况说明</w:t>
      </w:r>
    </w:p>
    <w:p>
      <w:pPr>
        <w:keepNext w:val="0"/>
        <w:keepLines w:val="0"/>
        <w:pageBreakBefore w:val="0"/>
        <w:widowControl/>
        <w:kinsoku/>
        <w:wordWrap/>
        <w:overflowPunct/>
        <w:topLinePunct w:val="0"/>
        <w:autoSpaceDE/>
        <w:autoSpaceDN/>
        <w:bidi w:val="0"/>
        <w:adjustRightInd/>
        <w:snapToGrid/>
        <w:spacing w:before="240" w:after="240" w:line="560" w:lineRule="exact"/>
        <w:ind w:firstLine="517"/>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达拉特旗城市管理综合行政执法局（部门） 2023年度政府采购支出总额</w:t>
      </w:r>
      <w:r>
        <w:rPr>
          <w:rFonts w:hint="eastAsia" w:ascii="仿宋_GB2312" w:hAnsi="仿宋_GB2312" w:eastAsia="仿宋_GB2312" w:cs="仿宋_GB2312"/>
          <w:kern w:val="0"/>
          <w:sz w:val="32"/>
          <w:szCs w:val="32"/>
          <w:u w:val="single"/>
        </w:rPr>
        <w:t xml:space="preserve"> 275.37</w:t>
      </w:r>
      <w:r>
        <w:rPr>
          <w:rFonts w:hint="eastAsia" w:ascii="仿宋_GB2312" w:hAnsi="仿宋_GB2312" w:eastAsia="仿宋_GB2312" w:cs="仿宋_GB2312"/>
          <w:kern w:val="0"/>
          <w:sz w:val="32"/>
          <w:szCs w:val="32"/>
        </w:rPr>
        <w:t>万元，其中：政府采购货物支出</w:t>
      </w:r>
      <w:r>
        <w:rPr>
          <w:rFonts w:hint="eastAsia" w:ascii="仿宋_GB2312" w:hAnsi="仿宋_GB2312" w:eastAsia="仿宋_GB2312" w:cs="仿宋_GB2312"/>
          <w:kern w:val="0"/>
          <w:sz w:val="32"/>
          <w:szCs w:val="32"/>
          <w:u w:val="single"/>
        </w:rPr>
        <w:t xml:space="preserve"> 4.40</w:t>
      </w:r>
      <w:r>
        <w:rPr>
          <w:rFonts w:hint="eastAsia" w:ascii="仿宋_GB2312" w:hAnsi="仿宋_GB2312" w:eastAsia="仿宋_GB2312" w:cs="仿宋_GB2312"/>
          <w:kern w:val="0"/>
          <w:sz w:val="32"/>
          <w:szCs w:val="32"/>
        </w:rPr>
        <w:t>万元、政府采购工程支出</w:t>
      </w:r>
      <w:r>
        <w:rPr>
          <w:rFonts w:hint="eastAsia" w:ascii="仿宋_GB2312" w:hAnsi="仿宋_GB2312" w:eastAsia="仿宋_GB2312" w:cs="仿宋_GB2312"/>
          <w:kern w:val="0"/>
          <w:sz w:val="32"/>
          <w:szCs w:val="32"/>
          <w:u w:val="single"/>
        </w:rPr>
        <w:t xml:space="preserve"> 229.69</w:t>
      </w:r>
      <w:r>
        <w:rPr>
          <w:rFonts w:hint="eastAsia" w:ascii="仿宋_GB2312" w:hAnsi="仿宋_GB2312" w:eastAsia="仿宋_GB2312" w:cs="仿宋_GB2312"/>
          <w:kern w:val="0"/>
          <w:sz w:val="32"/>
          <w:szCs w:val="32"/>
        </w:rPr>
        <w:t>万元、政府采购服务支出</w:t>
      </w:r>
      <w:r>
        <w:rPr>
          <w:rFonts w:hint="eastAsia" w:ascii="仿宋_GB2312" w:hAnsi="仿宋_GB2312" w:eastAsia="仿宋_GB2312" w:cs="仿宋_GB2312"/>
          <w:kern w:val="0"/>
          <w:sz w:val="32"/>
          <w:szCs w:val="32"/>
          <w:u w:val="single"/>
        </w:rPr>
        <w:t xml:space="preserve"> 41.28</w:t>
      </w:r>
      <w:r>
        <w:rPr>
          <w:rFonts w:hint="eastAsia" w:ascii="仿宋_GB2312" w:hAnsi="仿宋_GB2312" w:eastAsia="仿宋_GB2312" w:cs="仿宋_GB2312"/>
          <w:kern w:val="0"/>
          <w:sz w:val="32"/>
          <w:szCs w:val="32"/>
        </w:rPr>
        <w:t>万元。政府采购授予中小企业合同金额</w:t>
      </w:r>
      <w:r>
        <w:rPr>
          <w:rFonts w:hint="eastAsia" w:ascii="仿宋_GB2312" w:hAnsi="仿宋_GB2312" w:eastAsia="仿宋_GB2312" w:cs="仿宋_GB2312"/>
          <w:kern w:val="0"/>
          <w:sz w:val="32"/>
          <w:szCs w:val="32"/>
          <w:u w:val="single"/>
        </w:rPr>
        <w:t xml:space="preserve"> 256.73</w:t>
      </w:r>
      <w:r>
        <w:rPr>
          <w:rFonts w:hint="eastAsia" w:ascii="仿宋_GB2312" w:hAnsi="仿宋_GB2312" w:eastAsia="仿宋_GB2312" w:cs="仿宋_GB2312"/>
          <w:kern w:val="0"/>
          <w:sz w:val="32"/>
          <w:szCs w:val="32"/>
        </w:rPr>
        <w:t>万元，占政府采购支出总额的</w:t>
      </w:r>
      <w:r>
        <w:rPr>
          <w:rFonts w:hint="eastAsia" w:ascii="仿宋_GB2312" w:hAnsi="仿宋_GB2312" w:eastAsia="仿宋_GB2312" w:cs="仿宋_GB2312"/>
          <w:kern w:val="0"/>
          <w:sz w:val="32"/>
          <w:szCs w:val="32"/>
          <w:u w:val="single"/>
          <w:lang w:val="en-US" w:eastAsia="zh-CN"/>
        </w:rPr>
        <w:t>93.23</w:t>
      </w:r>
      <w:r>
        <w:rPr>
          <w:rFonts w:hint="eastAsia" w:ascii="仿宋_GB2312" w:hAnsi="仿宋_GB2312" w:eastAsia="仿宋_GB2312" w:cs="仿宋_GB2312"/>
          <w:kern w:val="0"/>
          <w:sz w:val="32"/>
          <w:szCs w:val="32"/>
        </w:rPr>
        <w:t>%，其中：授予小微企业合同金额</w:t>
      </w:r>
      <w:r>
        <w:rPr>
          <w:rFonts w:hint="eastAsia" w:ascii="仿宋_GB2312" w:hAnsi="仿宋_GB2312" w:eastAsia="仿宋_GB2312" w:cs="仿宋_GB2312"/>
          <w:kern w:val="0"/>
          <w:sz w:val="32"/>
          <w:szCs w:val="32"/>
          <w:u w:val="single"/>
        </w:rPr>
        <w:t>  256.73</w:t>
      </w:r>
      <w:r>
        <w:rPr>
          <w:rFonts w:hint="eastAsia" w:ascii="仿宋_GB2312" w:hAnsi="仿宋_GB2312" w:eastAsia="仿宋_GB2312" w:cs="仿宋_GB2312"/>
          <w:kern w:val="0"/>
          <w:sz w:val="32"/>
          <w:szCs w:val="32"/>
        </w:rPr>
        <w:t>万元，占政府采购支出总额的</w:t>
      </w:r>
      <w:r>
        <w:rPr>
          <w:rFonts w:hint="eastAsia" w:ascii="仿宋_GB2312" w:hAnsi="仿宋_GB2312" w:eastAsia="仿宋_GB2312" w:cs="仿宋_GB2312"/>
          <w:kern w:val="0"/>
          <w:sz w:val="32"/>
          <w:szCs w:val="32"/>
          <w:u w:val="single"/>
          <w:lang w:val="en-US" w:eastAsia="zh-CN"/>
        </w:rPr>
        <w:t>93.23</w:t>
      </w:r>
      <w:r>
        <w:rPr>
          <w:rFonts w:hint="eastAsia" w:ascii="仿宋_GB2312" w:hAnsi="仿宋_GB2312" w:eastAsia="仿宋_GB2312" w:cs="仿宋_GB2312"/>
          <w:kern w:val="0"/>
          <w:sz w:val="32"/>
          <w:szCs w:val="32"/>
        </w:rPr>
        <w:t>%；货物采购授予中小企业合同金额占货物支出金额的</w:t>
      </w:r>
      <w:r>
        <w:rPr>
          <w:rFonts w:hint="eastAsia" w:ascii="仿宋_GB2312" w:hAnsi="仿宋_GB2312" w:eastAsia="仿宋_GB2312" w:cs="仿宋_GB2312"/>
          <w:kern w:val="0"/>
          <w:sz w:val="32"/>
          <w:szCs w:val="32"/>
          <w:u w:val="single"/>
          <w:lang w:val="en-US" w:eastAsia="zh-CN"/>
        </w:rPr>
        <w:t>1.71</w:t>
      </w:r>
      <w:r>
        <w:rPr>
          <w:rFonts w:hint="eastAsia" w:ascii="仿宋_GB2312" w:hAnsi="仿宋_GB2312" w:eastAsia="仿宋_GB2312" w:cs="仿宋_GB2312"/>
          <w:kern w:val="0"/>
          <w:sz w:val="32"/>
          <w:szCs w:val="32"/>
        </w:rPr>
        <w:t>%，工程采购授予中小企业合同金额占工程支出金额的</w:t>
      </w:r>
      <w:r>
        <w:rPr>
          <w:rFonts w:hint="eastAsia" w:ascii="仿宋_GB2312" w:hAnsi="仿宋_GB2312" w:eastAsia="仿宋_GB2312" w:cs="仿宋_GB2312"/>
          <w:kern w:val="0"/>
          <w:sz w:val="32"/>
          <w:szCs w:val="32"/>
          <w:u w:val="single"/>
          <w:lang w:val="en-US" w:eastAsia="zh-CN"/>
        </w:rPr>
        <w:t>89.39</w:t>
      </w:r>
      <w:r>
        <w:rPr>
          <w:rFonts w:hint="eastAsia" w:ascii="仿宋_GB2312" w:hAnsi="仿宋_GB2312" w:eastAsia="仿宋_GB2312" w:cs="仿宋_GB2312"/>
          <w:kern w:val="0"/>
          <w:sz w:val="32"/>
          <w:szCs w:val="32"/>
        </w:rPr>
        <w:t>%，服务采购授予中小企业合同金额占服务支出金额的</w:t>
      </w:r>
      <w:r>
        <w:rPr>
          <w:rFonts w:hint="eastAsia" w:ascii="仿宋_GB2312" w:hAnsi="仿宋_GB2312" w:eastAsia="仿宋_GB2312" w:cs="仿宋_GB2312"/>
          <w:kern w:val="0"/>
          <w:sz w:val="32"/>
          <w:szCs w:val="32"/>
          <w:u w:val="single"/>
          <w:lang w:val="en-US" w:eastAsia="zh-CN"/>
        </w:rPr>
        <w:t>16.08</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320" w:firstLineChars="100"/>
        <w:textAlignment w:val="auto"/>
        <w:rPr>
          <w:rFonts w:ascii="Times New Roman" w:hAnsi="Times New Roman" w:eastAsia="Times New Roman" w:cs="Times New Roman"/>
          <w:kern w:val="0"/>
          <w:sz w:val="32"/>
          <w:szCs w:val="32"/>
        </w:rPr>
      </w:pPr>
      <w:r>
        <w:rPr>
          <w:rFonts w:ascii="黑体" w:hAnsi="黑体" w:eastAsia="黑体" w:cs="黑体"/>
          <w:b w:val="0"/>
          <w:bCs w:val="0"/>
          <w:kern w:val="0"/>
          <w:sz w:val="32"/>
          <w:szCs w:val="32"/>
        </w:rPr>
        <w:t>十三、国有资产占用情况说明</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达拉特旗城市管理综合行政执法局（部门） 截至2023年12月31日，本部门（单位）共有车辆</w:t>
      </w:r>
      <w:r>
        <w:rPr>
          <w:rFonts w:hint="eastAsia" w:ascii="仿宋_GB2312" w:hAnsi="仿宋_GB2312" w:eastAsia="仿宋_GB2312" w:cs="仿宋_GB2312"/>
          <w:kern w:val="0"/>
          <w:sz w:val="32"/>
          <w:szCs w:val="32"/>
          <w:u w:val="single"/>
        </w:rPr>
        <w:t xml:space="preserve"> 19</w:t>
      </w:r>
      <w:r>
        <w:rPr>
          <w:rFonts w:hint="eastAsia" w:ascii="仿宋_GB2312" w:hAnsi="仿宋_GB2312" w:eastAsia="仿宋_GB2312" w:cs="仿宋_GB2312"/>
          <w:kern w:val="0"/>
          <w:sz w:val="32"/>
          <w:szCs w:val="32"/>
        </w:rPr>
        <w:t>辆，其中：副部（省）级及以上领导用车</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辆、主要负责人用车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辆、机要通信用车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辆、应急保障用车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辆、执法执勤用车</w:t>
      </w:r>
      <w:r>
        <w:rPr>
          <w:rFonts w:hint="eastAsia" w:ascii="仿宋_GB2312" w:hAnsi="仿宋_GB2312" w:eastAsia="仿宋_GB2312" w:cs="仿宋_GB2312"/>
          <w:kern w:val="0"/>
          <w:sz w:val="32"/>
          <w:szCs w:val="32"/>
          <w:u w:val="single"/>
        </w:rPr>
        <w:t xml:space="preserve"> 19</w:t>
      </w:r>
      <w:r>
        <w:rPr>
          <w:rFonts w:hint="eastAsia" w:ascii="仿宋_GB2312" w:hAnsi="仿宋_GB2312" w:eastAsia="仿宋_GB2312" w:cs="仿宋_GB2312"/>
          <w:kern w:val="0"/>
          <w:sz w:val="32"/>
          <w:szCs w:val="32"/>
        </w:rPr>
        <w:t>辆、特种专业技术用车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辆、离退休干部服务用车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辆，其他用车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辆；单价100万元（含）以上的设备（不含车辆）</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台（套）。</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ascii="Times New Roman" w:hAnsi="Times New Roman" w:eastAsia="Times New Roman" w:cs="Times New Roman"/>
          <w:b w:val="0"/>
          <w:bCs w:val="0"/>
          <w:kern w:val="0"/>
          <w:sz w:val="32"/>
          <w:szCs w:val="32"/>
        </w:rPr>
      </w:pPr>
      <w:r>
        <w:rPr>
          <w:rFonts w:ascii="fang_song_gb2312" w:hAnsi="fang_song_gb2312" w:eastAsia="fang_song_gb2312" w:cs="fang_song_gb2312"/>
          <w:b w:val="0"/>
          <w:bCs w:val="0"/>
          <w:color w:val="0E00FE"/>
          <w:kern w:val="0"/>
          <w:sz w:val="27"/>
          <w:szCs w:val="27"/>
        </w:rPr>
        <w:t> </w:t>
      </w:r>
      <w:r>
        <w:rPr>
          <w:rFonts w:ascii="fang_song_gb2312" w:hAnsi="fang_song_gb2312" w:eastAsia="fang_song_gb2312" w:cs="fang_song_gb2312"/>
          <w:b w:val="0"/>
          <w:bCs w:val="0"/>
          <w:color w:val="0E00FE"/>
          <w:kern w:val="0"/>
          <w:sz w:val="32"/>
          <w:szCs w:val="32"/>
        </w:rPr>
        <w:t xml:space="preserve">  </w:t>
      </w:r>
      <w:r>
        <w:rPr>
          <w:rFonts w:hint="eastAsia" w:ascii="fang_song_gb2312" w:hAnsi="fang_song_gb2312" w:eastAsia="宋体" w:cs="fang_song_gb2312"/>
          <w:b w:val="0"/>
          <w:bCs w:val="0"/>
          <w:color w:val="0E00FE"/>
          <w:kern w:val="0"/>
          <w:sz w:val="32"/>
          <w:szCs w:val="32"/>
          <w:lang w:val="en-US" w:eastAsia="zh-CN"/>
        </w:rPr>
        <w:t xml:space="preserve"> </w:t>
      </w:r>
      <w:r>
        <w:rPr>
          <w:rFonts w:ascii="黑体" w:hAnsi="黑体" w:eastAsia="黑体" w:cs="黑体"/>
          <w:b w:val="0"/>
          <w:bCs w:val="0"/>
          <w:kern w:val="0"/>
          <w:sz w:val="32"/>
          <w:szCs w:val="32"/>
        </w:rPr>
        <w:t>十四、预算绩效情况说明</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xml:space="preserve">    </w:t>
      </w:r>
      <w:r>
        <w:rPr>
          <w:rFonts w:hint="eastAsia" w:ascii="楷体_GB2312" w:hAnsi="楷体_GB2312" w:eastAsia="楷体_GB2312" w:cs="楷体_GB2312"/>
          <w:b/>
          <w:bCs/>
          <w:kern w:val="0"/>
          <w:sz w:val="32"/>
          <w:szCs w:val="32"/>
        </w:rPr>
        <w:t>（一）预算绩效管理工作开展情况。</w:t>
      </w:r>
    </w:p>
    <w:p>
      <w:pPr>
        <w:keepNext w:val="0"/>
        <w:keepLines w:val="0"/>
        <w:pageBreakBefore w:val="0"/>
        <w:widowControl/>
        <w:kinsoku/>
        <w:wordWrap/>
        <w:overflowPunct/>
        <w:topLinePunct w:val="0"/>
        <w:autoSpaceDE/>
        <w:autoSpaceDN/>
        <w:bidi w:val="0"/>
        <w:adjustRightInd/>
        <w:snapToGrid/>
        <w:spacing w:before="240" w:after="240" w:line="560" w:lineRule="exact"/>
        <w:ind w:firstLine="534"/>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达拉特旗城市管理综合行政执法局（部门） 根据预算绩效管理要求组织对2023年一般公共预算项目支出全面开展绩效自评，其中一级项目</w:t>
      </w:r>
      <w:r>
        <w:rPr>
          <w:rFonts w:hint="eastAsia" w:ascii="仿宋_GB2312" w:hAnsi="仿宋_GB2312" w:eastAsia="仿宋_GB2312" w:cs="仿宋_GB2312"/>
          <w:kern w:val="0"/>
          <w:sz w:val="32"/>
          <w:szCs w:val="32"/>
          <w:u w:val="single"/>
          <w:lang w:val="en-US" w:eastAsia="zh-CN"/>
        </w:rPr>
        <w:t>2</w:t>
      </w:r>
      <w:r>
        <w:rPr>
          <w:rFonts w:hint="eastAsia" w:ascii="仿宋_GB2312" w:hAnsi="仿宋_GB2312" w:eastAsia="仿宋_GB2312" w:cs="仿宋_GB2312"/>
          <w:kern w:val="0"/>
          <w:sz w:val="32"/>
          <w:szCs w:val="32"/>
        </w:rPr>
        <w:t>个，二级项目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个，共涉及资金</w:t>
      </w:r>
      <w:r>
        <w:rPr>
          <w:rFonts w:hint="eastAsia" w:ascii="仿宋_GB2312" w:hAnsi="仿宋_GB2312" w:eastAsia="仿宋_GB2312" w:cs="仿宋_GB2312"/>
          <w:kern w:val="0"/>
          <w:sz w:val="32"/>
          <w:szCs w:val="32"/>
          <w:u w:val="single"/>
          <w:lang w:val="en-US" w:eastAsia="zh-CN"/>
        </w:rPr>
        <w:t>202</w:t>
      </w:r>
      <w:r>
        <w:rPr>
          <w:rFonts w:hint="eastAsia" w:ascii="仿宋_GB2312" w:hAnsi="仿宋_GB2312" w:eastAsia="仿宋_GB2312" w:cs="仿宋_GB2312"/>
          <w:kern w:val="0"/>
          <w:sz w:val="32"/>
          <w:szCs w:val="32"/>
        </w:rPr>
        <w:t>万元，占一般公共预算项目支出总额的100%；政府性基金预算项目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个，其中，一级项目</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个，二级项目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个，共涉及资金</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万元，占应纳入绩效自评的政府性基金预算项目支出总额的100%</w:t>
      </w:r>
      <w:r>
        <w:rPr>
          <w:rFonts w:hint="eastAsia" w:ascii="仿宋_GB2312" w:hAnsi="仿宋_GB2312" w:eastAsia="仿宋_GB2312" w:cs="仿宋_GB2312"/>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534"/>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组织对“</w:t>
      </w:r>
      <w:r>
        <w:rPr>
          <w:rFonts w:hint="eastAsia" w:ascii="仿宋_GB2312" w:hAnsi="仿宋_GB2312" w:eastAsia="仿宋_GB2312" w:cs="仿宋_GB2312"/>
          <w:kern w:val="0"/>
          <w:sz w:val="32"/>
          <w:szCs w:val="32"/>
          <w:lang w:val="en-US" w:eastAsia="zh-CN"/>
        </w:rPr>
        <w:t>划停车位项目</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白塔早市升级改造项目</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u w:val="single"/>
          <w:lang w:val="en-US" w:eastAsia="zh-CN"/>
        </w:rPr>
        <w:t>2</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个项目开展了部门（单位）评价，涉及一般公共预算支出</w:t>
      </w:r>
      <w:r>
        <w:rPr>
          <w:rFonts w:hint="eastAsia" w:ascii="仿宋_GB2312" w:hAnsi="仿宋_GB2312" w:eastAsia="仿宋_GB2312" w:cs="仿宋_GB2312"/>
          <w:kern w:val="0"/>
          <w:sz w:val="32"/>
          <w:szCs w:val="32"/>
          <w:u w:val="single"/>
          <w:lang w:val="en-US" w:eastAsia="zh-CN"/>
        </w:rPr>
        <w:t>202</w:t>
      </w:r>
      <w:r>
        <w:rPr>
          <w:rFonts w:hint="eastAsia" w:ascii="仿宋_GB2312" w:hAnsi="仿宋_GB2312" w:eastAsia="仿宋_GB2312" w:cs="仿宋_GB2312"/>
          <w:kern w:val="0"/>
          <w:sz w:val="32"/>
          <w:szCs w:val="32"/>
        </w:rPr>
        <w:t>万元，政府性基金支出</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其中，对“</w:t>
      </w:r>
      <w:r>
        <w:rPr>
          <w:rFonts w:hint="eastAsia" w:ascii="仿宋_GB2312" w:hAnsi="仿宋_GB2312" w:eastAsia="仿宋_GB2312" w:cs="仿宋_GB2312"/>
          <w:kern w:val="0"/>
          <w:sz w:val="32"/>
          <w:szCs w:val="32"/>
          <w:lang w:val="en-US" w:eastAsia="zh-CN"/>
        </w:rPr>
        <w:t>划停车位</w:t>
      </w:r>
      <w:r>
        <w:rPr>
          <w:rFonts w:hint="eastAsia" w:ascii="仿宋_GB2312" w:hAnsi="仿宋_GB2312" w:eastAsia="仿宋_GB2312" w:cs="仿宋_GB2312"/>
          <w:kern w:val="0"/>
          <w:sz w:val="32"/>
          <w:szCs w:val="32"/>
        </w:rPr>
        <w:t>项目”、“</w:t>
      </w:r>
      <w:r>
        <w:rPr>
          <w:rFonts w:hint="eastAsia" w:ascii="仿宋_GB2312" w:hAnsi="仿宋_GB2312" w:eastAsia="仿宋_GB2312" w:cs="仿宋_GB2312"/>
          <w:kern w:val="0"/>
          <w:sz w:val="32"/>
          <w:szCs w:val="32"/>
          <w:lang w:val="en-US" w:eastAsia="zh-CN"/>
        </w:rPr>
        <w:t>白塔早市升级改造项目</w:t>
      </w:r>
      <w:r>
        <w:rPr>
          <w:rFonts w:hint="eastAsia" w:ascii="仿宋_GB2312" w:hAnsi="仿宋_GB2312" w:eastAsia="仿宋_GB2312" w:cs="仿宋_GB2312"/>
          <w:kern w:val="0"/>
          <w:sz w:val="32"/>
          <w:szCs w:val="32"/>
        </w:rPr>
        <w:t>”分别开展绩效评价。从评价情况看，</w:t>
      </w:r>
      <w:r>
        <w:rPr>
          <w:rFonts w:hint="eastAsia" w:ascii="仿宋_GB2312" w:hAnsi="仿宋_GB2312" w:eastAsia="仿宋_GB2312" w:cs="仿宋_GB2312"/>
          <w:kern w:val="0"/>
          <w:sz w:val="32"/>
          <w:szCs w:val="32"/>
          <w:lang w:val="en-US" w:eastAsia="zh-CN" w:bidi="ar"/>
        </w:rPr>
        <w:t>以上项目全部验收完成</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楷体_GB2312" w:hAnsi="楷体_GB2312" w:eastAsia="楷体_GB2312" w:cs="楷体_GB2312"/>
          <w:b/>
          <w:bCs/>
          <w:kern w:val="0"/>
          <w:sz w:val="32"/>
          <w:szCs w:val="32"/>
        </w:rPr>
        <w:t xml:space="preserve"> （二）部门（单位）决算中项目绩效自评结果。</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xml:space="preserve">  </w:t>
      </w:r>
      <w:r>
        <w:rPr>
          <w:rFonts w:hint="eastAsia" w:ascii="仿宋_GB2312" w:hAnsi="仿宋_GB2312" w:eastAsia="仿宋_GB2312" w:cs="仿宋_GB2312"/>
          <w:kern w:val="0"/>
          <w:sz w:val="32"/>
          <w:szCs w:val="32"/>
        </w:rPr>
        <w:t>  达拉特旗城市管理综合行政执法局（部门） 2023年度在决算中反映</w:t>
      </w:r>
      <w:r>
        <w:rPr>
          <w:rFonts w:hint="eastAsia" w:ascii="仿宋_GB2312" w:hAnsi="仿宋_GB2312" w:eastAsia="仿宋_GB2312" w:cs="仿宋_GB2312"/>
          <w:kern w:val="0"/>
          <w:sz w:val="32"/>
          <w:szCs w:val="32"/>
          <w:u w:val="single"/>
          <w:lang w:val="en-US" w:eastAsia="zh-CN"/>
        </w:rPr>
        <w:t>2</w:t>
      </w:r>
      <w:r>
        <w:rPr>
          <w:rFonts w:hint="eastAsia" w:ascii="仿宋_GB2312" w:hAnsi="仿宋_GB2312" w:eastAsia="仿宋_GB2312" w:cs="仿宋_GB2312"/>
          <w:kern w:val="0"/>
          <w:sz w:val="32"/>
          <w:szCs w:val="32"/>
        </w:rPr>
        <w:t>个一般公共预算项目，以及</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个政府性基金项目， 共</w:t>
      </w:r>
      <w:r>
        <w:rPr>
          <w:rFonts w:hint="eastAsia" w:ascii="仿宋_GB2312" w:hAnsi="仿宋_GB2312" w:eastAsia="仿宋_GB2312" w:cs="仿宋_GB2312"/>
          <w:kern w:val="0"/>
          <w:sz w:val="32"/>
          <w:szCs w:val="32"/>
          <w:u w:val="single"/>
          <w:lang w:val="en-US" w:eastAsia="zh-CN"/>
        </w:rPr>
        <w:t>2</w:t>
      </w:r>
      <w:r>
        <w:rPr>
          <w:rFonts w:hint="eastAsia" w:ascii="仿宋_GB2312" w:hAnsi="仿宋_GB2312" w:eastAsia="仿宋_GB2312" w:cs="仿宋_GB2312"/>
          <w:kern w:val="0"/>
          <w:sz w:val="32"/>
          <w:szCs w:val="32"/>
        </w:rPr>
        <w:t>个项目的绩效自评结果。</w:t>
      </w:r>
    </w:p>
    <w:p>
      <w:pPr>
        <w:keepNext w:val="0"/>
        <w:keepLines w:val="0"/>
        <w:pageBreakBefore w:val="0"/>
        <w:widowControl/>
        <w:kinsoku/>
        <w:wordWrap/>
        <w:overflowPunct/>
        <w:topLinePunct w:val="0"/>
        <w:autoSpaceDE/>
        <w:autoSpaceDN/>
        <w:bidi w:val="0"/>
        <w:adjustRightInd/>
        <w:snapToGrid/>
        <w:spacing w:before="240" w:after="240"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1.</w:t>
      </w:r>
      <w:r>
        <w:rPr>
          <w:rFonts w:hint="eastAsia" w:ascii="仿宋_GB2312" w:hAnsi="仿宋_GB2312" w:eastAsia="仿宋_GB2312" w:cs="仿宋_GB2312"/>
          <w:kern w:val="0"/>
          <w:sz w:val="32"/>
          <w:szCs w:val="32"/>
          <w:lang w:val="en-US" w:eastAsia="zh-CN"/>
        </w:rPr>
        <w:t>划停车位</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52</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52</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全部完成</w:t>
      </w:r>
      <w:r>
        <w:rPr>
          <w:rFonts w:hint="eastAsia" w:ascii="仿宋_GB2312" w:hAnsi="仿宋_GB2312" w:eastAsia="仿宋_GB2312" w:cs="仿宋_GB2312"/>
          <w:kern w:val="0"/>
          <w:sz w:val="32"/>
          <w:szCs w:val="32"/>
        </w:rPr>
        <w:t>。发现的主要问题及原因：</w:t>
      </w:r>
      <w:r>
        <w:rPr>
          <w:rFonts w:hint="eastAsia" w:ascii="仿宋_GB2312" w:hAnsi="仿宋_GB2312" w:eastAsia="仿宋_GB2312" w:cs="仿宋_GB2312"/>
          <w:kern w:val="0"/>
          <w:sz w:val="32"/>
          <w:szCs w:val="32"/>
          <w:lang w:val="en-US" w:eastAsia="zh-CN"/>
        </w:rPr>
        <w:t>没有发现问题</w:t>
      </w:r>
      <w:r>
        <w:rPr>
          <w:rFonts w:hint="eastAsia" w:ascii="仿宋_GB2312" w:hAnsi="仿宋_GB2312" w:eastAsia="仿宋_GB2312" w:cs="仿宋_GB2312"/>
          <w:kern w:val="0"/>
          <w:sz w:val="32"/>
          <w:szCs w:val="32"/>
        </w:rPr>
        <w:t>。下一步改进措施：</w:t>
      </w:r>
      <w:r>
        <w:rPr>
          <w:rFonts w:hint="eastAsia" w:ascii="仿宋_GB2312" w:hAnsi="仿宋_GB2312" w:eastAsia="仿宋_GB2312" w:cs="仿宋_GB2312"/>
          <w:kern w:val="0"/>
          <w:sz w:val="32"/>
          <w:szCs w:val="32"/>
          <w:lang w:val="en-US" w:eastAsia="zh-CN"/>
        </w:rPr>
        <w:t>无改进措施</w:t>
      </w:r>
      <w:r>
        <w:rPr>
          <w:rFonts w:hint="eastAsia" w:ascii="仿宋_GB2312" w:hAnsi="仿宋_GB2312" w:eastAsia="仿宋_GB2312" w:cs="仿宋_GB2312"/>
          <w:kern w:val="0"/>
          <w:sz w:val="32"/>
          <w:szCs w:val="32"/>
        </w:rPr>
        <w:t>。</w:t>
      </w:r>
    </w:p>
    <w:tbl>
      <w:tblPr>
        <w:tblStyle w:val="18"/>
        <w:tblW w:w="99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5"/>
        <w:gridCol w:w="840"/>
        <w:gridCol w:w="1095"/>
        <w:gridCol w:w="735"/>
        <w:gridCol w:w="780"/>
        <w:gridCol w:w="675"/>
        <w:gridCol w:w="600"/>
        <w:gridCol w:w="780"/>
        <w:gridCol w:w="810"/>
        <w:gridCol w:w="900"/>
        <w:gridCol w:w="990"/>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93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4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2023划停车位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达拉特旗城市管理综合行政执法局（部门）</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达拉特旗城市管理综合行政执法局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5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8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5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2023年计划施划、补划停车位1.6万个。</w:t>
            </w:r>
          </w:p>
        </w:tc>
        <w:tc>
          <w:tcPr>
            <w:tcW w:w="4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项目绩效目标全部完成。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划停车位</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99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Times New Roman" w:hAnsi="Times New Roman" w:eastAsia="Times New Roman" w:cs="Times New Roman"/>
          <w:kern w:val="0"/>
          <w:sz w:val="24"/>
        </w:rPr>
      </w:pPr>
    </w:p>
    <w:p>
      <w:pPr>
        <w:widowControl/>
        <w:spacing w:before="240" w:after="240"/>
        <w:rPr>
          <w:rFonts w:hint="eastAsia" w:ascii="仿宋_GB2312" w:hAnsi="仿宋_GB2312" w:eastAsia="仿宋_GB2312" w:cs="仿宋_GB2312"/>
          <w:kern w:val="0"/>
          <w:sz w:val="32"/>
          <w:szCs w:val="32"/>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kern w:val="0"/>
          <w:sz w:val="32"/>
          <w:szCs w:val="32"/>
        </w:rPr>
        <w:t xml:space="preserve"> 2.</w:t>
      </w:r>
      <w:r>
        <w:rPr>
          <w:rFonts w:hint="eastAsia" w:ascii="仿宋_GB2312" w:hAnsi="仿宋_GB2312" w:eastAsia="仿宋_GB2312" w:cs="仿宋_GB2312"/>
          <w:kern w:val="0"/>
          <w:sz w:val="32"/>
          <w:szCs w:val="32"/>
          <w:lang w:val="en-US" w:eastAsia="zh-CN"/>
        </w:rPr>
        <w:t>白塔早市升级改造</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150</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150</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全部完成</w:t>
      </w:r>
      <w:r>
        <w:rPr>
          <w:rFonts w:hint="eastAsia" w:ascii="仿宋_GB2312" w:hAnsi="仿宋_GB2312" w:eastAsia="仿宋_GB2312" w:cs="仿宋_GB2312"/>
          <w:kern w:val="0"/>
          <w:sz w:val="32"/>
          <w:szCs w:val="32"/>
        </w:rPr>
        <w:t>。发现的主要问题及原因：</w:t>
      </w:r>
      <w:r>
        <w:rPr>
          <w:rFonts w:hint="eastAsia" w:ascii="仿宋_GB2312" w:hAnsi="仿宋_GB2312" w:eastAsia="仿宋_GB2312" w:cs="仿宋_GB2312"/>
          <w:kern w:val="0"/>
          <w:sz w:val="32"/>
          <w:szCs w:val="32"/>
          <w:lang w:val="en-US" w:eastAsia="zh-CN"/>
        </w:rPr>
        <w:t>没有发现问题</w:t>
      </w:r>
      <w:r>
        <w:rPr>
          <w:rFonts w:hint="eastAsia" w:ascii="仿宋_GB2312" w:hAnsi="仿宋_GB2312" w:eastAsia="仿宋_GB2312" w:cs="仿宋_GB2312"/>
          <w:kern w:val="0"/>
          <w:sz w:val="32"/>
          <w:szCs w:val="32"/>
        </w:rPr>
        <w:t>。下一步改进措施：</w:t>
      </w:r>
      <w:r>
        <w:rPr>
          <w:rFonts w:hint="eastAsia" w:ascii="仿宋_GB2312" w:hAnsi="仿宋_GB2312" w:eastAsia="仿宋_GB2312" w:cs="仿宋_GB2312"/>
          <w:kern w:val="0"/>
          <w:sz w:val="32"/>
          <w:szCs w:val="32"/>
          <w:lang w:val="en-US" w:eastAsia="zh-CN"/>
        </w:rPr>
        <w:t>无改进措施</w:t>
      </w:r>
      <w:r>
        <w:rPr>
          <w:rFonts w:hint="eastAsia" w:ascii="仿宋_GB2312" w:hAnsi="仿宋_GB2312" w:eastAsia="仿宋_GB2312" w:cs="仿宋_GB2312"/>
          <w:kern w:val="0"/>
          <w:sz w:val="32"/>
          <w:szCs w:val="32"/>
        </w:rPr>
        <w:t>。</w:t>
      </w:r>
    </w:p>
    <w:tbl>
      <w:tblPr>
        <w:tblStyle w:val="18"/>
        <w:tblW w:w="100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5"/>
        <w:gridCol w:w="660"/>
        <w:gridCol w:w="990"/>
        <w:gridCol w:w="960"/>
        <w:gridCol w:w="840"/>
        <w:gridCol w:w="810"/>
        <w:gridCol w:w="1005"/>
        <w:gridCol w:w="780"/>
        <w:gridCol w:w="765"/>
        <w:gridCol w:w="675"/>
        <w:gridCol w:w="840"/>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00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61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白塔早市升级改造g工程款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6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达拉特旗城市管理综合行政执法局（部门）</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2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达拉特旗城市管理综合行政执法局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1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6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0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6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根据旗委政府的工作安排，由我单位负责白塔早市升级改造工程，现已经基本完工，即将投入使用。</w:t>
            </w:r>
          </w:p>
        </w:tc>
        <w:tc>
          <w:tcPr>
            <w:tcW w:w="40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绩效目标已按要求全部完成。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6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白塔早市升级改造摊位</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白塔早市</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白塔早市升级改造工程质量</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白塔早市升级改造项目</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按时推进</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材料成本</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人工成本</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增加群众收入</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增加社会效益</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提升生态环境</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持续提升</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居民满意</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单位满意</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10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54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Times New Roman" w:hAnsi="Times New Roman" w:eastAsia="Times New Roman" w:cs="Times New Roman"/>
          <w:kern w:val="0"/>
          <w:sz w:val="24"/>
        </w:rPr>
      </w:pPr>
    </w:p>
    <w:p>
      <w:pPr>
        <w:widowControl/>
        <w:spacing w:before="240" w:after="240"/>
        <w:ind w:firstLine="271" w:firstLineChars="100"/>
        <w:jc w:val="left"/>
        <w:rPr>
          <w:rFonts w:hint="eastAsia" w:ascii="仿宋_GB2312" w:hAnsi="仿宋_GB2312" w:eastAsia="仿宋_GB2312" w:cs="仿宋_GB2312"/>
          <w:kern w:val="0"/>
          <w:sz w:val="32"/>
          <w:szCs w:val="32"/>
        </w:rPr>
      </w:pPr>
      <w:r>
        <w:rPr>
          <w:rFonts w:ascii="kai_ti_gb2312" w:hAnsi="kai_ti_gb2312" w:eastAsia="kai_ti_gb2312" w:cs="kai_ti_gb2312"/>
          <w:b/>
          <w:bCs/>
          <w:kern w:val="0"/>
          <w:sz w:val="27"/>
          <w:szCs w:val="27"/>
        </w:rPr>
        <w:t xml:space="preserve"> </w:t>
      </w:r>
      <w:r>
        <w:rPr>
          <w:rFonts w:hint="eastAsia" w:ascii="楷体_GB2312" w:hAnsi="楷体_GB2312" w:eastAsia="楷体_GB2312" w:cs="楷体_GB2312"/>
          <w:b/>
          <w:bCs/>
          <w:kern w:val="0"/>
          <w:sz w:val="32"/>
          <w:szCs w:val="32"/>
        </w:rPr>
        <w:t>（三）部门（单位）项目绩效评价结果。</w:t>
      </w:r>
    </w:p>
    <w:p>
      <w:pPr>
        <w:spacing w:line="620" w:lineRule="exact"/>
        <w:ind w:left="0" w:leftChars="0" w:firstLine="481"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val="en-US" w:eastAsia="zh-CN"/>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以</w:t>
      </w:r>
      <w:r>
        <w:rPr>
          <w:rFonts w:hint="eastAsia" w:ascii="仿宋_GB2312" w:hAnsi="仿宋_GB2312" w:eastAsia="仿宋_GB2312" w:cs="仿宋_GB2312"/>
          <w:kern w:val="0"/>
          <w:sz w:val="32"/>
          <w:szCs w:val="32"/>
          <w:lang w:val="en-US" w:eastAsia="zh-CN"/>
        </w:rPr>
        <w:t>划停车位</w:t>
      </w:r>
      <w:r>
        <w:rPr>
          <w:rFonts w:hint="eastAsia" w:ascii="仿宋_GB2312" w:hAnsi="仿宋_GB2312" w:eastAsia="仿宋_GB2312" w:cs="仿宋_GB2312"/>
          <w:kern w:val="0"/>
          <w:sz w:val="32"/>
          <w:szCs w:val="32"/>
        </w:rPr>
        <w:t>项目为例，该项目绩效评价综合得分为</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分，绩效评价结果为“优”。重点项目绩效评价得分情况详见部门（单位）具体绩效评价结果。</w:t>
      </w:r>
    </w:p>
    <w:p>
      <w:pPr>
        <w:spacing w:line="620" w:lineRule="exact"/>
        <w:ind w:left="0" w:leftChars="0" w:firstLine="481" w:firstLineChars="0"/>
        <w:jc w:val="center"/>
        <w:rPr>
          <w:rFonts w:hint="eastAsia" w:ascii="仿宋_GB2312" w:hAnsi="仿宋_GB2312" w:eastAsia="仿宋_GB2312" w:cs="仿宋_GB2312"/>
          <w:sz w:val="32"/>
          <w:szCs w:val="32"/>
        </w:rPr>
      </w:pPr>
    </w:p>
    <w:p>
      <w:pPr>
        <w:spacing w:line="620" w:lineRule="exact"/>
        <w:ind w:left="0" w:leftChars="0" w:firstLine="481" w:firstLineChars="0"/>
        <w:jc w:val="center"/>
        <w:rPr>
          <w:rFonts w:ascii="方正小标宋简体" w:eastAsia="方正小标宋简体"/>
          <w:sz w:val="44"/>
          <w:szCs w:val="44"/>
        </w:rPr>
      </w:pPr>
      <w:r>
        <w:rPr>
          <w:rFonts w:hint="eastAsia" w:ascii="方正小标宋简体" w:eastAsia="方正小标宋简体"/>
          <w:sz w:val="44"/>
          <w:szCs w:val="44"/>
        </w:rPr>
        <w:t>2023</w:t>
      </w:r>
      <w:r>
        <w:rPr>
          <w:rFonts w:ascii="方正小标宋简体" w:hAnsi="方正小标宋简体" w:eastAsia="方正小标宋简体" w:cs="方正小标宋简体"/>
          <w:sz w:val="44"/>
        </w:rPr>
        <w:t>年划停车位项目绩效自评报告</w:t>
      </w:r>
    </w:p>
    <w:p>
      <w:pPr>
        <w:numPr>
          <w:ilvl w:val="0"/>
          <w:numId w:val="0"/>
        </w:numPr>
        <w:spacing w:line="240" w:lineRule="auto"/>
        <w:ind w:left="210" w:leftChars="0" w:firstLine="321" w:firstLineChars="1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一、</w:t>
      </w:r>
      <w:r>
        <w:rPr>
          <w:rFonts w:hint="eastAsia" w:ascii="仿宋_GB2312" w:hAnsi="仿宋_GB2312" w:eastAsia="仿宋_GB2312" w:cs="仿宋_GB2312"/>
          <w:b/>
          <w:bCs w:val="0"/>
          <w:sz w:val="32"/>
          <w:szCs w:val="32"/>
        </w:rPr>
        <w:t>项目</w:t>
      </w:r>
      <w:r>
        <w:rPr>
          <w:rFonts w:hint="eastAsia" w:ascii="仿宋_GB2312" w:hAnsi="仿宋_GB2312" w:eastAsia="仿宋_GB2312" w:cs="仿宋_GB2312"/>
          <w:b/>
          <w:bCs w:val="0"/>
          <w:sz w:val="32"/>
          <w:szCs w:val="32"/>
          <w:lang w:val="en-US" w:eastAsia="zh-CN"/>
        </w:rPr>
        <w:t>基本</w:t>
      </w:r>
      <w:r>
        <w:rPr>
          <w:rFonts w:hint="eastAsia" w:ascii="仿宋_GB2312" w:hAnsi="仿宋_GB2312" w:eastAsia="仿宋_GB2312" w:cs="仿宋_GB2312"/>
          <w:b/>
          <w:bCs w:val="0"/>
          <w:sz w:val="32"/>
          <w:szCs w:val="32"/>
        </w:rPr>
        <w:t>情况</w:t>
      </w:r>
    </w:p>
    <w:p>
      <w:pPr>
        <w:keepNext w:val="0"/>
        <w:keepLines w:val="0"/>
        <w:pageBreakBefore w:val="0"/>
        <w:widowControl w:val="0"/>
        <w:kinsoku/>
        <w:wordWrap/>
        <w:overflowPunct/>
        <w:topLinePunct w:val="0"/>
        <w:autoSpaceDE/>
        <w:autoSpaceDN/>
        <w:bidi w:val="0"/>
        <w:adjustRightInd/>
        <w:snapToGrid/>
        <w:spacing w:before="188" w:line="560" w:lineRule="atLeast"/>
        <w:ind w:firstLine="577"/>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spacing w:val="3"/>
          <w:sz w:val="32"/>
          <w:szCs w:val="32"/>
        </w:rPr>
        <w:t>（一）项目基本情况简介。</w:t>
      </w:r>
    </w:p>
    <w:p>
      <w:pPr>
        <w:keepNext w:val="0"/>
        <w:keepLines w:val="0"/>
        <w:pageBreakBefore w:val="0"/>
        <w:widowControl w:val="0"/>
        <w:kinsoku/>
        <w:wordWrap/>
        <w:overflowPunct/>
        <w:topLinePunct w:val="0"/>
        <w:autoSpaceDE/>
        <w:autoSpaceDN/>
        <w:bidi w:val="0"/>
        <w:adjustRightInd/>
        <w:snapToGrid/>
        <w:spacing w:line="560" w:lineRule="atLeast"/>
        <w:ind w:firstLine="990" w:firstLineChars="330"/>
        <w:textAlignment w:val="auto"/>
        <w:rPr>
          <w:rFonts w:hint="eastAsia" w:ascii="仿宋_GB2312" w:hAnsi="仿宋_GB2312" w:eastAsia="仿宋_GB2312" w:cs="仿宋_GB2312"/>
          <w:sz w:val="32"/>
        </w:rPr>
      </w:pPr>
      <w:r>
        <w:rPr>
          <w:rFonts w:hint="eastAsia" w:ascii="仿宋_GB2312" w:hAnsi="仿宋_GB2312" w:eastAsia="仿宋_GB2312" w:cs="仿宋_GB2312"/>
          <w:sz w:val="30"/>
          <w:szCs w:val="30"/>
        </w:rPr>
        <w:t>镇区划停车位</w:t>
      </w:r>
    </w:p>
    <w:p>
      <w:pPr>
        <w:keepNext w:val="0"/>
        <w:keepLines w:val="0"/>
        <w:pageBreakBefore w:val="0"/>
        <w:widowControl w:val="0"/>
        <w:kinsoku/>
        <w:wordWrap/>
        <w:overflowPunct/>
        <w:topLinePunct w:val="0"/>
        <w:autoSpaceDE/>
        <w:autoSpaceDN/>
        <w:bidi w:val="0"/>
        <w:adjustRightInd/>
        <w:snapToGrid/>
        <w:spacing w:before="188" w:line="560" w:lineRule="atLeast"/>
        <w:ind w:firstLine="577"/>
        <w:textAlignment w:val="auto"/>
        <w:rPr>
          <w:rFonts w:hint="eastAsia" w:ascii="楷体_GB2312" w:hAnsi="楷体_GB2312" w:eastAsia="楷体_GB2312" w:cs="楷体_GB2312"/>
          <w:spacing w:val="3"/>
          <w:sz w:val="32"/>
          <w:szCs w:val="32"/>
        </w:rPr>
      </w:pPr>
      <w:r>
        <w:rPr>
          <w:rFonts w:hint="eastAsia" w:ascii="楷体_GB2312" w:hAnsi="楷体_GB2312" w:eastAsia="楷体_GB2312" w:cs="楷体_GB2312"/>
          <w:spacing w:val="3"/>
          <w:sz w:val="32"/>
          <w:szCs w:val="32"/>
          <w:lang w:eastAsia="zh-CN"/>
        </w:rPr>
        <w:t>（</w:t>
      </w:r>
      <w:r>
        <w:rPr>
          <w:rFonts w:hint="eastAsia" w:ascii="楷体_GB2312" w:hAnsi="楷体_GB2312" w:eastAsia="楷体_GB2312" w:cs="楷体_GB2312"/>
          <w:spacing w:val="3"/>
          <w:sz w:val="32"/>
          <w:szCs w:val="32"/>
          <w:lang w:val="en-US" w:eastAsia="zh-CN"/>
        </w:rPr>
        <w:t>二</w:t>
      </w:r>
      <w:r>
        <w:rPr>
          <w:rFonts w:hint="eastAsia" w:ascii="楷体_GB2312" w:hAnsi="楷体_GB2312" w:eastAsia="楷体_GB2312" w:cs="楷体_GB2312"/>
          <w:spacing w:val="3"/>
          <w:sz w:val="32"/>
          <w:szCs w:val="32"/>
          <w:lang w:eastAsia="zh-CN"/>
        </w:rPr>
        <w:t>）</w:t>
      </w:r>
      <w:r>
        <w:rPr>
          <w:rFonts w:hint="eastAsia" w:ascii="楷体_GB2312" w:hAnsi="楷体_GB2312" w:eastAsia="楷体_GB2312" w:cs="楷体_GB2312"/>
          <w:spacing w:val="3"/>
          <w:sz w:val="32"/>
          <w:szCs w:val="32"/>
        </w:rPr>
        <w:t>绩效目标设定及</w:t>
      </w:r>
      <w:r>
        <w:rPr>
          <w:rFonts w:hint="eastAsia" w:ascii="楷体_GB2312" w:hAnsi="楷体_GB2312" w:eastAsia="楷体_GB2312" w:cs="楷体_GB2312"/>
          <w:spacing w:val="3"/>
          <w:sz w:val="32"/>
          <w:szCs w:val="32"/>
          <w:lang w:val="en-US" w:eastAsia="zh-CN"/>
        </w:rPr>
        <w:t>指标</w:t>
      </w:r>
      <w:r>
        <w:rPr>
          <w:rFonts w:hint="eastAsia" w:ascii="楷体_GB2312" w:hAnsi="楷体_GB2312" w:eastAsia="楷体_GB2312" w:cs="楷体_GB2312"/>
          <w:spacing w:val="3"/>
          <w:sz w:val="32"/>
          <w:szCs w:val="32"/>
        </w:rPr>
        <w:t>完成情况。</w:t>
      </w:r>
    </w:p>
    <w:p>
      <w:pPr>
        <w:keepNext w:val="0"/>
        <w:keepLines w:val="0"/>
        <w:pageBreakBefore w:val="0"/>
        <w:widowControl w:val="0"/>
        <w:numPr>
          <w:ilvl w:val="0"/>
          <w:numId w:val="0"/>
        </w:numPr>
        <w:kinsoku/>
        <w:wordWrap/>
        <w:overflowPunct/>
        <w:topLinePunct w:val="0"/>
        <w:autoSpaceDE/>
        <w:autoSpaceDN/>
        <w:bidi w:val="0"/>
        <w:adjustRightInd/>
        <w:snapToGrid/>
        <w:spacing w:before="188" w:line="560" w:lineRule="atLeast"/>
        <w:ind w:left="420" w:leftChars="0" w:firstLine="420" w:firstLineChars="0"/>
        <w:textAlignment w:val="auto"/>
        <w:rPr>
          <w:rFonts w:hint="eastAsia" w:ascii="仿宋" w:hAnsi="仿宋" w:eastAsia="仿宋" w:cs="仿宋"/>
          <w:color w:val="auto"/>
          <w:spacing w:val="8"/>
          <w:sz w:val="30"/>
          <w:szCs w:val="30"/>
          <w:lang w:val="en-US" w:eastAsia="zh-CN"/>
        </w:rPr>
      </w:pPr>
      <w:r>
        <w:rPr>
          <w:rFonts w:hint="eastAsia" w:ascii="仿宋" w:hAnsi="仿宋" w:eastAsia="仿宋" w:cs="仿宋"/>
          <w:color w:val="auto"/>
          <w:spacing w:val="8"/>
          <w:sz w:val="30"/>
          <w:szCs w:val="30"/>
          <w:lang w:val="en-US" w:eastAsia="zh-CN"/>
        </w:rPr>
        <w:t>预期目标：</w:t>
      </w:r>
      <w:r>
        <w:rPr>
          <w:rFonts w:ascii="仿宋" w:hAnsi="仿宋" w:eastAsia="仿宋" w:cs="仿宋"/>
          <w:color w:val="auto"/>
          <w:spacing w:val="8"/>
          <w:sz w:val="30"/>
        </w:rPr>
        <w:t>2023年计划施划、补划停车位1.6万个。</w:t>
      </w:r>
    </w:p>
    <w:p>
      <w:pPr>
        <w:keepNext w:val="0"/>
        <w:keepLines w:val="0"/>
        <w:pageBreakBefore w:val="0"/>
        <w:widowControl w:val="0"/>
        <w:numPr>
          <w:ilvl w:val="0"/>
          <w:numId w:val="0"/>
        </w:numPr>
        <w:kinsoku/>
        <w:wordWrap/>
        <w:overflowPunct/>
        <w:topLinePunct w:val="0"/>
        <w:autoSpaceDE/>
        <w:autoSpaceDN/>
        <w:bidi w:val="0"/>
        <w:adjustRightInd/>
        <w:snapToGrid/>
        <w:spacing w:before="188" w:line="560" w:lineRule="atLeast"/>
        <w:ind w:left="420" w:leftChars="0" w:firstLine="420" w:firstLineChars="0"/>
        <w:textAlignment w:val="auto"/>
        <w:rPr>
          <w:rFonts w:hint="default" w:ascii="仿宋" w:hAnsi="仿宋" w:eastAsia="仿宋" w:cs="仿宋"/>
          <w:color w:val="auto"/>
          <w:spacing w:val="8"/>
          <w:sz w:val="30"/>
          <w:szCs w:val="30"/>
          <w:lang w:val="en-US" w:eastAsia="zh-CN"/>
        </w:rPr>
      </w:pPr>
      <w:r>
        <w:rPr>
          <w:rFonts w:hint="eastAsia" w:ascii="仿宋" w:hAnsi="仿宋" w:eastAsia="仿宋" w:cs="仿宋"/>
          <w:color w:val="auto"/>
          <w:spacing w:val="8"/>
          <w:sz w:val="30"/>
          <w:szCs w:val="30"/>
          <w:lang w:val="en-US" w:eastAsia="zh-CN"/>
        </w:rPr>
        <w:t>绩效目标实际完成情况：</w:t>
      </w:r>
      <w:r>
        <w:rPr>
          <w:rFonts w:ascii="仿宋" w:hAnsi="仿宋" w:eastAsia="仿宋" w:cs="仿宋"/>
          <w:color w:val="auto"/>
          <w:spacing w:val="8"/>
          <w:sz w:val="30"/>
        </w:rPr>
        <w:t>项目绩效目标全部完成。</w:t>
      </w:r>
    </w:p>
    <w:p>
      <w:pPr>
        <w:keepNext w:val="0"/>
        <w:keepLines w:val="0"/>
        <w:pageBreakBefore w:val="0"/>
        <w:numPr>
          <w:ilvl w:val="0"/>
          <w:numId w:val="0"/>
        </w:numPr>
        <w:wordWrap/>
        <w:overflowPunct/>
        <w:topLinePunct w:val="0"/>
        <w:bidi w:val="0"/>
        <w:spacing w:line="560" w:lineRule="exact"/>
        <w:ind w:firstLine="642" w:firstLineChars="200"/>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二、绩效自评工作</w:t>
      </w:r>
      <w:r>
        <w:rPr>
          <w:rFonts w:hint="eastAsia" w:ascii="仿宋_GB2312" w:hAnsi="仿宋_GB2312" w:eastAsia="仿宋_GB2312" w:cs="仿宋_GB2312"/>
          <w:b/>
          <w:bCs w:val="0"/>
          <w:sz w:val="32"/>
          <w:szCs w:val="32"/>
        </w:rPr>
        <w:t>情况</w:t>
      </w:r>
    </w:p>
    <w:p>
      <w:pPr>
        <w:keepNext w:val="0"/>
        <w:keepLines w:val="0"/>
        <w:pageBreakBefore w:val="0"/>
        <w:numPr>
          <w:ilvl w:val="0"/>
          <w:numId w:val="2"/>
        </w:numPr>
        <w:wordWrap/>
        <w:overflowPunct/>
        <w:topLinePunct w:val="0"/>
        <w:bidi w:val="0"/>
        <w:spacing w:before="188" w:line="560" w:lineRule="exact"/>
        <w:ind w:firstLine="577"/>
        <w:rPr>
          <w:rFonts w:hint="eastAsia" w:ascii="楷体_GB2312" w:hAnsi="楷体_GB2312" w:eastAsia="楷体_GB2312" w:cs="楷体_GB2312"/>
          <w:spacing w:val="1"/>
          <w:sz w:val="32"/>
          <w:szCs w:val="32"/>
        </w:rPr>
      </w:pPr>
      <w:r>
        <w:rPr>
          <w:rFonts w:hint="eastAsia" w:ascii="楷体_GB2312" w:hAnsi="楷体_GB2312" w:eastAsia="楷体_GB2312" w:cs="楷体_GB2312"/>
          <w:spacing w:val="1"/>
          <w:sz w:val="32"/>
          <w:szCs w:val="32"/>
        </w:rPr>
        <w:t>绩效自评目的。</w:t>
      </w:r>
    </w:p>
    <w:p>
      <w:pPr>
        <w:keepNext w:val="0"/>
        <w:keepLines w:val="0"/>
        <w:pageBreakBefore w:val="0"/>
        <w:widowControl/>
        <w:suppressLineNumbers w:val="0"/>
        <w:wordWrap/>
        <w:overflowPunct/>
        <w:topLinePunct w:val="0"/>
        <w:bidi w:val="0"/>
        <w:spacing w:line="560" w:lineRule="exact"/>
        <w:ind w:firstLine="604" w:firstLineChars="200"/>
        <w:jc w:val="left"/>
        <w:rPr>
          <w:rFonts w:hint="default" w:ascii="仿宋" w:hAnsi="仿宋" w:eastAsia="仿宋" w:cs="仿宋"/>
          <w:spacing w:val="1"/>
          <w:sz w:val="30"/>
          <w:szCs w:val="30"/>
        </w:rPr>
      </w:pPr>
      <w:r>
        <w:rPr>
          <w:rFonts w:hint="default" w:ascii="仿宋" w:hAnsi="仿宋" w:eastAsia="仿宋" w:cs="仿宋"/>
          <w:spacing w:val="1"/>
          <w:sz w:val="30"/>
          <w:szCs w:val="30"/>
        </w:rPr>
        <w:t>1.通过开展部门整体支出绩效评价，促进部门从整体上提升预算管理工作水平，强化部门支出责任；</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2.规范资金管理，提高财政资金使用效益；保障部门更好地履行职责；为进一步提升绩效管理水平，强化支出责任；</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3.提高财政资金使用效益，运用科学，合理的评价方法对年初申报部门预算项目资金时明确的绩效目标完成情况进行客观，公正的评价。</w:t>
      </w:r>
    </w:p>
    <w:p>
      <w:pPr>
        <w:keepNext w:val="0"/>
        <w:keepLines w:val="0"/>
        <w:pageBreakBefore w:val="0"/>
        <w:numPr>
          <w:ilvl w:val="0"/>
          <w:numId w:val="2"/>
        </w:numPr>
        <w:wordWrap/>
        <w:overflowPunct/>
        <w:topLinePunct w:val="0"/>
        <w:bidi w:val="0"/>
        <w:spacing w:before="189" w:line="560" w:lineRule="exact"/>
        <w:ind w:left="0" w:leftChars="0" w:firstLine="656"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项目资金投入情况。</w:t>
      </w:r>
    </w:p>
    <w:p>
      <w:pPr>
        <w:keepNext w:val="0"/>
        <w:keepLines w:val="0"/>
        <w:pageBreakBefore w:val="0"/>
        <w:widowControl/>
        <w:kinsoku w:val="0"/>
        <w:wordWrap/>
        <w:overflowPunct/>
        <w:topLinePunct w:val="0"/>
        <w:autoSpaceDE w:val="0"/>
        <w:autoSpaceDN w:val="0"/>
        <w:bidi w:val="0"/>
        <w:adjustRightInd w:val="0"/>
        <w:snapToGrid w:val="0"/>
        <w:spacing w:before="189" w:line="560" w:lineRule="exact"/>
        <w:ind w:left="420" w:leftChars="0" w:firstLine="420" w:firstLineChars="0"/>
        <w:textAlignment w:val="baseline"/>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本年度资金年初预算数</w:t>
      </w:r>
      <w:r>
        <w:rPr>
          <w:rFonts w:hint="eastAsia" w:ascii="仿宋_GB2312" w:hAnsi="仿宋_GB2312" w:eastAsia="仿宋_GB2312" w:cs="仿宋_GB2312"/>
          <w:color w:val="auto"/>
          <w:spacing w:val="4"/>
          <w:sz w:val="32"/>
          <w:szCs w:val="32"/>
        </w:rPr>
        <w:t>52.00万元，其中：财政拨款52.00万元，其他资金0.00万元。</w:t>
      </w:r>
    </w:p>
    <w:p>
      <w:pPr>
        <w:keepNext w:val="0"/>
        <w:keepLines w:val="0"/>
        <w:pageBreakBefore w:val="0"/>
        <w:widowControl/>
        <w:kinsoku w:val="0"/>
        <w:wordWrap/>
        <w:overflowPunct/>
        <w:topLinePunct w:val="0"/>
        <w:autoSpaceDE w:val="0"/>
        <w:autoSpaceDN w:val="0"/>
        <w:bidi w:val="0"/>
        <w:adjustRightInd w:val="0"/>
        <w:snapToGrid w:val="0"/>
        <w:spacing w:before="189" w:line="560" w:lineRule="exact"/>
        <w:ind w:left="420" w:leftChars="0" w:firstLine="420" w:firstLineChars="0"/>
        <w:textAlignment w:val="baseline"/>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lang w:val="en-US" w:eastAsia="zh-CN"/>
        </w:rPr>
        <w:t>本年度资金全年预算数</w:t>
      </w:r>
      <w:r>
        <w:rPr>
          <w:rFonts w:hint="eastAsia" w:ascii="仿宋_GB2312" w:hAnsi="仿宋_GB2312" w:eastAsia="仿宋_GB2312" w:cs="仿宋_GB2312"/>
          <w:color w:val="auto"/>
          <w:spacing w:val="4"/>
          <w:sz w:val="32"/>
          <w:szCs w:val="32"/>
        </w:rPr>
        <w:t>52.00万元，其中：财政拨款52.00万元，其他资金0.00万元。</w:t>
      </w:r>
    </w:p>
    <w:p>
      <w:pPr>
        <w:keepNext w:val="0"/>
        <w:keepLines w:val="0"/>
        <w:pageBreakBefore w:val="0"/>
        <w:numPr>
          <w:ilvl w:val="0"/>
          <w:numId w:val="0"/>
        </w:numPr>
        <w:wordWrap/>
        <w:overflowPunct/>
        <w:topLinePunct w:val="0"/>
        <w:bidi w:val="0"/>
        <w:spacing w:before="189" w:line="560" w:lineRule="exact"/>
        <w:ind w:leftChars="200"/>
        <w:rPr>
          <w:rFonts w:hint="eastAsia" w:ascii="仿宋_GB2312" w:hAnsi="仿宋_GB2312" w:eastAsia="仿宋_GB2312" w:cs="仿宋_GB2312"/>
          <w:spacing w:val="4"/>
          <w:sz w:val="32"/>
          <w:szCs w:val="32"/>
        </w:rPr>
      </w:pPr>
      <w:r>
        <w:rPr>
          <w:rFonts w:hint="eastAsia" w:ascii="仿宋_GB2312" w:hAnsi="仿宋_GB2312" w:eastAsia="仿宋_GB2312" w:cs="仿宋_GB2312"/>
          <w:color w:val="auto"/>
          <w:spacing w:val="4"/>
          <w:sz w:val="32"/>
          <w:szCs w:val="32"/>
          <w:lang w:val="en-US" w:eastAsia="zh-CN"/>
        </w:rPr>
        <w:t>本年度资金全年执行数</w:t>
      </w:r>
      <w:r>
        <w:rPr>
          <w:rFonts w:hint="eastAsia" w:ascii="仿宋_GB2312" w:hAnsi="仿宋_GB2312" w:eastAsia="仿宋_GB2312" w:cs="仿宋_GB2312"/>
          <w:color w:val="auto"/>
          <w:spacing w:val="4"/>
          <w:sz w:val="32"/>
          <w:szCs w:val="32"/>
        </w:rPr>
        <w:t>52.00万元，其中：财政拨款52.00万元，其他资金0.00万元。</w:t>
      </w:r>
    </w:p>
    <w:p>
      <w:pPr>
        <w:keepNext w:val="0"/>
        <w:keepLines w:val="0"/>
        <w:pageBreakBefore w:val="0"/>
        <w:numPr>
          <w:ilvl w:val="0"/>
          <w:numId w:val="2"/>
        </w:numPr>
        <w:wordWrap/>
        <w:overflowPunct/>
        <w:topLinePunct w:val="0"/>
        <w:bidi w:val="0"/>
        <w:spacing w:before="188" w:line="560" w:lineRule="exact"/>
        <w:ind w:left="0" w:leftChars="0" w:firstLine="656"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项目资金产出情况。</w:t>
      </w:r>
    </w:p>
    <w:p>
      <w:pPr>
        <w:keepNext w:val="0"/>
        <w:keepLines w:val="0"/>
        <w:pageBreakBefore w:val="0"/>
        <w:numPr>
          <w:ilvl w:val="0"/>
          <w:numId w:val="0"/>
        </w:numPr>
        <w:wordWrap/>
        <w:overflowPunct/>
        <w:topLinePunct w:val="0"/>
        <w:bidi w:val="0"/>
        <w:spacing w:before="189" w:line="560" w:lineRule="exact"/>
        <w:ind w:leftChars="200" w:firstLine="656" w:firstLineChars="200"/>
        <w:rPr>
          <w:rFonts w:hint="eastAsia" w:ascii="仿宋_GB2312" w:hAnsi="仿宋_GB2312" w:eastAsia="仿宋_GB2312" w:cs="仿宋_GB2312"/>
          <w:spacing w:val="4"/>
          <w:sz w:val="30"/>
          <w:szCs w:val="30"/>
        </w:rPr>
      </w:pPr>
      <w:r>
        <w:rPr>
          <w:rFonts w:hint="eastAsia" w:ascii="仿宋_GB2312" w:hAnsi="仿宋_GB2312" w:eastAsia="仿宋_GB2312" w:cs="仿宋_GB2312"/>
          <w:color w:val="auto"/>
          <w:spacing w:val="4"/>
          <w:sz w:val="32"/>
          <w:szCs w:val="32"/>
          <w:lang w:val="en-US" w:eastAsia="zh-CN"/>
        </w:rPr>
        <w:t>按照</w:t>
      </w:r>
      <w:r>
        <w:rPr>
          <w:rFonts w:hint="eastAsia" w:ascii="仿宋_GB2312" w:hAnsi="仿宋_GB2312" w:eastAsia="仿宋_GB2312" w:cs="仿宋_GB2312"/>
          <w:spacing w:val="1"/>
          <w:sz w:val="32"/>
          <w:szCs w:val="32"/>
        </w:rPr>
        <w:t>达拉特旗政府的工作安排，我单位2023年在树林召镇区六个街道大队管辖的主街道、次干道施划、补划停车位约1.6万个，每个停车位按33元预算，该项目共投资52万元，用于改善树林召镇区的市容环境，项目实施后极大</w:t>
      </w:r>
      <w:r>
        <w:rPr>
          <w:rFonts w:hint="eastAsia" w:ascii="仿宋_GB2312" w:hAnsi="仿宋_GB2312" w:eastAsia="仿宋_GB2312" w:cs="仿宋_GB2312"/>
          <w:spacing w:val="1"/>
          <w:sz w:val="32"/>
          <w:szCs w:val="32"/>
          <w:lang w:eastAsia="zh-CN"/>
        </w:rPr>
        <w:t>地</w:t>
      </w:r>
      <w:r>
        <w:rPr>
          <w:rFonts w:hint="eastAsia" w:ascii="仿宋_GB2312" w:hAnsi="仿宋_GB2312" w:eastAsia="仿宋_GB2312" w:cs="仿宋_GB2312"/>
          <w:spacing w:val="1"/>
          <w:sz w:val="32"/>
          <w:szCs w:val="32"/>
        </w:rPr>
        <w:t>改善了居民外出购物停车难的问题，方便了广大居民群众的出行，同时也改善了树林召镇内乱停车的问题，受到了广大居民群众的一致好评。</w:t>
      </w:r>
    </w:p>
    <w:p>
      <w:pPr>
        <w:keepNext w:val="0"/>
        <w:keepLines w:val="0"/>
        <w:pageBreakBefore w:val="0"/>
        <w:numPr>
          <w:ilvl w:val="0"/>
          <w:numId w:val="2"/>
        </w:numPr>
        <w:wordWrap/>
        <w:overflowPunct/>
        <w:topLinePunct w:val="0"/>
        <w:bidi w:val="0"/>
        <w:spacing w:before="189" w:line="560" w:lineRule="exact"/>
        <w:ind w:left="0" w:leftChars="0" w:firstLine="648" w:firstLineChars="200"/>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项目资金管理情况。</w:t>
      </w:r>
    </w:p>
    <w:p>
      <w:pPr>
        <w:keepNext w:val="0"/>
        <w:keepLines w:val="0"/>
        <w:pageBreakBefore w:val="0"/>
        <w:widowControl/>
        <w:suppressLineNumbers w:val="0"/>
        <w:wordWrap/>
        <w:overflowPunct/>
        <w:topLinePunct w:val="0"/>
        <w:bidi w:val="0"/>
        <w:spacing w:line="560" w:lineRule="exact"/>
        <w:ind w:firstLine="644" w:firstLineChars="200"/>
        <w:jc w:val="left"/>
        <w:rPr>
          <w:rFonts w:hint="eastAsia" w:ascii="仿宋_GB2312" w:hAnsi="仿宋_GB2312" w:eastAsia="仿宋_GB2312" w:cs="仿宋_GB2312"/>
          <w:spacing w:val="1"/>
          <w:sz w:val="32"/>
          <w:szCs w:val="32"/>
        </w:rPr>
      </w:pPr>
      <w:r>
        <w:rPr>
          <w:rFonts w:hint="eastAsia" w:ascii="仿宋_GB2312" w:hAnsi="仿宋_GB2312" w:eastAsia="仿宋_GB2312" w:cs="仿宋_GB2312"/>
          <w:spacing w:val="1"/>
          <w:sz w:val="32"/>
          <w:szCs w:val="32"/>
        </w:rPr>
        <w:t>本项目支出符合相关财政管理制度，包括会计人员集中核算工作管理制度、财务收支审批制度、财务稽核制度、财务牵制制度等制度规定。资金的拨付有完整的审批程序和手续，不存在截留、挤占、挪用等情况。做到立项有据，合理安排资金，规范使用经费，提高业务费的使用率。严格按照财政项目资金绩效评价有关文件精神进行资金使用及绩效考核，根据工作实际制定的专项资金。为进一步加强财务管理，项目严格按照相关规定要求进行，对资金的使用、运转进度有专人不定期的进行跟踪监督，确保资金使用安全规范。</w:t>
      </w:r>
    </w:p>
    <w:p>
      <w:pPr>
        <w:keepNext w:val="0"/>
        <w:keepLines w:val="0"/>
        <w:pageBreakBefore w:val="0"/>
        <w:numPr>
          <w:ilvl w:val="0"/>
          <w:numId w:val="0"/>
        </w:numPr>
        <w:wordWrap/>
        <w:overflowPunct/>
        <w:topLinePunct w:val="0"/>
        <w:bidi w:val="0"/>
        <w:spacing w:line="560" w:lineRule="exact"/>
        <w:ind w:firstLine="642" w:firstLineChars="200"/>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三、项目绩效情况</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(一) 产出指标完成情况</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1、数量指标</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1)划停车位，目标值</w:t>
      </w:r>
      <w:r>
        <w:rPr>
          <w:rFonts w:hint="eastAsia" w:ascii="仿宋" w:hAnsi="仿宋" w:eastAsia="仿宋"/>
          <w:sz w:val="32"/>
          <w:szCs w:val="32"/>
          <w:lang w:val="en-US" w:eastAsia="zh-CN"/>
        </w:rPr>
        <w:t>等于</w:t>
      </w:r>
      <w:r>
        <w:rPr>
          <w:rFonts w:hint="eastAsia" w:ascii="仿宋" w:hAnsi="仿宋" w:eastAsia="仿宋"/>
          <w:sz w:val="32"/>
          <w:szCs w:val="32"/>
        </w:rPr>
        <w:t>95</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95个，分值10，得分10</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2、质量指标</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2)划停车位，目标值</w:t>
      </w:r>
      <w:r>
        <w:rPr>
          <w:rFonts w:hint="eastAsia" w:ascii="仿宋" w:hAnsi="仿宋" w:eastAsia="仿宋"/>
          <w:sz w:val="32"/>
          <w:szCs w:val="32"/>
          <w:lang w:val="en-US" w:eastAsia="zh-CN"/>
        </w:rPr>
        <w:t>等于</w:t>
      </w:r>
      <w:r>
        <w:rPr>
          <w:rFonts w:hint="eastAsia" w:ascii="仿宋" w:hAnsi="仿宋" w:eastAsia="仿宋"/>
          <w:sz w:val="32"/>
          <w:szCs w:val="32"/>
        </w:rPr>
        <w:t>95</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95个，分值30，得分30</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3、时效指标</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3)划停车位，目标值</w:t>
      </w:r>
      <w:r>
        <w:rPr>
          <w:rFonts w:hint="eastAsia" w:ascii="仿宋" w:hAnsi="仿宋" w:eastAsia="仿宋"/>
          <w:sz w:val="32"/>
          <w:szCs w:val="32"/>
          <w:lang w:val="en-US" w:eastAsia="zh-CN"/>
        </w:rPr>
        <w:t>等于</w:t>
      </w:r>
      <w:r>
        <w:rPr>
          <w:rFonts w:hint="eastAsia" w:ascii="仿宋" w:hAnsi="仿宋" w:eastAsia="仿宋"/>
          <w:sz w:val="32"/>
          <w:szCs w:val="32"/>
        </w:rPr>
        <w:t>95</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95个，分值5，得分5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4、成本指标</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4)划停车位，目标值</w:t>
      </w:r>
      <w:r>
        <w:rPr>
          <w:rFonts w:hint="eastAsia" w:ascii="仿宋" w:hAnsi="仿宋" w:eastAsia="仿宋"/>
          <w:sz w:val="32"/>
          <w:szCs w:val="32"/>
          <w:lang w:val="en-US" w:eastAsia="zh-CN"/>
        </w:rPr>
        <w:t>小于</w:t>
      </w:r>
      <w:r>
        <w:rPr>
          <w:rFonts w:hint="eastAsia" w:ascii="仿宋" w:hAnsi="仿宋" w:eastAsia="仿宋"/>
          <w:sz w:val="32"/>
          <w:szCs w:val="32"/>
        </w:rPr>
        <w:t>95</w:t>
      </w:r>
      <w:r>
        <w:rPr>
          <w:rFonts w:ascii="仿宋" w:hAnsi="仿宋" w:eastAsia="仿宋" w:cs="仿宋"/>
          <w:sz w:val="32"/>
        </w:rPr>
        <w:t>元，</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95元，分值5，得分5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(二) 效益指标完成情况</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5、经济效益</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5)划停车位，目标值</w:t>
      </w:r>
      <w:r>
        <w:rPr>
          <w:rFonts w:hint="eastAsia" w:ascii="仿宋" w:hAnsi="仿宋" w:eastAsia="仿宋"/>
          <w:sz w:val="32"/>
          <w:szCs w:val="32"/>
          <w:lang w:val="en-US" w:eastAsia="zh-CN"/>
        </w:rPr>
        <w:t>大于等于</w:t>
      </w:r>
      <w:r>
        <w:rPr>
          <w:rFonts w:hint="eastAsia" w:ascii="仿宋" w:hAnsi="仿宋" w:eastAsia="仿宋"/>
          <w:sz w:val="32"/>
          <w:szCs w:val="32"/>
        </w:rPr>
        <w:t>95</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95无，分值5，得分5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6、社会效益</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6)划停车位，目标值</w:t>
      </w:r>
      <w:r>
        <w:rPr>
          <w:rFonts w:hint="eastAsia" w:ascii="仿宋" w:hAnsi="仿宋" w:eastAsia="仿宋"/>
          <w:sz w:val="32"/>
          <w:szCs w:val="32"/>
          <w:lang w:val="en-US" w:eastAsia="zh-CN"/>
        </w:rPr>
        <w:t>大于等于</w:t>
      </w:r>
      <w:r>
        <w:rPr>
          <w:rFonts w:hint="eastAsia" w:ascii="仿宋" w:hAnsi="仿宋" w:eastAsia="仿宋"/>
          <w:sz w:val="32"/>
          <w:szCs w:val="32"/>
        </w:rPr>
        <w:t>95</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95无，分值5，得分5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7、生态效益</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7)划停车位，目标值</w:t>
      </w:r>
      <w:r>
        <w:rPr>
          <w:rFonts w:hint="eastAsia" w:ascii="仿宋" w:hAnsi="仿宋" w:eastAsia="仿宋"/>
          <w:sz w:val="32"/>
          <w:szCs w:val="32"/>
          <w:lang w:val="en-US" w:eastAsia="zh-CN"/>
        </w:rPr>
        <w:t>等于</w:t>
      </w:r>
      <w:r>
        <w:rPr>
          <w:rFonts w:hint="eastAsia" w:ascii="仿宋" w:hAnsi="仿宋" w:eastAsia="仿宋"/>
          <w:sz w:val="32"/>
          <w:szCs w:val="32"/>
        </w:rPr>
        <w:t>95</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95无，分值15，得分15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8、可持续影响</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8)划停车位，目标值</w:t>
      </w:r>
      <w:r>
        <w:rPr>
          <w:rFonts w:hint="eastAsia" w:ascii="仿宋" w:hAnsi="仿宋" w:eastAsia="仿宋"/>
          <w:sz w:val="32"/>
          <w:szCs w:val="32"/>
          <w:lang w:val="en-US" w:eastAsia="zh-CN"/>
        </w:rPr>
        <w:t>等于</w:t>
      </w:r>
      <w:r>
        <w:rPr>
          <w:rFonts w:hint="eastAsia" w:ascii="仿宋" w:hAnsi="仿宋" w:eastAsia="仿宋"/>
          <w:sz w:val="32"/>
          <w:szCs w:val="32"/>
        </w:rPr>
        <w:t>95</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95无，分值5，得分5</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(三) 满意度指标完成情况</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9、服务对象满意度</w:t>
      </w:r>
    </w:p>
    <w:p>
      <w:pPr>
        <w:keepNext w:val="0"/>
        <w:keepLines w:val="0"/>
        <w:pageBreakBefore w:val="0"/>
        <w:wordWrap/>
        <w:overflowPunct/>
        <w:topLinePunct w:val="0"/>
        <w:bidi w:val="0"/>
        <w:spacing w:line="560" w:lineRule="exact"/>
        <w:ind w:left="420" w:leftChars="200" w:firstLine="0" w:firstLineChars="0"/>
        <w:rPr>
          <w:rFonts w:ascii="仿宋" w:hAnsi="仿宋" w:eastAsia="仿宋"/>
          <w:sz w:val="32"/>
          <w:szCs w:val="32"/>
        </w:rPr>
      </w:pPr>
      <w:r>
        <w:rPr>
          <w:rFonts w:ascii="仿宋" w:hAnsi="仿宋" w:eastAsia="仿宋" w:cs="仿宋"/>
          <w:sz w:val="32"/>
        </w:rPr>
        <w:t>9)划停车位，目标值</w:t>
      </w:r>
      <w:r>
        <w:rPr>
          <w:rFonts w:hint="eastAsia" w:ascii="仿宋" w:hAnsi="仿宋" w:eastAsia="仿宋"/>
          <w:sz w:val="32"/>
          <w:szCs w:val="32"/>
          <w:lang w:val="en-US" w:eastAsia="zh-CN"/>
        </w:rPr>
        <w:t>大于等于</w:t>
      </w:r>
      <w:r>
        <w:rPr>
          <w:rFonts w:hint="eastAsia" w:ascii="仿宋" w:hAnsi="仿宋" w:eastAsia="仿宋"/>
          <w:sz w:val="32"/>
          <w:szCs w:val="32"/>
        </w:rPr>
        <w:t>95</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95%，分值10，得分10</w:t>
      </w:r>
      <w:r>
        <w:rPr>
          <w:rFonts w:hint="eastAsia" w:ascii="仿宋" w:hAnsi="仿宋" w:eastAsia="仿宋"/>
          <w:sz w:val="32"/>
          <w:szCs w:val="32"/>
        </w:rPr>
        <w:t>。</w:t>
      </w:r>
    </w:p>
    <w:p>
      <w:pPr>
        <w:keepNext w:val="0"/>
        <w:keepLines w:val="0"/>
        <w:pageBreakBefore w:val="0"/>
        <w:wordWrap/>
        <w:overflowPunct/>
        <w:topLinePunct w:val="0"/>
        <w:bidi w:val="0"/>
        <w:spacing w:line="560" w:lineRule="exact"/>
        <w:ind w:left="420" w:leftChars="200" w:firstLine="0" w:firstLineChars="0"/>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lang w:val="en-US" w:eastAsia="zh-CN"/>
        </w:rPr>
        <w:t>自评得分情况</w:t>
      </w:r>
    </w:p>
    <w:p>
      <w:pPr>
        <w:keepNext w:val="0"/>
        <w:keepLines w:val="0"/>
        <w:pageBreakBefore w:val="0"/>
        <w:wordWrap/>
        <w:overflowPunct/>
        <w:topLinePunct w:val="0"/>
        <w:bidi w:val="0"/>
        <w:spacing w:line="560" w:lineRule="exact"/>
        <w:rPr>
          <w:rFonts w:hint="eastAsia" w:ascii="仿宋" w:hAnsi="仿宋" w:eastAsia="仿宋_GB2312"/>
          <w:sz w:val="32"/>
          <w:szCs w:val="32"/>
          <w:lang w:eastAsia="zh-CN"/>
        </w:rPr>
      </w:pPr>
      <w:r>
        <w:rPr>
          <w:rFonts w:hint="eastAsia" w:ascii="仿宋_GB2312" w:hAnsi="仿宋_GB2312" w:eastAsia="仿宋_GB2312"/>
          <w:sz w:val="32"/>
          <w:szCs w:val="32"/>
        </w:rPr>
        <w:t>本项目绩效自评得分</w:t>
      </w:r>
      <w:r>
        <w:rPr>
          <w:rFonts w:ascii="仿宋_GB2312" w:hAnsi="仿宋_GB2312" w:eastAsia="仿宋_GB2312" w:cs="仿宋_GB2312"/>
          <w:sz w:val="32"/>
        </w:rPr>
        <w:t>100分，等级为A</w:t>
      </w:r>
      <w:r>
        <w:rPr>
          <w:rFonts w:hint="eastAsia" w:ascii="仿宋_GB2312" w:hAnsi="仿宋_GB2312" w:eastAsia="仿宋_GB2312"/>
          <w:sz w:val="32"/>
          <w:szCs w:val="32"/>
          <w:lang w:eastAsia="zh-CN"/>
        </w:rPr>
        <w:t>。</w:t>
      </w:r>
    </w:p>
    <w:p>
      <w:pPr>
        <w:keepNext w:val="0"/>
        <w:keepLines w:val="0"/>
        <w:pageBreakBefore w:val="0"/>
        <w:numPr>
          <w:ilvl w:val="0"/>
          <w:numId w:val="0"/>
        </w:numPr>
        <w:wordWrap/>
        <w:overflowPunct/>
        <w:topLinePunct w:val="0"/>
        <w:bidi w:val="0"/>
        <w:spacing w:line="560" w:lineRule="exact"/>
        <w:ind w:left="210" w:leftChars="0" w:firstLine="321" w:firstLineChars="100"/>
        <w:jc w:val="both"/>
        <w:rPr>
          <w:rFonts w:ascii="仿宋" w:hAnsi="仿宋" w:eastAsia="仿宋"/>
          <w:b/>
          <w:sz w:val="32"/>
          <w:szCs w:val="32"/>
        </w:rPr>
      </w:pPr>
      <w:r>
        <w:rPr>
          <w:rFonts w:hint="eastAsia" w:ascii="仿宋" w:hAnsi="仿宋" w:eastAsia="仿宋"/>
          <w:b/>
          <w:sz w:val="32"/>
          <w:szCs w:val="32"/>
          <w:lang w:val="en-US" w:eastAsia="zh-CN"/>
        </w:rPr>
        <w:t>四、</w:t>
      </w:r>
      <w:r>
        <w:rPr>
          <w:rFonts w:hint="eastAsia" w:ascii="仿宋" w:hAnsi="仿宋" w:eastAsia="仿宋"/>
          <w:b/>
          <w:sz w:val="32"/>
          <w:szCs w:val="32"/>
        </w:rPr>
        <w:t>存在</w:t>
      </w:r>
      <w:r>
        <w:rPr>
          <w:rFonts w:hint="eastAsia" w:ascii="仿宋" w:hAnsi="仿宋" w:eastAsia="仿宋"/>
          <w:b/>
          <w:sz w:val="32"/>
          <w:szCs w:val="32"/>
          <w:lang w:val="en-US" w:eastAsia="zh-CN"/>
        </w:rPr>
        <w:t>问题</w:t>
      </w:r>
    </w:p>
    <w:p>
      <w:pPr>
        <w:keepNext w:val="0"/>
        <w:keepLines w:val="0"/>
        <w:pageBreakBefore w:val="0"/>
        <w:numPr>
          <w:ilvl w:val="0"/>
          <w:numId w:val="3"/>
        </w:numPr>
        <w:wordWrap/>
        <w:overflowPunct/>
        <w:topLinePunct w:val="0"/>
        <w:bidi w:val="0"/>
        <w:spacing w:line="560" w:lineRule="exact"/>
        <w:ind w:left="240" w:leftChars="0" w:firstLine="0" w:firstLineChars="0"/>
        <w:rPr>
          <w:rFonts w:ascii="仿宋" w:hAnsi="仿宋" w:eastAsia="仿宋"/>
          <w:b w:val="0"/>
          <w:bCs/>
          <w:sz w:val="32"/>
          <w:szCs w:val="32"/>
        </w:rPr>
      </w:pPr>
      <w:r>
        <w:rPr>
          <w:rFonts w:hint="eastAsia" w:ascii="仿宋" w:hAnsi="仿宋" w:eastAsia="仿宋"/>
          <w:b w:val="0"/>
          <w:bCs/>
          <w:sz w:val="32"/>
          <w:szCs w:val="32"/>
          <w:lang w:val="en-US" w:eastAsia="zh-CN"/>
        </w:rPr>
        <w:t>项目立项、实施存在问题。</w:t>
      </w:r>
    </w:p>
    <w:p>
      <w:pPr>
        <w:keepNext w:val="0"/>
        <w:keepLines w:val="0"/>
        <w:pageBreakBefore w:val="0"/>
        <w:numPr>
          <w:ilvl w:val="0"/>
          <w:numId w:val="3"/>
        </w:numPr>
        <w:wordWrap/>
        <w:overflowPunct/>
        <w:topLinePunct w:val="0"/>
        <w:bidi w:val="0"/>
        <w:spacing w:line="560" w:lineRule="exact"/>
        <w:ind w:left="240" w:leftChars="0" w:firstLine="0" w:firstLineChars="0"/>
        <w:rPr>
          <w:rFonts w:ascii="仿宋" w:hAnsi="仿宋" w:eastAsia="仿宋"/>
          <w:b w:val="0"/>
          <w:bCs/>
          <w:sz w:val="32"/>
          <w:szCs w:val="32"/>
        </w:rPr>
      </w:pPr>
      <w:r>
        <w:rPr>
          <w:rFonts w:hint="eastAsia" w:ascii="仿宋" w:hAnsi="仿宋" w:eastAsia="仿宋"/>
          <w:b w:val="0"/>
          <w:bCs/>
          <w:sz w:val="32"/>
          <w:szCs w:val="32"/>
          <w:lang w:val="en-US" w:eastAsia="zh-CN"/>
        </w:rPr>
        <w:t>资金管理使用存在问题</w:t>
      </w:r>
    </w:p>
    <w:p>
      <w:pPr>
        <w:keepNext w:val="0"/>
        <w:keepLines w:val="0"/>
        <w:pageBreakBefore w:val="0"/>
        <w:wordWrap/>
        <w:overflowPunct/>
        <w:topLinePunct w:val="0"/>
        <w:bidi w:val="0"/>
        <w:spacing w:line="560" w:lineRule="exact"/>
        <w:ind w:left="420" w:firstLine="420" w:firstLineChars="0"/>
        <w:rPr>
          <w:rFonts w:ascii="仿宋" w:hAnsi="仿宋" w:eastAsia="仿宋"/>
          <w:b/>
          <w:sz w:val="32"/>
          <w:szCs w:val="32"/>
        </w:rPr>
      </w:pPr>
    </w:p>
    <w:p>
      <w:pPr>
        <w:keepNext w:val="0"/>
        <w:keepLines w:val="0"/>
        <w:pageBreakBefore w:val="0"/>
        <w:wordWrap/>
        <w:overflowPunct/>
        <w:topLinePunct w:val="0"/>
        <w:bidi w:val="0"/>
        <w:spacing w:line="560" w:lineRule="exact"/>
        <w:ind w:firstLine="642" w:firstLineChars="200"/>
        <w:rPr>
          <w:rFonts w:hint="eastAsia" w:ascii="仿宋" w:hAnsi="仿宋" w:eastAsia="仿宋"/>
          <w:b/>
          <w:sz w:val="32"/>
          <w:szCs w:val="32"/>
          <w:lang w:val="en-US" w:eastAsia="zh-CN"/>
        </w:rPr>
      </w:pPr>
      <w:r>
        <w:rPr>
          <w:rFonts w:hint="eastAsia" w:ascii="仿宋" w:hAnsi="仿宋" w:eastAsia="仿宋"/>
          <w:b/>
          <w:sz w:val="32"/>
          <w:szCs w:val="32"/>
        </w:rPr>
        <w:t>五、其他需要说明的</w:t>
      </w:r>
      <w:r>
        <w:rPr>
          <w:rFonts w:hint="eastAsia" w:ascii="仿宋" w:hAnsi="仿宋" w:eastAsia="仿宋"/>
          <w:b/>
          <w:sz w:val="32"/>
          <w:szCs w:val="32"/>
          <w:lang w:val="en-US" w:eastAsia="zh-CN"/>
        </w:rPr>
        <w:t>问题</w:t>
      </w:r>
    </w:p>
    <w:p>
      <w:pPr>
        <w:keepNext w:val="0"/>
        <w:keepLines w:val="0"/>
        <w:pageBreakBefore w:val="0"/>
        <w:wordWrap/>
        <w:overflowPunct/>
        <w:topLinePunct w:val="0"/>
        <w:bidi w:val="0"/>
        <w:spacing w:before="188" w:line="560" w:lineRule="exact"/>
        <w:ind w:firstLine="577"/>
        <w:rPr>
          <w:rFonts w:hint="eastAsia" w:ascii="楷体_GB2312" w:hAnsi="楷体_GB2312" w:eastAsia="楷体_GB2312" w:cs="楷体_GB2312"/>
          <w:sz w:val="30"/>
          <w:szCs w:val="30"/>
        </w:rPr>
      </w:pPr>
      <w:r>
        <w:rPr>
          <w:rFonts w:hint="eastAsia" w:ascii="仿宋_GB2312" w:hAnsi="仿宋_GB2312" w:eastAsia="仿宋_GB2312" w:cs="仿宋_GB2312"/>
          <w:sz w:val="32"/>
          <w:szCs w:val="32"/>
        </w:rPr>
        <w:t>（一）后续工作计划</w:t>
      </w:r>
      <w:r>
        <w:rPr>
          <w:rFonts w:hint="eastAsia" w:ascii="楷体_GB2312" w:hAnsi="楷体_GB2312" w:eastAsia="楷体_GB2312" w:cs="楷体_GB2312"/>
          <w:sz w:val="30"/>
          <w:szCs w:val="30"/>
        </w:rPr>
        <w:t>。</w:t>
      </w:r>
    </w:p>
    <w:p>
      <w:pPr>
        <w:keepNext w:val="0"/>
        <w:keepLines w:val="0"/>
        <w:pageBreakBefore w:val="0"/>
        <w:widowControl/>
        <w:suppressLineNumbers w:val="0"/>
        <w:wordWrap/>
        <w:overflowPunct/>
        <w:topLinePunct w:val="0"/>
        <w:bidi w:val="0"/>
        <w:spacing w:line="560" w:lineRule="exact"/>
        <w:ind w:firstLine="604" w:firstLineChars="200"/>
        <w:jc w:val="left"/>
        <w:rPr>
          <w:rFonts w:ascii="仿宋" w:hAnsi="仿宋" w:eastAsia="仿宋" w:cs="仿宋"/>
          <w:sz w:val="30"/>
          <w:szCs w:val="30"/>
        </w:rPr>
      </w:pPr>
      <w:r>
        <w:rPr>
          <w:rFonts w:hint="default" w:ascii="仿宋" w:hAnsi="仿宋" w:eastAsia="仿宋" w:cs="仿宋"/>
          <w:spacing w:val="1"/>
          <w:sz w:val="30"/>
          <w:szCs w:val="30"/>
        </w:rPr>
        <w:t>1.将绩效评价有效作为项目的重要组成部分，进行申报、监控、自评等系列程序。通过自评得分对项目决策提供科学有效地信息，切实提升决策能力。今后，我单位按相关政策及规定，将进一步加强绩效管理工作，加强项目资金的使用管理，确保各项目达到预期目标。</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2.完善项目管理制度，签订责任书，强化制度管理压实管理责任，做到事事有人管，分分有着实。保证经费项目规范运行，提高资金使用绩效。</w:t>
      </w:r>
    </w:p>
    <w:p>
      <w:pPr>
        <w:keepNext w:val="0"/>
        <w:keepLines w:val="0"/>
        <w:pageBreakBefore w:val="0"/>
        <w:wordWrap/>
        <w:overflowPunct/>
        <w:topLinePunct w:val="0"/>
        <w:bidi w:val="0"/>
        <w:spacing w:before="189" w:line="560" w:lineRule="exact"/>
        <w:ind w:firstLine="577"/>
        <w:rPr>
          <w:rFonts w:hint="eastAsia" w:ascii="仿宋_GB2312" w:hAnsi="仿宋_GB2312" w:eastAsia="仿宋_GB2312" w:cs="仿宋_GB2312"/>
          <w:spacing w:val="-1"/>
          <w:sz w:val="32"/>
          <w:szCs w:val="32"/>
        </w:rPr>
      </w:pPr>
      <w:r>
        <w:rPr>
          <w:rFonts w:hint="eastAsia" w:ascii="仿宋_GB2312" w:hAnsi="仿宋_GB2312" w:eastAsia="仿宋_GB2312" w:cs="仿宋_GB2312"/>
          <w:spacing w:val="-1"/>
          <w:sz w:val="32"/>
          <w:szCs w:val="32"/>
        </w:rPr>
        <w:t>（二）措施及办法。</w:t>
      </w:r>
    </w:p>
    <w:p>
      <w:pPr>
        <w:keepNext w:val="0"/>
        <w:keepLines w:val="0"/>
        <w:pageBreakBefore w:val="0"/>
        <w:wordWrap/>
        <w:overflowPunct/>
        <w:topLinePunct w:val="0"/>
        <w:bidi w:val="0"/>
        <w:spacing w:line="560" w:lineRule="exact"/>
        <w:ind w:firstLine="1660" w:firstLineChars="519"/>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82" w:firstLineChars="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val="en-US" w:eastAsia="zh-CN"/>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以</w:t>
      </w:r>
      <w:r>
        <w:rPr>
          <w:rFonts w:hint="eastAsia" w:ascii="仿宋_GB2312" w:hAnsi="仿宋_GB2312" w:eastAsia="仿宋_GB2312" w:cs="仿宋_GB2312"/>
          <w:kern w:val="0"/>
          <w:sz w:val="32"/>
          <w:szCs w:val="32"/>
          <w:lang w:val="en-US" w:eastAsia="zh-CN"/>
        </w:rPr>
        <w:t>白塔早市升级改造</w:t>
      </w:r>
      <w:r>
        <w:rPr>
          <w:rFonts w:hint="eastAsia" w:ascii="仿宋_GB2312" w:hAnsi="仿宋_GB2312" w:eastAsia="仿宋_GB2312" w:cs="仿宋_GB2312"/>
          <w:kern w:val="0"/>
          <w:sz w:val="32"/>
          <w:szCs w:val="32"/>
        </w:rPr>
        <w:t>项目为例，该项目绩效评价综合得分为</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分，绩效评价结果为“优”。重点项目绩效评价得分情况详见部门（单位）具体绩效评价结果。</w:t>
      </w:r>
    </w:p>
    <w:p>
      <w:pPr>
        <w:spacing w:line="620" w:lineRule="exact"/>
        <w:ind w:firstLine="880"/>
        <w:jc w:val="center"/>
        <w:rPr>
          <w:rFonts w:ascii="方正小标宋简体" w:hAnsi="方正小标宋简体" w:eastAsia="方正小标宋简体" w:cs="方正小标宋简体"/>
          <w:sz w:val="44"/>
        </w:rPr>
      </w:pPr>
      <w:r>
        <w:rPr>
          <w:rFonts w:hint="eastAsia" w:ascii="方正小标宋简体" w:eastAsia="方正小标宋简体"/>
          <w:sz w:val="44"/>
          <w:szCs w:val="44"/>
        </w:rPr>
        <w:t>2023</w:t>
      </w:r>
      <w:r>
        <w:rPr>
          <w:rFonts w:ascii="方正小标宋简体" w:hAnsi="方正小标宋简体" w:eastAsia="方正小标宋简体" w:cs="方正小标宋简体"/>
          <w:sz w:val="44"/>
        </w:rPr>
        <w:t>年白塔早市升级改造工程款</w:t>
      </w:r>
    </w:p>
    <w:p>
      <w:pPr>
        <w:spacing w:line="620" w:lineRule="exact"/>
        <w:ind w:firstLine="880"/>
        <w:jc w:val="center"/>
        <w:rPr>
          <w:rFonts w:ascii="方正小标宋简体" w:eastAsia="方正小标宋简体"/>
          <w:sz w:val="44"/>
          <w:szCs w:val="44"/>
        </w:rPr>
      </w:pPr>
      <w:r>
        <w:rPr>
          <w:rFonts w:ascii="方正小标宋简体" w:hAnsi="方正小标宋简体" w:eastAsia="方正小标宋简体" w:cs="方正小标宋简体"/>
          <w:sz w:val="44"/>
        </w:rPr>
        <w:t>项目绩效自评报告</w:t>
      </w:r>
    </w:p>
    <w:p>
      <w:pPr>
        <w:numPr>
          <w:ilvl w:val="0"/>
          <w:numId w:val="0"/>
        </w:numPr>
        <w:spacing w:line="240" w:lineRule="auto"/>
        <w:ind w:left="210" w:leftChars="0" w:firstLine="642" w:firstLineChars="200"/>
        <w:jc w:val="left"/>
        <w:rPr>
          <w:rFonts w:ascii="仿宋" w:hAnsi="仿宋" w:eastAsia="仿宋"/>
          <w:b/>
          <w:sz w:val="32"/>
          <w:szCs w:val="32"/>
        </w:rPr>
      </w:pPr>
      <w:r>
        <w:rPr>
          <w:rFonts w:hint="eastAsia" w:ascii="仿宋" w:hAnsi="仿宋" w:eastAsia="仿宋"/>
          <w:b/>
          <w:sz w:val="32"/>
          <w:szCs w:val="32"/>
          <w:lang w:val="en-US" w:eastAsia="zh-CN"/>
        </w:rPr>
        <w:t>一、</w:t>
      </w:r>
      <w:r>
        <w:rPr>
          <w:rFonts w:hint="eastAsia" w:ascii="仿宋" w:hAnsi="仿宋" w:eastAsia="仿宋"/>
          <w:b/>
          <w:sz w:val="32"/>
          <w:szCs w:val="32"/>
        </w:rPr>
        <w:t>项目</w:t>
      </w:r>
      <w:r>
        <w:rPr>
          <w:rFonts w:hint="eastAsia" w:ascii="仿宋" w:hAnsi="仿宋" w:eastAsia="仿宋"/>
          <w:b/>
          <w:sz w:val="32"/>
          <w:szCs w:val="32"/>
          <w:lang w:val="en-US" w:eastAsia="zh-CN"/>
        </w:rPr>
        <w:t>基本</w:t>
      </w:r>
      <w:r>
        <w:rPr>
          <w:rFonts w:hint="eastAsia" w:ascii="仿宋" w:hAnsi="仿宋" w:eastAsia="仿宋"/>
          <w:b/>
          <w:sz w:val="32"/>
          <w:szCs w:val="32"/>
        </w:rPr>
        <w:t>情况</w:t>
      </w:r>
    </w:p>
    <w:p>
      <w:pPr>
        <w:spacing w:before="188" w:line="204" w:lineRule="auto"/>
        <w:ind w:firstLine="577"/>
        <w:rPr>
          <w:rFonts w:hint="eastAsia" w:ascii="楷体_GB2312" w:hAnsi="楷体_GB2312" w:eastAsia="楷体_GB2312" w:cs="楷体_GB2312"/>
          <w:b/>
          <w:sz w:val="32"/>
          <w:szCs w:val="32"/>
        </w:rPr>
      </w:pPr>
      <w:r>
        <w:rPr>
          <w:rFonts w:hint="eastAsia" w:ascii="楷体_GB2312" w:hAnsi="楷体_GB2312" w:eastAsia="楷体_GB2312" w:cs="楷体_GB2312"/>
          <w:spacing w:val="3"/>
          <w:sz w:val="32"/>
          <w:szCs w:val="32"/>
        </w:rPr>
        <w:t>（一）项目基本情况简介。</w:t>
      </w:r>
    </w:p>
    <w:p>
      <w:pPr>
        <w:spacing w:line="620" w:lineRule="exact"/>
        <w:ind w:firstLine="1056" w:firstLineChars="3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白塔早市升级改造工程。</w:t>
      </w:r>
    </w:p>
    <w:p>
      <w:pPr>
        <w:numPr>
          <w:ilvl w:val="0"/>
          <w:numId w:val="4"/>
        </w:numPr>
        <w:spacing w:before="188" w:line="204" w:lineRule="auto"/>
        <w:ind w:firstLine="577"/>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绩效目标设定及</w:t>
      </w:r>
      <w:r>
        <w:rPr>
          <w:rFonts w:hint="eastAsia" w:ascii="楷体_GB2312" w:hAnsi="楷体_GB2312" w:eastAsia="楷体_GB2312" w:cs="楷体_GB2312"/>
          <w:spacing w:val="8"/>
          <w:sz w:val="32"/>
          <w:szCs w:val="32"/>
          <w:lang w:val="en-US" w:eastAsia="zh-CN"/>
        </w:rPr>
        <w:t>指标</w:t>
      </w:r>
      <w:r>
        <w:rPr>
          <w:rFonts w:hint="eastAsia" w:ascii="楷体_GB2312" w:hAnsi="楷体_GB2312" w:eastAsia="楷体_GB2312" w:cs="楷体_GB2312"/>
          <w:spacing w:val="8"/>
          <w:sz w:val="32"/>
          <w:szCs w:val="32"/>
        </w:rPr>
        <w:t>完成情况。</w:t>
      </w:r>
    </w:p>
    <w:p>
      <w:pPr>
        <w:spacing w:line="620" w:lineRule="exact"/>
        <w:ind w:left="638" w:leftChars="304" w:firstLine="409" w:firstLineChars="128"/>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预期目标：</w:t>
      </w:r>
      <w:r>
        <w:rPr>
          <w:rFonts w:hint="eastAsia" w:ascii="仿宋_GB2312" w:hAnsi="仿宋_GB2312" w:eastAsia="仿宋_GB2312" w:cs="仿宋_GB2312"/>
          <w:sz w:val="32"/>
          <w:szCs w:val="32"/>
        </w:rPr>
        <w:t>根据旗委政府的工作安排，由我单位负责白塔早市升级改造工程，现已经基本完工，即将投入使用。</w:t>
      </w:r>
    </w:p>
    <w:p>
      <w:pPr>
        <w:spacing w:line="620" w:lineRule="exact"/>
        <w:ind w:firstLine="1056" w:firstLineChars="33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2"/>
          <w:szCs w:val="32"/>
          <w:lang w:val="en-US" w:eastAsia="zh-CN"/>
        </w:rPr>
        <w:t>绩效目标实际完成情况：</w:t>
      </w:r>
      <w:r>
        <w:rPr>
          <w:rFonts w:hint="eastAsia" w:ascii="仿宋_GB2312" w:hAnsi="仿宋_GB2312" w:eastAsia="仿宋_GB2312" w:cs="仿宋_GB2312"/>
          <w:sz w:val="32"/>
          <w:szCs w:val="32"/>
        </w:rPr>
        <w:t>绩效目标已按要求全部完成。</w:t>
      </w:r>
    </w:p>
    <w:p>
      <w:pPr>
        <w:spacing w:line="620" w:lineRule="exact"/>
        <w:ind w:firstLine="640"/>
        <w:rPr>
          <w:rFonts w:hint="eastAsia" w:ascii="仿宋"/>
          <w:sz w:val="32"/>
        </w:rPr>
      </w:pPr>
    </w:p>
    <w:p>
      <w:pPr>
        <w:numPr>
          <w:ilvl w:val="0"/>
          <w:numId w:val="0"/>
        </w:numPr>
        <w:spacing w:line="240" w:lineRule="auto"/>
        <w:ind w:left="210" w:leftChars="0" w:firstLine="642" w:firstLineChars="200"/>
        <w:rPr>
          <w:rFonts w:ascii="仿宋" w:hAnsi="仿宋" w:eastAsia="仿宋"/>
          <w:b/>
          <w:sz w:val="32"/>
          <w:szCs w:val="32"/>
        </w:rPr>
      </w:pPr>
      <w:r>
        <w:rPr>
          <w:rFonts w:hint="eastAsia" w:ascii="仿宋" w:hAnsi="仿宋" w:eastAsia="仿宋"/>
          <w:b/>
          <w:sz w:val="32"/>
          <w:szCs w:val="32"/>
          <w:lang w:val="en-US" w:eastAsia="zh-CN"/>
        </w:rPr>
        <w:t>二、绩效自评工作</w:t>
      </w:r>
      <w:r>
        <w:rPr>
          <w:rFonts w:hint="eastAsia" w:ascii="仿宋" w:hAnsi="仿宋" w:eastAsia="仿宋"/>
          <w:b/>
          <w:sz w:val="32"/>
          <w:szCs w:val="32"/>
        </w:rPr>
        <w:t>情况</w:t>
      </w:r>
    </w:p>
    <w:p>
      <w:pPr>
        <w:numPr>
          <w:ilvl w:val="0"/>
          <w:numId w:val="5"/>
        </w:numPr>
        <w:spacing w:before="188" w:line="204" w:lineRule="auto"/>
        <w:ind w:firstLine="577"/>
        <w:rPr>
          <w:rFonts w:ascii="仿宋" w:hAnsi="仿宋" w:eastAsia="仿宋" w:cs="仿宋"/>
          <w:spacing w:val="1"/>
          <w:sz w:val="30"/>
          <w:szCs w:val="30"/>
        </w:rPr>
      </w:pPr>
      <w:r>
        <w:rPr>
          <w:rFonts w:ascii="仿宋" w:hAnsi="仿宋" w:eastAsia="仿宋" w:cs="仿宋"/>
          <w:spacing w:val="1"/>
          <w:sz w:val="30"/>
          <w:szCs w:val="30"/>
        </w:rPr>
        <w:t>绩效自评目的。</w:t>
      </w:r>
    </w:p>
    <w:p>
      <w:pPr>
        <w:keepNext w:val="0"/>
        <w:keepLines w:val="0"/>
        <w:widowControl/>
        <w:suppressLineNumbers w:val="0"/>
        <w:ind w:firstLine="604" w:firstLineChars="200"/>
        <w:jc w:val="left"/>
        <w:rPr>
          <w:rFonts w:hint="default" w:ascii="仿宋" w:hAnsi="仿宋" w:eastAsia="仿宋" w:cs="仿宋"/>
          <w:spacing w:val="1"/>
          <w:sz w:val="30"/>
          <w:szCs w:val="30"/>
        </w:rPr>
      </w:pPr>
      <w:r>
        <w:rPr>
          <w:rFonts w:hint="default" w:ascii="仿宋" w:hAnsi="仿宋" w:eastAsia="仿宋" w:cs="仿宋"/>
          <w:spacing w:val="1"/>
          <w:sz w:val="30"/>
          <w:szCs w:val="30"/>
        </w:rPr>
        <w:t>1.通过开展部门整体支出绩效评价，促进部门从整体上提升预算管理工作水平，强化部门支出责任；</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2.规范资金管理，提高财政资金使用效益；保障部门更好地履行职责；为进一步提升绩效管理水平，强化支出责任；</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3.提高财政资金使用效益，运用科学，合理的评价方法对年初申报部门预算项目资金时明确的绩效目标完成情况进行客观，公正的评价。</w:t>
      </w:r>
    </w:p>
    <w:p>
      <w:pPr>
        <w:numPr>
          <w:ilvl w:val="0"/>
          <w:numId w:val="5"/>
        </w:numPr>
        <w:spacing w:before="189" w:line="204" w:lineRule="auto"/>
        <w:ind w:left="0" w:leftChars="0" w:firstLine="656" w:firstLineChars="200"/>
        <w:rPr>
          <w:rFonts w:hint="eastAsia" w:ascii="楷体_GB2312" w:hAnsi="楷体_GB2312" w:eastAsia="楷体_GB2312" w:cs="楷体_GB2312"/>
          <w:spacing w:val="4"/>
          <w:sz w:val="30"/>
          <w:szCs w:val="30"/>
        </w:rPr>
      </w:pPr>
      <w:r>
        <w:rPr>
          <w:rFonts w:hint="eastAsia" w:ascii="楷体_GB2312" w:hAnsi="楷体_GB2312" w:eastAsia="楷体_GB2312" w:cs="楷体_GB2312"/>
          <w:spacing w:val="4"/>
          <w:sz w:val="32"/>
          <w:szCs w:val="32"/>
        </w:rPr>
        <w:t>项目资金投入情况。</w:t>
      </w:r>
    </w:p>
    <w:p>
      <w:pPr>
        <w:keepNext w:val="0"/>
        <w:keepLines w:val="0"/>
        <w:pageBreakBefore w:val="0"/>
        <w:widowControl/>
        <w:kinsoku w:val="0"/>
        <w:wordWrap/>
        <w:overflowPunct/>
        <w:topLinePunct w:val="0"/>
        <w:autoSpaceDE w:val="0"/>
        <w:autoSpaceDN w:val="0"/>
        <w:bidi w:val="0"/>
        <w:adjustRightInd w:val="0"/>
        <w:snapToGrid w:val="0"/>
        <w:spacing w:before="189" w:line="312" w:lineRule="auto"/>
        <w:ind w:left="420" w:leftChars="0" w:firstLine="420" w:firstLineChars="0"/>
        <w:textAlignment w:val="baseline"/>
        <w:rPr>
          <w:rFonts w:hint="eastAsia" w:ascii="仿宋" w:hAnsi="仿宋" w:eastAsia="仿宋" w:cs="仿宋"/>
          <w:color w:val="auto"/>
          <w:spacing w:val="4"/>
          <w:sz w:val="30"/>
          <w:szCs w:val="30"/>
          <w:lang w:val="en-US" w:eastAsia="zh-CN"/>
        </w:rPr>
      </w:pPr>
      <w:r>
        <w:rPr>
          <w:rFonts w:hint="eastAsia" w:ascii="仿宋" w:hAnsi="仿宋" w:eastAsia="仿宋" w:cs="仿宋"/>
          <w:color w:val="auto"/>
          <w:spacing w:val="4"/>
          <w:sz w:val="30"/>
          <w:szCs w:val="30"/>
          <w:lang w:val="en-US" w:eastAsia="zh-CN"/>
        </w:rPr>
        <w:t>本年度资金年初预算数</w:t>
      </w:r>
      <w:r>
        <w:rPr>
          <w:rFonts w:ascii="仿宋" w:hAnsi="仿宋" w:eastAsia="仿宋" w:cs="仿宋"/>
          <w:color w:val="auto"/>
          <w:spacing w:val="4"/>
          <w:sz w:val="30"/>
        </w:rPr>
        <w:t>0.00万元，其中：财政拨款0.00万元，其他资金0.00万元。</w:t>
      </w:r>
    </w:p>
    <w:p>
      <w:pPr>
        <w:keepNext w:val="0"/>
        <w:keepLines w:val="0"/>
        <w:pageBreakBefore w:val="0"/>
        <w:widowControl/>
        <w:kinsoku w:val="0"/>
        <w:wordWrap/>
        <w:overflowPunct/>
        <w:topLinePunct w:val="0"/>
        <w:autoSpaceDE w:val="0"/>
        <w:autoSpaceDN w:val="0"/>
        <w:bidi w:val="0"/>
        <w:adjustRightInd w:val="0"/>
        <w:snapToGrid w:val="0"/>
        <w:spacing w:before="189" w:line="312" w:lineRule="auto"/>
        <w:ind w:left="420" w:leftChars="0" w:firstLine="420" w:firstLineChars="0"/>
        <w:textAlignment w:val="baseline"/>
        <w:rPr>
          <w:rFonts w:hint="default" w:ascii="仿宋" w:hAnsi="仿宋" w:eastAsia="仿宋" w:cs="仿宋"/>
          <w:color w:val="auto"/>
          <w:spacing w:val="4"/>
          <w:sz w:val="30"/>
          <w:szCs w:val="30"/>
          <w:lang w:val="en-US" w:eastAsia="zh-CN"/>
        </w:rPr>
      </w:pPr>
      <w:r>
        <w:rPr>
          <w:rFonts w:hint="eastAsia" w:ascii="仿宋" w:hAnsi="仿宋" w:eastAsia="仿宋" w:cs="仿宋"/>
          <w:color w:val="auto"/>
          <w:spacing w:val="4"/>
          <w:sz w:val="30"/>
          <w:szCs w:val="30"/>
          <w:lang w:val="en-US" w:eastAsia="zh-CN"/>
        </w:rPr>
        <w:t>本年度资金全年预算数</w:t>
      </w:r>
      <w:r>
        <w:rPr>
          <w:rFonts w:hint="eastAsia" w:ascii="仿宋" w:hAnsi="仿宋" w:eastAsia="仿宋" w:cs="仿宋"/>
          <w:color w:val="auto"/>
          <w:spacing w:val="4"/>
          <w:sz w:val="30"/>
          <w:lang w:val="en-US" w:eastAsia="zh-CN"/>
        </w:rPr>
        <w:t>150</w:t>
      </w:r>
      <w:r>
        <w:rPr>
          <w:rFonts w:ascii="仿宋" w:hAnsi="仿宋" w:eastAsia="仿宋" w:cs="仿宋"/>
          <w:color w:val="auto"/>
          <w:spacing w:val="4"/>
          <w:sz w:val="30"/>
        </w:rPr>
        <w:t>.00万元，其中：财政拨款</w:t>
      </w:r>
      <w:r>
        <w:rPr>
          <w:rFonts w:hint="eastAsia" w:ascii="仿宋" w:hAnsi="仿宋" w:eastAsia="仿宋" w:cs="仿宋"/>
          <w:color w:val="auto"/>
          <w:spacing w:val="4"/>
          <w:sz w:val="30"/>
          <w:lang w:val="en-US" w:eastAsia="zh-CN"/>
        </w:rPr>
        <w:t>150</w:t>
      </w:r>
      <w:r>
        <w:rPr>
          <w:rFonts w:ascii="仿宋" w:hAnsi="仿宋" w:eastAsia="仿宋" w:cs="仿宋"/>
          <w:color w:val="auto"/>
          <w:spacing w:val="4"/>
          <w:sz w:val="30"/>
        </w:rPr>
        <w:t>.00万元，其他资金0.00万元。</w:t>
      </w:r>
    </w:p>
    <w:p>
      <w:pPr>
        <w:numPr>
          <w:ilvl w:val="0"/>
          <w:numId w:val="0"/>
        </w:numPr>
        <w:spacing w:before="189" w:line="204" w:lineRule="auto"/>
        <w:ind w:leftChars="200"/>
        <w:rPr>
          <w:rFonts w:ascii="仿宋" w:hAnsi="仿宋" w:eastAsia="仿宋" w:cs="仿宋"/>
          <w:spacing w:val="4"/>
          <w:sz w:val="30"/>
          <w:szCs w:val="30"/>
        </w:rPr>
      </w:pPr>
      <w:r>
        <w:rPr>
          <w:rFonts w:hint="eastAsia" w:ascii="仿宋" w:hAnsi="仿宋" w:eastAsia="仿宋" w:cs="仿宋"/>
          <w:color w:val="auto"/>
          <w:spacing w:val="4"/>
          <w:sz w:val="30"/>
          <w:szCs w:val="30"/>
          <w:lang w:val="en-US" w:eastAsia="zh-CN"/>
        </w:rPr>
        <w:t>本年度资金全年执行数</w:t>
      </w:r>
      <w:r>
        <w:rPr>
          <w:rFonts w:hint="eastAsia" w:ascii="仿宋" w:hAnsi="仿宋" w:eastAsia="仿宋" w:cs="仿宋"/>
          <w:color w:val="auto"/>
          <w:spacing w:val="4"/>
          <w:sz w:val="30"/>
          <w:lang w:val="en-US" w:eastAsia="zh-CN"/>
        </w:rPr>
        <w:t>150</w:t>
      </w:r>
      <w:r>
        <w:rPr>
          <w:rFonts w:ascii="仿宋" w:hAnsi="仿宋" w:eastAsia="仿宋" w:cs="仿宋"/>
          <w:color w:val="auto"/>
          <w:spacing w:val="4"/>
          <w:sz w:val="30"/>
        </w:rPr>
        <w:t>.00万元，其中：财政拨款</w:t>
      </w:r>
      <w:r>
        <w:rPr>
          <w:rFonts w:hint="eastAsia" w:ascii="仿宋" w:hAnsi="仿宋" w:eastAsia="仿宋" w:cs="仿宋"/>
          <w:color w:val="auto"/>
          <w:spacing w:val="4"/>
          <w:sz w:val="30"/>
          <w:lang w:val="en-US" w:eastAsia="zh-CN"/>
        </w:rPr>
        <w:t>150</w:t>
      </w:r>
      <w:r>
        <w:rPr>
          <w:rFonts w:ascii="仿宋" w:hAnsi="仿宋" w:eastAsia="仿宋" w:cs="仿宋"/>
          <w:color w:val="auto"/>
          <w:spacing w:val="4"/>
          <w:sz w:val="30"/>
        </w:rPr>
        <w:t>.00万元，其他资金0.00万元。</w:t>
      </w:r>
    </w:p>
    <w:p>
      <w:pPr>
        <w:numPr>
          <w:ilvl w:val="0"/>
          <w:numId w:val="5"/>
        </w:numPr>
        <w:spacing w:before="188" w:line="204" w:lineRule="auto"/>
        <w:ind w:left="0" w:leftChars="0" w:firstLine="656" w:firstLineChars="200"/>
        <w:rPr>
          <w:rFonts w:hint="eastAsia" w:ascii="楷体_GB2312" w:hAnsi="楷体_GB2312" w:eastAsia="楷体_GB2312" w:cs="楷体_GB2312"/>
          <w:spacing w:val="4"/>
          <w:sz w:val="32"/>
          <w:szCs w:val="32"/>
        </w:rPr>
      </w:pPr>
      <w:r>
        <w:rPr>
          <w:rFonts w:hint="eastAsia" w:ascii="楷体_GB2312" w:hAnsi="楷体_GB2312" w:eastAsia="楷体_GB2312" w:cs="楷体_GB2312"/>
          <w:spacing w:val="4"/>
          <w:sz w:val="32"/>
          <w:szCs w:val="32"/>
        </w:rPr>
        <w:t>项目资金产出情况。</w:t>
      </w:r>
    </w:p>
    <w:p>
      <w:pPr>
        <w:keepNext w:val="0"/>
        <w:keepLines w:val="0"/>
        <w:widowControl/>
        <w:suppressLineNumbers w:val="0"/>
        <w:ind w:firstLine="604" w:firstLineChars="200"/>
        <w:jc w:val="left"/>
        <w:rPr>
          <w:rFonts w:ascii="仿宋" w:hAnsi="仿宋" w:eastAsia="仿宋" w:cs="仿宋"/>
          <w:spacing w:val="4"/>
          <w:sz w:val="30"/>
          <w:szCs w:val="30"/>
        </w:rPr>
      </w:pPr>
      <w:r>
        <w:rPr>
          <w:rFonts w:hint="default" w:ascii="仿宋" w:hAnsi="仿宋" w:eastAsia="仿宋" w:cs="仿宋"/>
          <w:spacing w:val="1"/>
          <w:sz w:val="30"/>
          <w:szCs w:val="30"/>
        </w:rPr>
        <w:t>2023年根据达拉特旗政府的工作安排，我单位对树林召镇的白塔早市进行了升级改造，对早市的300多摊位进行了升级，早市改造后极大</w:t>
      </w:r>
      <w:r>
        <w:rPr>
          <w:rFonts w:hint="eastAsia" w:ascii="仿宋" w:hAnsi="仿宋" w:eastAsia="仿宋" w:cs="仿宋"/>
          <w:spacing w:val="1"/>
          <w:sz w:val="30"/>
          <w:szCs w:val="30"/>
          <w:lang w:eastAsia="zh-CN"/>
        </w:rPr>
        <w:t>地</w:t>
      </w:r>
      <w:r>
        <w:rPr>
          <w:rFonts w:hint="default" w:ascii="仿宋" w:hAnsi="仿宋" w:eastAsia="仿宋" w:cs="仿宋"/>
          <w:spacing w:val="1"/>
          <w:sz w:val="30"/>
          <w:szCs w:val="30"/>
        </w:rPr>
        <w:t>改善了白塔早市商贩的营业环境，使白塔早市的小商贩们每人都有自己的铺面，同时他们也不再风吹日晒，也更加方便了居民的日常购物需求，为广大居民创造了良好的购物环境，受到了广大居民的</w:t>
      </w:r>
      <w:r>
        <w:rPr>
          <w:rFonts w:hint="eastAsia" w:ascii="仿宋" w:hAnsi="仿宋" w:eastAsia="仿宋" w:cs="仿宋"/>
          <w:spacing w:val="1"/>
          <w:sz w:val="30"/>
          <w:szCs w:val="30"/>
          <w:lang w:eastAsia="zh-CN"/>
        </w:rPr>
        <w:t>一致</w:t>
      </w:r>
      <w:r>
        <w:rPr>
          <w:rFonts w:hint="default" w:ascii="仿宋" w:hAnsi="仿宋" w:eastAsia="仿宋" w:cs="仿宋"/>
          <w:spacing w:val="1"/>
          <w:sz w:val="30"/>
          <w:szCs w:val="30"/>
        </w:rPr>
        <w:t>好评。</w:t>
      </w:r>
    </w:p>
    <w:p>
      <w:pPr>
        <w:numPr>
          <w:ilvl w:val="0"/>
          <w:numId w:val="5"/>
        </w:numPr>
        <w:spacing w:before="189" w:line="204" w:lineRule="auto"/>
        <w:ind w:left="0" w:leftChars="0" w:firstLine="648" w:firstLineChars="200"/>
        <w:rPr>
          <w:rFonts w:hint="eastAsia" w:ascii="楷体_GB2312" w:hAnsi="楷体_GB2312" w:eastAsia="楷体_GB2312" w:cs="楷体_GB2312"/>
          <w:spacing w:val="2"/>
          <w:sz w:val="32"/>
          <w:szCs w:val="32"/>
        </w:rPr>
      </w:pPr>
      <w:r>
        <w:rPr>
          <w:rFonts w:hint="eastAsia" w:ascii="楷体_GB2312" w:hAnsi="楷体_GB2312" w:eastAsia="楷体_GB2312" w:cs="楷体_GB2312"/>
          <w:spacing w:val="2"/>
          <w:sz w:val="32"/>
          <w:szCs w:val="32"/>
        </w:rPr>
        <w:t>项目资金管理情况。</w:t>
      </w:r>
    </w:p>
    <w:p>
      <w:pPr>
        <w:keepNext w:val="0"/>
        <w:keepLines w:val="0"/>
        <w:widowControl/>
        <w:suppressLineNumbers w:val="0"/>
        <w:ind w:firstLine="604" w:firstLineChars="200"/>
        <w:jc w:val="left"/>
        <w:rPr>
          <w:rFonts w:hint="default" w:ascii="仿宋" w:hAnsi="仿宋" w:eastAsia="仿宋" w:cs="仿宋"/>
          <w:spacing w:val="1"/>
          <w:sz w:val="30"/>
          <w:szCs w:val="30"/>
        </w:rPr>
      </w:pPr>
      <w:r>
        <w:rPr>
          <w:rFonts w:hint="default" w:ascii="仿宋" w:hAnsi="仿宋" w:eastAsia="仿宋" w:cs="仿宋"/>
          <w:spacing w:val="1"/>
          <w:sz w:val="30"/>
          <w:szCs w:val="30"/>
        </w:rPr>
        <w:t>本项目支出符合相关财政管理制度，包括会计人员集</w:t>
      </w:r>
      <w:bookmarkStart w:id="1" w:name="_GoBack"/>
      <w:bookmarkEnd w:id="1"/>
      <w:r>
        <w:rPr>
          <w:rFonts w:hint="default" w:ascii="仿宋" w:hAnsi="仿宋" w:eastAsia="仿宋" w:cs="仿宋"/>
          <w:spacing w:val="1"/>
          <w:sz w:val="30"/>
          <w:szCs w:val="30"/>
        </w:rPr>
        <w:t>中核算工作管理制度、财务收支审批制度、财务稽核制度、财务牵制制度等制度规定。资金的拨付有完整的审批程序和手续，不存在截留、挤占、挪用等情况。做到立项有据，合理安排资金，规范使用经费，提高业务费的使用率。严格按照财政项目资金绩效评价有关文件精神进行资金使用及绩效考核，根据工作实际制定的专项资金。为进一步加强财务管理，项目严格按照相关规定要求进行，对资金的使用、运转进度有专人不定期的进行跟踪监督，确保资金使用安全规范。</w:t>
      </w:r>
    </w:p>
    <w:p>
      <w:pPr>
        <w:numPr>
          <w:ilvl w:val="0"/>
          <w:numId w:val="0"/>
        </w:numPr>
        <w:spacing w:line="240" w:lineRule="auto"/>
        <w:ind w:leftChars="0" w:firstLine="963" w:firstLineChars="300"/>
        <w:rPr>
          <w:rFonts w:hint="eastAsia" w:ascii="黑体" w:hAnsi="黑体" w:eastAsia="黑体" w:cs="黑体"/>
          <w:b/>
          <w:bCs w:val="0"/>
          <w:sz w:val="32"/>
          <w:szCs w:val="32"/>
        </w:rPr>
      </w:pPr>
      <w:r>
        <w:rPr>
          <w:rFonts w:hint="eastAsia" w:ascii="仿宋_GB2312" w:hAnsi="仿宋_GB2312" w:eastAsia="仿宋_GB2312" w:cs="仿宋_GB2312"/>
          <w:b/>
          <w:bCs w:val="0"/>
          <w:sz w:val="32"/>
          <w:szCs w:val="32"/>
          <w:lang w:val="en-US" w:eastAsia="zh-CN"/>
        </w:rPr>
        <w:t>三、项目绩效情况</w:t>
      </w:r>
    </w:p>
    <w:p>
      <w:pPr>
        <w:spacing w:line="620" w:lineRule="exact"/>
        <w:ind w:left="420" w:leftChars="20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rPr>
        <w:t>(一) 产出指标完成情况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1、数量指标</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1)白塔早市升级改造摊位，目标值</w:t>
      </w:r>
      <w:r>
        <w:rPr>
          <w:rFonts w:hint="eastAsia" w:ascii="仿宋" w:hAnsi="仿宋" w:eastAsia="仿宋"/>
          <w:sz w:val="32"/>
          <w:szCs w:val="32"/>
          <w:lang w:val="en-US" w:eastAsia="zh-CN"/>
        </w:rPr>
        <w:t>等于</w:t>
      </w:r>
      <w:r>
        <w:rPr>
          <w:rFonts w:hint="eastAsia" w:ascii="仿宋" w:hAnsi="仿宋" w:eastAsia="仿宋"/>
          <w:sz w:val="32"/>
          <w:szCs w:val="32"/>
        </w:rPr>
        <w:t>100</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100个，分值10，得分10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2)白塔早市，目标值</w:t>
      </w:r>
      <w:r>
        <w:rPr>
          <w:rFonts w:hint="eastAsia" w:ascii="仿宋" w:hAnsi="仿宋" w:eastAsia="仿宋"/>
          <w:sz w:val="32"/>
          <w:szCs w:val="32"/>
          <w:lang w:val="en-US" w:eastAsia="zh-CN"/>
        </w:rPr>
        <w:t>等于</w:t>
      </w:r>
      <w:r>
        <w:rPr>
          <w:rFonts w:hint="eastAsia" w:ascii="仿宋" w:hAnsi="仿宋" w:eastAsia="仿宋"/>
          <w:sz w:val="32"/>
          <w:szCs w:val="32"/>
        </w:rPr>
        <w:t>100</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100个，分值5，得分5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2、质量指标</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3)白塔早市升级改造工程质量，目标值</w:t>
      </w:r>
      <w:r>
        <w:rPr>
          <w:rFonts w:hint="eastAsia" w:ascii="仿宋" w:hAnsi="仿宋" w:eastAsia="仿宋"/>
          <w:sz w:val="32"/>
          <w:szCs w:val="32"/>
          <w:lang w:val="en-US" w:eastAsia="zh-CN"/>
        </w:rPr>
        <w:t>等于</w:t>
      </w:r>
      <w:r>
        <w:rPr>
          <w:rFonts w:hint="eastAsia" w:ascii="仿宋" w:hAnsi="仿宋" w:eastAsia="仿宋"/>
          <w:sz w:val="32"/>
          <w:szCs w:val="32"/>
        </w:rPr>
        <w:t>100</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100个，分值10，得分10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4)白塔早市升级改造项目，目标值</w:t>
      </w:r>
      <w:r>
        <w:rPr>
          <w:rFonts w:hint="eastAsia" w:ascii="仿宋" w:hAnsi="仿宋" w:eastAsia="仿宋"/>
          <w:sz w:val="32"/>
          <w:szCs w:val="32"/>
          <w:lang w:val="en-US" w:eastAsia="zh-CN"/>
        </w:rPr>
        <w:t>等于</w:t>
      </w:r>
      <w:r>
        <w:rPr>
          <w:rFonts w:hint="eastAsia" w:ascii="仿宋" w:hAnsi="仿宋" w:eastAsia="仿宋"/>
          <w:sz w:val="32"/>
          <w:szCs w:val="32"/>
        </w:rPr>
        <w:t>100</w:t>
      </w:r>
      <w:r>
        <w:rPr>
          <w:rFonts w:ascii="仿宋" w:hAnsi="仿宋" w:eastAsia="仿宋" w:cs="仿宋"/>
          <w:sz w:val="32"/>
        </w:rPr>
        <w:t>个，</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100个，分值5，得分5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3、时效指标</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5)按时完成，目标值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6)按时推进，目标值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4、成本指标</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7)材料成本，目标值</w:t>
      </w:r>
      <w:r>
        <w:rPr>
          <w:rFonts w:hint="eastAsia" w:ascii="仿宋" w:hAnsi="仿宋" w:eastAsia="仿宋"/>
          <w:sz w:val="32"/>
          <w:szCs w:val="32"/>
          <w:lang w:val="en-US" w:eastAsia="zh-CN"/>
        </w:rPr>
        <w:t>小于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8)人工成本，目标值</w:t>
      </w:r>
      <w:r>
        <w:rPr>
          <w:rFonts w:hint="eastAsia" w:ascii="仿宋" w:hAnsi="仿宋" w:eastAsia="仿宋"/>
          <w:sz w:val="32"/>
          <w:szCs w:val="32"/>
          <w:lang w:val="en-US" w:eastAsia="zh-CN"/>
        </w:rPr>
        <w:t>小于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hint="eastAsia" w:ascii="楷体_GB2312" w:hAnsi="楷体_GB2312" w:eastAsia="楷体_GB2312" w:cs="楷体_GB2312"/>
          <w:sz w:val="32"/>
          <w:szCs w:val="32"/>
        </w:rPr>
      </w:pPr>
      <w:r>
        <w:rPr>
          <w:rFonts w:hint="eastAsia" w:ascii="楷体_GB2312" w:hAnsi="楷体_GB2312" w:eastAsia="楷体_GB2312" w:cs="楷体_GB2312"/>
          <w:sz w:val="32"/>
        </w:rPr>
        <w:t>(二) 效益指标完成情况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5、经济效益</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9)增加群众收入，目标值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98无，分值10，得分10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6、社会效益</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10)增加社会效益，目标值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98无，分值10，得分10</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7、生态效益</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11)提升生态环境，目标值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8、可持续影响</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12)持续提升，目标值</w:t>
      </w:r>
      <w:r>
        <w:rPr>
          <w:rFonts w:hint="eastAsia" w:ascii="仿宋" w:hAnsi="仿宋" w:eastAsia="仿宋"/>
          <w:sz w:val="32"/>
          <w:szCs w:val="32"/>
          <w:lang w:val="en-US" w:eastAsia="zh-CN"/>
        </w:rPr>
        <w:t>等于</w:t>
      </w:r>
      <w:r>
        <w:rPr>
          <w:rFonts w:hint="eastAsia" w:ascii="仿宋" w:hAnsi="仿宋" w:eastAsia="仿宋"/>
          <w:sz w:val="32"/>
          <w:szCs w:val="32"/>
        </w:rPr>
        <w:t>98</w:t>
      </w:r>
      <w:r>
        <w:rPr>
          <w:rFonts w:ascii="仿宋" w:hAnsi="仿宋" w:eastAsia="仿宋" w:cs="仿宋"/>
          <w:sz w:val="32"/>
        </w:rPr>
        <w:t>无，</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98无，分值5，得分5</w:t>
      </w:r>
      <w:r>
        <w:rPr>
          <w:rFonts w:hint="eastAsia" w:ascii="仿宋" w:hAnsi="仿宋" w:eastAsia="仿宋"/>
          <w:sz w:val="32"/>
          <w:szCs w:val="32"/>
        </w:rPr>
        <w:t>。</w:t>
      </w:r>
    </w:p>
    <w:p>
      <w:pPr>
        <w:spacing w:line="620" w:lineRule="exact"/>
        <w:ind w:left="420" w:leftChars="200" w:firstLine="0" w:firstLineChars="0"/>
        <w:rPr>
          <w:rFonts w:hint="eastAsia" w:ascii="楷体_GB2312" w:hAnsi="楷体_GB2312" w:eastAsia="楷体_GB2312" w:cs="楷体_GB2312"/>
          <w:sz w:val="32"/>
          <w:szCs w:val="32"/>
        </w:rPr>
      </w:pPr>
      <w:r>
        <w:rPr>
          <w:rFonts w:hint="eastAsia" w:ascii="楷体_GB2312" w:hAnsi="楷体_GB2312" w:eastAsia="楷体_GB2312" w:cs="楷体_GB2312"/>
          <w:sz w:val="32"/>
        </w:rPr>
        <w:t>(三) 满意度指标完成情况</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9、服务对象满意度</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13)居民满意，目标值</w:t>
      </w:r>
      <w:r>
        <w:rPr>
          <w:rFonts w:hint="eastAsia" w:ascii="仿宋" w:hAnsi="仿宋" w:eastAsia="仿宋"/>
          <w:sz w:val="32"/>
          <w:szCs w:val="32"/>
          <w:lang w:val="en-US" w:eastAsia="zh-CN"/>
        </w:rPr>
        <w:t>大于等于</w:t>
      </w:r>
      <w:r>
        <w:rPr>
          <w:rFonts w:hint="eastAsia" w:ascii="仿宋" w:hAnsi="仿宋" w:eastAsia="仿宋"/>
          <w:sz w:val="32"/>
          <w:szCs w:val="32"/>
        </w:rPr>
        <w:t>95</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95%，分值5，得分5</w:t>
      </w:r>
      <w:r>
        <w:rPr>
          <w:rFonts w:hint="eastAsia" w:ascii="仿宋" w:hAnsi="仿宋" w:eastAsia="仿宋"/>
          <w:sz w:val="32"/>
          <w:szCs w:val="32"/>
        </w:rPr>
        <w:t>。</w:t>
      </w:r>
    </w:p>
    <w:p>
      <w:pPr>
        <w:spacing w:line="620" w:lineRule="exact"/>
        <w:ind w:left="420" w:leftChars="200" w:firstLine="0" w:firstLineChars="0"/>
        <w:rPr>
          <w:rFonts w:ascii="仿宋" w:hAnsi="仿宋" w:eastAsia="仿宋"/>
          <w:sz w:val="32"/>
          <w:szCs w:val="32"/>
        </w:rPr>
      </w:pPr>
      <w:r>
        <w:rPr>
          <w:rFonts w:ascii="仿宋" w:hAnsi="仿宋" w:eastAsia="仿宋" w:cs="仿宋"/>
          <w:sz w:val="32"/>
        </w:rPr>
        <w:t>14)单位满意，目标值</w:t>
      </w:r>
      <w:r>
        <w:rPr>
          <w:rFonts w:hint="eastAsia" w:ascii="仿宋" w:hAnsi="仿宋" w:eastAsia="仿宋"/>
          <w:sz w:val="32"/>
          <w:szCs w:val="32"/>
          <w:lang w:val="en-US" w:eastAsia="zh-CN"/>
        </w:rPr>
        <w:t>大于等于</w:t>
      </w:r>
      <w:r>
        <w:rPr>
          <w:rFonts w:hint="eastAsia" w:ascii="仿宋" w:hAnsi="仿宋" w:eastAsia="仿宋"/>
          <w:sz w:val="32"/>
          <w:szCs w:val="32"/>
        </w:rPr>
        <w:t>95</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95%，分值5，得分5</w:t>
      </w:r>
      <w:r>
        <w:rPr>
          <w:rFonts w:hint="eastAsia" w:ascii="仿宋" w:hAnsi="仿宋" w:eastAsia="仿宋"/>
          <w:sz w:val="32"/>
          <w:szCs w:val="32"/>
        </w:rPr>
        <w:t>。</w:t>
      </w:r>
    </w:p>
    <w:p>
      <w:pPr>
        <w:spacing w:line="620" w:lineRule="exact"/>
        <w:ind w:left="420" w:leftChars="20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自评得分情况</w:t>
      </w:r>
    </w:p>
    <w:p>
      <w:pPr>
        <w:spacing w:line="620" w:lineRule="exact"/>
        <w:ind w:firstLine="640" w:firstLineChars="200"/>
        <w:rPr>
          <w:rFonts w:hint="eastAsia" w:ascii="仿宋" w:hAnsi="仿宋" w:eastAsia="仿宋_GB2312"/>
          <w:sz w:val="32"/>
          <w:szCs w:val="32"/>
          <w:lang w:eastAsia="zh-CN"/>
        </w:rPr>
      </w:pPr>
      <w:r>
        <w:rPr>
          <w:rFonts w:hint="eastAsia" w:ascii="仿宋_GB2312" w:hAnsi="仿宋_GB2312" w:eastAsia="仿宋_GB2312"/>
          <w:sz w:val="32"/>
          <w:szCs w:val="32"/>
        </w:rPr>
        <w:t>本项目绩效自评得分</w:t>
      </w:r>
      <w:r>
        <w:rPr>
          <w:rFonts w:ascii="仿宋_GB2312" w:hAnsi="仿宋_GB2312" w:eastAsia="仿宋_GB2312" w:cs="仿宋_GB2312"/>
          <w:sz w:val="32"/>
        </w:rPr>
        <w:t>100分，等级为A</w:t>
      </w:r>
      <w:r>
        <w:rPr>
          <w:rFonts w:hint="eastAsia" w:ascii="仿宋_GB2312" w:hAnsi="仿宋_GB2312" w:eastAsia="仿宋_GB2312"/>
          <w:sz w:val="32"/>
          <w:szCs w:val="32"/>
          <w:lang w:eastAsia="zh-CN"/>
        </w:rPr>
        <w:t>。</w:t>
      </w:r>
    </w:p>
    <w:p>
      <w:pPr>
        <w:numPr>
          <w:ilvl w:val="0"/>
          <w:numId w:val="0"/>
        </w:numPr>
        <w:spacing w:line="240" w:lineRule="auto"/>
        <w:ind w:leftChars="0" w:firstLine="642" w:firstLineChars="200"/>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四、</w:t>
      </w:r>
      <w:r>
        <w:rPr>
          <w:rFonts w:hint="eastAsia" w:ascii="仿宋_GB2312" w:hAnsi="仿宋_GB2312" w:eastAsia="仿宋_GB2312" w:cs="仿宋_GB2312"/>
          <w:b/>
          <w:bCs w:val="0"/>
          <w:sz w:val="32"/>
          <w:szCs w:val="32"/>
        </w:rPr>
        <w:t>存在</w:t>
      </w:r>
      <w:r>
        <w:rPr>
          <w:rFonts w:hint="eastAsia" w:ascii="仿宋_GB2312" w:hAnsi="仿宋_GB2312" w:eastAsia="仿宋_GB2312" w:cs="仿宋_GB2312"/>
          <w:b/>
          <w:bCs w:val="0"/>
          <w:sz w:val="32"/>
          <w:szCs w:val="32"/>
          <w:lang w:val="en-US" w:eastAsia="zh-CN"/>
        </w:rPr>
        <w:t>问题</w:t>
      </w:r>
    </w:p>
    <w:p>
      <w:pPr>
        <w:numPr>
          <w:ilvl w:val="0"/>
          <w:numId w:val="6"/>
        </w:numPr>
        <w:spacing w:line="240" w:lineRule="auto"/>
        <w:ind w:left="240" w:leftChars="0" w:firstLine="0" w:firstLineChars="0"/>
        <w:rPr>
          <w:rFonts w:ascii="仿宋" w:hAnsi="仿宋" w:eastAsia="仿宋"/>
          <w:b w:val="0"/>
          <w:bCs/>
          <w:sz w:val="32"/>
          <w:szCs w:val="32"/>
        </w:rPr>
      </w:pPr>
      <w:r>
        <w:rPr>
          <w:rFonts w:hint="eastAsia" w:ascii="仿宋" w:hAnsi="仿宋" w:eastAsia="仿宋"/>
          <w:b w:val="0"/>
          <w:bCs/>
          <w:sz w:val="32"/>
          <w:szCs w:val="32"/>
          <w:lang w:val="en-US" w:eastAsia="zh-CN"/>
        </w:rPr>
        <w:t>项目立项、实施存在问题。</w:t>
      </w:r>
    </w:p>
    <w:p>
      <w:pPr>
        <w:numPr>
          <w:ilvl w:val="0"/>
          <w:numId w:val="6"/>
        </w:numPr>
        <w:spacing w:line="240" w:lineRule="auto"/>
        <w:ind w:left="240" w:leftChars="0" w:firstLine="0" w:firstLineChars="0"/>
        <w:rPr>
          <w:rFonts w:ascii="仿宋" w:hAnsi="仿宋" w:eastAsia="仿宋"/>
          <w:b w:val="0"/>
          <w:bCs/>
          <w:sz w:val="32"/>
          <w:szCs w:val="32"/>
        </w:rPr>
      </w:pPr>
      <w:r>
        <w:rPr>
          <w:rFonts w:hint="eastAsia" w:ascii="仿宋" w:hAnsi="仿宋" w:eastAsia="仿宋"/>
          <w:b w:val="0"/>
          <w:bCs/>
          <w:sz w:val="32"/>
          <w:szCs w:val="32"/>
          <w:lang w:val="en-US" w:eastAsia="zh-CN"/>
        </w:rPr>
        <w:t>资金管理使用存在问题</w:t>
      </w:r>
    </w:p>
    <w:p>
      <w:pPr>
        <w:spacing w:line="240" w:lineRule="auto"/>
        <w:ind w:left="420" w:firstLine="420" w:firstLineChars="0"/>
        <w:rPr>
          <w:rFonts w:ascii="仿宋" w:hAnsi="仿宋" w:eastAsia="仿宋"/>
          <w:b/>
          <w:sz w:val="32"/>
          <w:szCs w:val="32"/>
        </w:rPr>
      </w:pPr>
    </w:p>
    <w:p>
      <w:pPr>
        <w:spacing w:line="240" w:lineRule="auto"/>
        <w:ind w:firstLine="642" w:firstLineChars="200"/>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rPr>
        <w:t>五、其他需要说明的</w:t>
      </w:r>
      <w:r>
        <w:rPr>
          <w:rFonts w:hint="eastAsia" w:ascii="仿宋_GB2312" w:hAnsi="仿宋_GB2312" w:eastAsia="仿宋_GB2312" w:cs="仿宋_GB2312"/>
          <w:b/>
          <w:bCs w:val="0"/>
          <w:sz w:val="32"/>
          <w:szCs w:val="32"/>
          <w:lang w:val="en-US" w:eastAsia="zh-CN"/>
        </w:rPr>
        <w:t>问题</w:t>
      </w:r>
    </w:p>
    <w:p>
      <w:pPr>
        <w:spacing w:before="188" w:line="204" w:lineRule="auto"/>
        <w:ind w:firstLine="577"/>
        <w:rPr>
          <w:rFonts w:ascii="仿宋" w:hAnsi="仿宋" w:eastAsia="仿宋" w:cs="仿宋"/>
          <w:sz w:val="30"/>
          <w:szCs w:val="30"/>
        </w:rPr>
      </w:pPr>
      <w:r>
        <w:rPr>
          <w:rFonts w:ascii="仿宋" w:hAnsi="仿宋" w:eastAsia="仿宋" w:cs="仿宋"/>
          <w:sz w:val="30"/>
          <w:szCs w:val="30"/>
        </w:rPr>
        <w:t>（一）后续工作计划。</w:t>
      </w:r>
    </w:p>
    <w:p>
      <w:pPr>
        <w:keepNext w:val="0"/>
        <w:keepLines w:val="0"/>
        <w:widowControl/>
        <w:suppressLineNumbers w:val="0"/>
        <w:ind w:firstLine="604" w:firstLineChars="200"/>
        <w:jc w:val="left"/>
        <w:rPr>
          <w:rFonts w:ascii="仿宋" w:hAnsi="仿宋" w:eastAsia="仿宋" w:cs="仿宋"/>
          <w:sz w:val="30"/>
          <w:szCs w:val="30"/>
        </w:rPr>
      </w:pPr>
      <w:r>
        <w:rPr>
          <w:rFonts w:hint="default" w:ascii="仿宋" w:hAnsi="仿宋" w:eastAsia="仿宋" w:cs="仿宋"/>
          <w:spacing w:val="1"/>
          <w:sz w:val="30"/>
          <w:szCs w:val="30"/>
        </w:rPr>
        <w:t>1.将绩效评价有效作为项目的重要组成部分，进行申报、监控、自评等系列程序。通过自评得分对项目决策提供科学有效地信息，切实提升决策能力。今后，我单位按相关政策及规定，将进一步加强绩效管理工作，加强项目资金的使用管理，确保各项目达到预期目标。</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2.完善项目管理制度，签订责任书，强化制度管理压实管理责任，做到事事有人管，分分有着实。保证经费项目规范运行，提高资金使用绩效。</w:t>
      </w:r>
    </w:p>
    <w:p>
      <w:pPr>
        <w:spacing w:before="189" w:line="204" w:lineRule="auto"/>
        <w:ind w:firstLine="577"/>
        <w:rPr>
          <w:rFonts w:ascii="仿宋" w:hAnsi="仿宋" w:eastAsia="仿宋" w:cs="仿宋"/>
          <w:spacing w:val="-1"/>
          <w:sz w:val="30"/>
          <w:szCs w:val="30"/>
        </w:rPr>
      </w:pPr>
      <w:r>
        <w:rPr>
          <w:rFonts w:ascii="仿宋" w:hAnsi="仿宋" w:eastAsia="仿宋" w:cs="仿宋"/>
          <w:spacing w:val="-1"/>
          <w:sz w:val="30"/>
          <w:szCs w:val="30"/>
        </w:rPr>
        <w:t>（二）措施及办法。</w:t>
      </w:r>
    </w:p>
    <w:p>
      <w:pPr>
        <w:spacing w:line="620" w:lineRule="exact"/>
        <w:ind w:firstLine="1500" w:firstLineChars="500"/>
        <w:rPr>
          <w:rFonts w:hint="eastAsia" w:ascii="仿宋" w:hAnsi="仿宋" w:eastAsia="仿宋"/>
          <w:b w:val="0"/>
          <w:bCs/>
          <w:sz w:val="32"/>
          <w:szCs w:val="32"/>
          <w:lang w:val="en-US" w:eastAsia="zh-CN"/>
        </w:rPr>
      </w:pPr>
      <w:r>
        <w:rPr>
          <w:rFonts w:hint="eastAsia" w:ascii="仿宋" w:hAnsi="仿宋" w:eastAsia="仿宋"/>
          <w:b w:val="0"/>
          <w:bCs/>
          <w:sz w:val="30"/>
          <w:szCs w:val="30"/>
          <w:lang w:val="en-US" w:eastAsia="zh-CN"/>
        </w:rPr>
        <w:t>无</w:t>
      </w:r>
    </w:p>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第三部分  名词解释</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吴建杰 </w:t>
      </w:r>
      <w:r>
        <w:rPr>
          <w:rFonts w:ascii="fang_song_gb2312" w:hAnsi="fang_song_gb2312" w:eastAsia="fang_song_gb2312" w:cs="fang_song_gb2312"/>
          <w:kern w:val="0"/>
          <w:sz w:val="27"/>
          <w:szCs w:val="27"/>
        </w:rPr>
        <w:t>          联系电话：0477-5290269- </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见附件。1</w:t>
      </w: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roman"/>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fang_song_gb2312">
    <w:altName w:val="仿宋_GB2312"/>
    <w:panose1 w:val="00000000000000000000"/>
    <w:charset w:val="00"/>
    <w:family w:val="auto"/>
    <w:pitch w:val="default"/>
    <w:sig w:usb0="00000000" w:usb1="00000000" w:usb2="00000000" w:usb3="00000000" w:csb0="00000000" w:csb1="00000000"/>
  </w:font>
  <w:font w:name="times_new_roman">
    <w:altName w:val="仿宋_GB2312"/>
    <w:panose1 w:val="00000000000000000000"/>
    <w:charset w:val="00"/>
    <w:family w:val="auto"/>
    <w:pitch w:val="default"/>
    <w:sig w:usb0="00000000" w:usb1="00000000" w:usb2="00000000" w:usb3="00000000" w:csb0="00000000" w:csb1="00000000"/>
  </w:font>
  <w:font w:name="kai_ti_gb2312">
    <w:altName w:val="仿宋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24</w:t>
    </w:r>
    <w:r>
      <w:rPr>
        <w:lang w:val="zh-CN"/>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E4317"/>
    <w:multiLevelType w:val="singleLevel"/>
    <w:tmpl w:val="9EFE4317"/>
    <w:lvl w:ilvl="0" w:tentative="0">
      <w:start w:val="1"/>
      <w:numFmt w:val="decimal"/>
      <w:suff w:val="nothing"/>
      <w:lvlText w:val="%1．"/>
      <w:lvlJc w:val="left"/>
      <w:pPr>
        <w:ind w:left="497" w:leftChars="0" w:firstLine="0" w:firstLineChars="0"/>
      </w:pPr>
    </w:lvl>
  </w:abstractNum>
  <w:abstractNum w:abstractNumId="1">
    <w:nsid w:val="ADA24D32"/>
    <w:multiLevelType w:val="singleLevel"/>
    <w:tmpl w:val="ADA24D32"/>
    <w:lvl w:ilvl="0" w:tentative="0">
      <w:start w:val="1"/>
      <w:numFmt w:val="chineseCounting"/>
      <w:suff w:val="nothing"/>
      <w:lvlText w:val="（%1）"/>
      <w:lvlJc w:val="left"/>
      <w:pPr>
        <w:ind w:left="240"/>
      </w:pPr>
      <w:rPr>
        <w:rFonts w:hint="eastAsia"/>
      </w:rPr>
    </w:lvl>
  </w:abstractNum>
  <w:abstractNum w:abstractNumId="2">
    <w:nsid w:val="FBB8592C"/>
    <w:multiLevelType w:val="singleLevel"/>
    <w:tmpl w:val="FBB8592C"/>
    <w:lvl w:ilvl="0" w:tentative="0">
      <w:start w:val="1"/>
      <w:numFmt w:val="chineseCounting"/>
      <w:suff w:val="nothing"/>
      <w:lvlText w:val="（%1）"/>
      <w:lvlJc w:val="left"/>
      <w:rPr>
        <w:rFonts w:hint="eastAsia"/>
      </w:rPr>
    </w:lvl>
  </w:abstractNum>
  <w:abstractNum w:abstractNumId="3">
    <w:nsid w:val="66479822"/>
    <w:multiLevelType w:val="singleLevel"/>
    <w:tmpl w:val="66479822"/>
    <w:lvl w:ilvl="0" w:tentative="0">
      <w:start w:val="2"/>
      <w:numFmt w:val="chineseCounting"/>
      <w:suff w:val="nothing"/>
      <w:lvlText w:val="（%1）"/>
      <w:lvlJc w:val="left"/>
      <w:rPr>
        <w:rFonts w:hint="eastAsia"/>
      </w:rPr>
    </w:lvl>
  </w:abstractNum>
  <w:abstractNum w:abstractNumId="4">
    <w:nsid w:val="683C239E"/>
    <w:multiLevelType w:val="singleLevel"/>
    <w:tmpl w:val="683C239E"/>
    <w:lvl w:ilvl="0" w:tentative="0">
      <w:start w:val="1"/>
      <w:numFmt w:val="chineseCounting"/>
      <w:suff w:val="nothing"/>
      <w:lvlText w:val="（%1）"/>
      <w:lvlJc w:val="left"/>
      <w:rPr>
        <w:rFonts w:hint="eastAsia"/>
      </w:rPr>
    </w:lvl>
  </w:abstractNum>
  <w:abstractNum w:abstractNumId="5">
    <w:nsid w:val="7174DBAC"/>
    <w:multiLevelType w:val="singleLevel"/>
    <w:tmpl w:val="7174DBAC"/>
    <w:lvl w:ilvl="0" w:tentative="0">
      <w:start w:val="1"/>
      <w:numFmt w:val="chineseCounting"/>
      <w:suff w:val="nothing"/>
      <w:lvlText w:val="（%1）"/>
      <w:lvlJc w:val="left"/>
      <w:pPr>
        <w:ind w:left="240"/>
      </w:pPr>
      <w:rPr>
        <w:rFonts w:hint="eastAsia"/>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0ZjdlM2M3ZGJiMTBlMmIxOWRhNDVjNTZkZDc4ZTI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357D8"/>
    <w:rsid w:val="00367870"/>
    <w:rsid w:val="00375E79"/>
    <w:rsid w:val="003A4E85"/>
    <w:rsid w:val="003B3EAA"/>
    <w:rsid w:val="00405888"/>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46033"/>
    <w:rsid w:val="00857D98"/>
    <w:rsid w:val="00894C48"/>
    <w:rsid w:val="00896385"/>
    <w:rsid w:val="008A10DB"/>
    <w:rsid w:val="008B5455"/>
    <w:rsid w:val="009049D8"/>
    <w:rsid w:val="009125DD"/>
    <w:rsid w:val="00954CD9"/>
    <w:rsid w:val="009A5EF3"/>
    <w:rsid w:val="009D6904"/>
    <w:rsid w:val="009E1EE8"/>
    <w:rsid w:val="009E227B"/>
    <w:rsid w:val="009E308A"/>
    <w:rsid w:val="009F0536"/>
    <w:rsid w:val="00A147CF"/>
    <w:rsid w:val="00A270BE"/>
    <w:rsid w:val="00A36C1D"/>
    <w:rsid w:val="00A517A0"/>
    <w:rsid w:val="00A62486"/>
    <w:rsid w:val="00A641FB"/>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4001AC"/>
    <w:rsid w:val="01750A7C"/>
    <w:rsid w:val="01BE4DA9"/>
    <w:rsid w:val="01CA216C"/>
    <w:rsid w:val="02E45ED5"/>
    <w:rsid w:val="02ED6112"/>
    <w:rsid w:val="03F84D6E"/>
    <w:rsid w:val="041F156B"/>
    <w:rsid w:val="045E7E98"/>
    <w:rsid w:val="057448C8"/>
    <w:rsid w:val="05A97689"/>
    <w:rsid w:val="05C70E9C"/>
    <w:rsid w:val="06723D5C"/>
    <w:rsid w:val="06F23CF7"/>
    <w:rsid w:val="080A32C2"/>
    <w:rsid w:val="0895197E"/>
    <w:rsid w:val="09532A47"/>
    <w:rsid w:val="09B259BF"/>
    <w:rsid w:val="0A803E75"/>
    <w:rsid w:val="0AC16E65"/>
    <w:rsid w:val="0B0530BB"/>
    <w:rsid w:val="0B097861"/>
    <w:rsid w:val="0B2477A3"/>
    <w:rsid w:val="0B7D53D3"/>
    <w:rsid w:val="0B7F5D75"/>
    <w:rsid w:val="0B8415DD"/>
    <w:rsid w:val="0BB51748"/>
    <w:rsid w:val="0C3C3C66"/>
    <w:rsid w:val="0C605BA6"/>
    <w:rsid w:val="0CF07D67"/>
    <w:rsid w:val="0D0E115E"/>
    <w:rsid w:val="0D98311E"/>
    <w:rsid w:val="0E224217"/>
    <w:rsid w:val="0E236E8B"/>
    <w:rsid w:val="0E3C619F"/>
    <w:rsid w:val="0EA16002"/>
    <w:rsid w:val="0ED71A24"/>
    <w:rsid w:val="0EE26D46"/>
    <w:rsid w:val="0FED3F88"/>
    <w:rsid w:val="10067155"/>
    <w:rsid w:val="104B26C9"/>
    <w:rsid w:val="10B63FE7"/>
    <w:rsid w:val="10CD6770"/>
    <w:rsid w:val="114C494B"/>
    <w:rsid w:val="11763776"/>
    <w:rsid w:val="11B4736D"/>
    <w:rsid w:val="11D81D3B"/>
    <w:rsid w:val="120174E4"/>
    <w:rsid w:val="12726979"/>
    <w:rsid w:val="12922832"/>
    <w:rsid w:val="12CC4B67"/>
    <w:rsid w:val="13F53FEC"/>
    <w:rsid w:val="14045069"/>
    <w:rsid w:val="143771ED"/>
    <w:rsid w:val="145E52D6"/>
    <w:rsid w:val="14643D5A"/>
    <w:rsid w:val="159F3FC3"/>
    <w:rsid w:val="15E213DA"/>
    <w:rsid w:val="1639260C"/>
    <w:rsid w:val="168D145E"/>
    <w:rsid w:val="170D06D9"/>
    <w:rsid w:val="17125CEF"/>
    <w:rsid w:val="17367C2F"/>
    <w:rsid w:val="17387914"/>
    <w:rsid w:val="17614581"/>
    <w:rsid w:val="1765204E"/>
    <w:rsid w:val="17A10E21"/>
    <w:rsid w:val="17BD20FF"/>
    <w:rsid w:val="19263CD4"/>
    <w:rsid w:val="197762DD"/>
    <w:rsid w:val="19C5529B"/>
    <w:rsid w:val="19F636A6"/>
    <w:rsid w:val="19FB6F0E"/>
    <w:rsid w:val="1A3F504D"/>
    <w:rsid w:val="1A626F8D"/>
    <w:rsid w:val="1C2E5379"/>
    <w:rsid w:val="1C550B58"/>
    <w:rsid w:val="1C9378D2"/>
    <w:rsid w:val="1C9F2115"/>
    <w:rsid w:val="1CA20B22"/>
    <w:rsid w:val="1CA55A22"/>
    <w:rsid w:val="1CC01D49"/>
    <w:rsid w:val="1D10139C"/>
    <w:rsid w:val="1D9751A0"/>
    <w:rsid w:val="1DE877AA"/>
    <w:rsid w:val="1E1C02AE"/>
    <w:rsid w:val="1EE45273"/>
    <w:rsid w:val="1FEB1241"/>
    <w:rsid w:val="2001731C"/>
    <w:rsid w:val="203B05A8"/>
    <w:rsid w:val="20621A95"/>
    <w:rsid w:val="20CA3197"/>
    <w:rsid w:val="21162776"/>
    <w:rsid w:val="218F7A5D"/>
    <w:rsid w:val="228F6446"/>
    <w:rsid w:val="22AE53CD"/>
    <w:rsid w:val="22C82554"/>
    <w:rsid w:val="23847F75"/>
    <w:rsid w:val="23AE001C"/>
    <w:rsid w:val="2412732E"/>
    <w:rsid w:val="24190EEB"/>
    <w:rsid w:val="24ED38F7"/>
    <w:rsid w:val="24F37160"/>
    <w:rsid w:val="2503311B"/>
    <w:rsid w:val="25387269"/>
    <w:rsid w:val="25AB17E9"/>
    <w:rsid w:val="25E847EB"/>
    <w:rsid w:val="26041B6B"/>
    <w:rsid w:val="261C4BEA"/>
    <w:rsid w:val="26364D34"/>
    <w:rsid w:val="26586048"/>
    <w:rsid w:val="26AE3959"/>
    <w:rsid w:val="26D44D6F"/>
    <w:rsid w:val="26ED223B"/>
    <w:rsid w:val="26FC6074"/>
    <w:rsid w:val="27277595"/>
    <w:rsid w:val="275652E9"/>
    <w:rsid w:val="286174F0"/>
    <w:rsid w:val="28D76D98"/>
    <w:rsid w:val="28DA21D4"/>
    <w:rsid w:val="28DB23E5"/>
    <w:rsid w:val="28F811E9"/>
    <w:rsid w:val="29647767"/>
    <w:rsid w:val="29AC1FD3"/>
    <w:rsid w:val="2A23347D"/>
    <w:rsid w:val="2A8D1DD4"/>
    <w:rsid w:val="2AA91E02"/>
    <w:rsid w:val="2ABE25D9"/>
    <w:rsid w:val="2BDD6474"/>
    <w:rsid w:val="2C153E60"/>
    <w:rsid w:val="2EA27501"/>
    <w:rsid w:val="2EFF552C"/>
    <w:rsid w:val="2F087CAC"/>
    <w:rsid w:val="2F5C3C7A"/>
    <w:rsid w:val="30500B0D"/>
    <w:rsid w:val="30C6397A"/>
    <w:rsid w:val="32011DD7"/>
    <w:rsid w:val="321212E5"/>
    <w:rsid w:val="324F174E"/>
    <w:rsid w:val="32803FFD"/>
    <w:rsid w:val="3330157F"/>
    <w:rsid w:val="334B460B"/>
    <w:rsid w:val="339C67B9"/>
    <w:rsid w:val="341C4BF9"/>
    <w:rsid w:val="342D3D10"/>
    <w:rsid w:val="345E3ECA"/>
    <w:rsid w:val="351530B1"/>
    <w:rsid w:val="35396689"/>
    <w:rsid w:val="35685891"/>
    <w:rsid w:val="35C1105C"/>
    <w:rsid w:val="36E56469"/>
    <w:rsid w:val="375C659B"/>
    <w:rsid w:val="37DA5F5D"/>
    <w:rsid w:val="38A40F45"/>
    <w:rsid w:val="38B13162"/>
    <w:rsid w:val="38D97FC3"/>
    <w:rsid w:val="38F7130C"/>
    <w:rsid w:val="391D25A6"/>
    <w:rsid w:val="393F076E"/>
    <w:rsid w:val="394F3EB2"/>
    <w:rsid w:val="39507C18"/>
    <w:rsid w:val="395D6E46"/>
    <w:rsid w:val="396F0ECA"/>
    <w:rsid w:val="399D15F6"/>
    <w:rsid w:val="39B72DD3"/>
    <w:rsid w:val="39B91928"/>
    <w:rsid w:val="3A0D261A"/>
    <w:rsid w:val="3A3C3A0B"/>
    <w:rsid w:val="3A3C6A5B"/>
    <w:rsid w:val="3A413212"/>
    <w:rsid w:val="3AB900AC"/>
    <w:rsid w:val="3B021A53"/>
    <w:rsid w:val="3B0A505B"/>
    <w:rsid w:val="3B3B6D13"/>
    <w:rsid w:val="3B4E462B"/>
    <w:rsid w:val="3B4E5EAC"/>
    <w:rsid w:val="3BA448B8"/>
    <w:rsid w:val="3BAF02F6"/>
    <w:rsid w:val="3CDA225A"/>
    <w:rsid w:val="3CE7008A"/>
    <w:rsid w:val="3D0D2931"/>
    <w:rsid w:val="3D0F66A9"/>
    <w:rsid w:val="3D3D6E92"/>
    <w:rsid w:val="3DC90CD2"/>
    <w:rsid w:val="3DD863C0"/>
    <w:rsid w:val="3E175815"/>
    <w:rsid w:val="3E3A59A8"/>
    <w:rsid w:val="3E894F0B"/>
    <w:rsid w:val="3E974BA8"/>
    <w:rsid w:val="3F1FAB5C"/>
    <w:rsid w:val="3FA34D0E"/>
    <w:rsid w:val="3FB207C0"/>
    <w:rsid w:val="3FF34060"/>
    <w:rsid w:val="4037219F"/>
    <w:rsid w:val="403B3B7B"/>
    <w:rsid w:val="40AC3F7D"/>
    <w:rsid w:val="410A7FAC"/>
    <w:rsid w:val="413606A8"/>
    <w:rsid w:val="415E2CAA"/>
    <w:rsid w:val="417C108D"/>
    <w:rsid w:val="420C765B"/>
    <w:rsid w:val="42250160"/>
    <w:rsid w:val="423C1CEE"/>
    <w:rsid w:val="42BB20B1"/>
    <w:rsid w:val="42D33864"/>
    <w:rsid w:val="43194AB4"/>
    <w:rsid w:val="431B5DA8"/>
    <w:rsid w:val="43234D3C"/>
    <w:rsid w:val="43482915"/>
    <w:rsid w:val="434B5F61"/>
    <w:rsid w:val="43606B3C"/>
    <w:rsid w:val="436639E6"/>
    <w:rsid w:val="440E3217"/>
    <w:rsid w:val="440F3F51"/>
    <w:rsid w:val="445B4CC7"/>
    <w:rsid w:val="450B4CC4"/>
    <w:rsid w:val="456C42B5"/>
    <w:rsid w:val="45D41820"/>
    <w:rsid w:val="46E51569"/>
    <w:rsid w:val="46F506BE"/>
    <w:rsid w:val="47EF644C"/>
    <w:rsid w:val="47F27AC3"/>
    <w:rsid w:val="480D7C89"/>
    <w:rsid w:val="48395641"/>
    <w:rsid w:val="48695504"/>
    <w:rsid w:val="48A26623"/>
    <w:rsid w:val="48C20A74"/>
    <w:rsid w:val="49396E43"/>
    <w:rsid w:val="496D09DF"/>
    <w:rsid w:val="49781705"/>
    <w:rsid w:val="49CF3C6C"/>
    <w:rsid w:val="4AD87FCD"/>
    <w:rsid w:val="4ADF76BB"/>
    <w:rsid w:val="4AEF3676"/>
    <w:rsid w:val="4B062139"/>
    <w:rsid w:val="4C975898"/>
    <w:rsid w:val="4D051623"/>
    <w:rsid w:val="4D86701E"/>
    <w:rsid w:val="4DB27309"/>
    <w:rsid w:val="4DF0501E"/>
    <w:rsid w:val="4E2F0959"/>
    <w:rsid w:val="4E4F2DA9"/>
    <w:rsid w:val="4EA3654E"/>
    <w:rsid w:val="4EF87C51"/>
    <w:rsid w:val="4F4D3920"/>
    <w:rsid w:val="4FB31CD0"/>
    <w:rsid w:val="50107843"/>
    <w:rsid w:val="50272EF1"/>
    <w:rsid w:val="507765E7"/>
    <w:rsid w:val="5099030C"/>
    <w:rsid w:val="50AF7B2F"/>
    <w:rsid w:val="50F72525"/>
    <w:rsid w:val="51155AAA"/>
    <w:rsid w:val="515E50B1"/>
    <w:rsid w:val="518D5397"/>
    <w:rsid w:val="51C27D36"/>
    <w:rsid w:val="51D82B51"/>
    <w:rsid w:val="51E27A91"/>
    <w:rsid w:val="520420FD"/>
    <w:rsid w:val="527E5A0B"/>
    <w:rsid w:val="53057EDB"/>
    <w:rsid w:val="533D7674"/>
    <w:rsid w:val="533F5603"/>
    <w:rsid w:val="5367647B"/>
    <w:rsid w:val="538C5890"/>
    <w:rsid w:val="54134879"/>
    <w:rsid w:val="54961DE2"/>
    <w:rsid w:val="54A0435F"/>
    <w:rsid w:val="54B66A7B"/>
    <w:rsid w:val="55044953"/>
    <w:rsid w:val="553E1482"/>
    <w:rsid w:val="555F3CB4"/>
    <w:rsid w:val="55C93D9E"/>
    <w:rsid w:val="56B50AE4"/>
    <w:rsid w:val="56C8194B"/>
    <w:rsid w:val="57081D47"/>
    <w:rsid w:val="571526B6"/>
    <w:rsid w:val="575A3DD1"/>
    <w:rsid w:val="57782A41"/>
    <w:rsid w:val="577C44E3"/>
    <w:rsid w:val="57F52AEB"/>
    <w:rsid w:val="581153ED"/>
    <w:rsid w:val="58290EFA"/>
    <w:rsid w:val="58B734C7"/>
    <w:rsid w:val="5A121BEB"/>
    <w:rsid w:val="5A461504"/>
    <w:rsid w:val="5A581238"/>
    <w:rsid w:val="5A58229F"/>
    <w:rsid w:val="5A7871E4"/>
    <w:rsid w:val="5AC71F19"/>
    <w:rsid w:val="5B0D2659"/>
    <w:rsid w:val="5B130CEB"/>
    <w:rsid w:val="5B637846"/>
    <w:rsid w:val="5B721E85"/>
    <w:rsid w:val="5BFC45E0"/>
    <w:rsid w:val="5C3F26AF"/>
    <w:rsid w:val="5C5B01E8"/>
    <w:rsid w:val="5CE46DB3"/>
    <w:rsid w:val="5D175BAD"/>
    <w:rsid w:val="5D2A0FD8"/>
    <w:rsid w:val="5D5977A1"/>
    <w:rsid w:val="5D7F5FDF"/>
    <w:rsid w:val="5DA622BA"/>
    <w:rsid w:val="5DB76275"/>
    <w:rsid w:val="5DBF3B51"/>
    <w:rsid w:val="5E070FAB"/>
    <w:rsid w:val="5E123C30"/>
    <w:rsid w:val="5E3E454F"/>
    <w:rsid w:val="5E8A4626"/>
    <w:rsid w:val="5EA24E14"/>
    <w:rsid w:val="5EC0115A"/>
    <w:rsid w:val="5EEE5CC7"/>
    <w:rsid w:val="5F365D8D"/>
    <w:rsid w:val="5F692F9B"/>
    <w:rsid w:val="5FDB4A4E"/>
    <w:rsid w:val="60591866"/>
    <w:rsid w:val="608C5797"/>
    <w:rsid w:val="60B54B5A"/>
    <w:rsid w:val="60FF240D"/>
    <w:rsid w:val="61C471B3"/>
    <w:rsid w:val="61F23D20"/>
    <w:rsid w:val="621912AD"/>
    <w:rsid w:val="624D0F56"/>
    <w:rsid w:val="62DB2CB2"/>
    <w:rsid w:val="63B2759E"/>
    <w:rsid w:val="643A375C"/>
    <w:rsid w:val="643E4FFA"/>
    <w:rsid w:val="64D376EF"/>
    <w:rsid w:val="651535FA"/>
    <w:rsid w:val="651D10B4"/>
    <w:rsid w:val="65227456"/>
    <w:rsid w:val="65391870"/>
    <w:rsid w:val="655500B7"/>
    <w:rsid w:val="65792C03"/>
    <w:rsid w:val="65876F7C"/>
    <w:rsid w:val="664D3C1B"/>
    <w:rsid w:val="66754F1F"/>
    <w:rsid w:val="66990C0E"/>
    <w:rsid w:val="6707201B"/>
    <w:rsid w:val="672B700D"/>
    <w:rsid w:val="6741090B"/>
    <w:rsid w:val="678E6299"/>
    <w:rsid w:val="683722F0"/>
    <w:rsid w:val="694330B3"/>
    <w:rsid w:val="69CE16B5"/>
    <w:rsid w:val="69EB1ABC"/>
    <w:rsid w:val="6A2904FB"/>
    <w:rsid w:val="6A6E5F0E"/>
    <w:rsid w:val="6A7554EE"/>
    <w:rsid w:val="6A8912E0"/>
    <w:rsid w:val="6B4C26F3"/>
    <w:rsid w:val="6B544BE8"/>
    <w:rsid w:val="6C292A34"/>
    <w:rsid w:val="6C4B4758"/>
    <w:rsid w:val="6CFE7A1D"/>
    <w:rsid w:val="6D142ADC"/>
    <w:rsid w:val="6D170ADE"/>
    <w:rsid w:val="6DF57072"/>
    <w:rsid w:val="6DFA4708"/>
    <w:rsid w:val="6DFA6436"/>
    <w:rsid w:val="6E205C8E"/>
    <w:rsid w:val="6EA36ACE"/>
    <w:rsid w:val="6EFF5CCE"/>
    <w:rsid w:val="6F06705D"/>
    <w:rsid w:val="6F49545D"/>
    <w:rsid w:val="6FCF38F2"/>
    <w:rsid w:val="704C2D64"/>
    <w:rsid w:val="70756248"/>
    <w:rsid w:val="70AB06C0"/>
    <w:rsid w:val="714A1482"/>
    <w:rsid w:val="71C84DC7"/>
    <w:rsid w:val="71D3131E"/>
    <w:rsid w:val="71FC4233"/>
    <w:rsid w:val="72823116"/>
    <w:rsid w:val="73694E37"/>
    <w:rsid w:val="73993138"/>
    <w:rsid w:val="73993FFB"/>
    <w:rsid w:val="73BE1CB4"/>
    <w:rsid w:val="73EB7D06"/>
    <w:rsid w:val="74534AF2"/>
    <w:rsid w:val="74EB75B6"/>
    <w:rsid w:val="74EF5F37"/>
    <w:rsid w:val="74F55BA9"/>
    <w:rsid w:val="75041948"/>
    <w:rsid w:val="76404C02"/>
    <w:rsid w:val="76B37ACA"/>
    <w:rsid w:val="77065E4C"/>
    <w:rsid w:val="78144598"/>
    <w:rsid w:val="783A6F0E"/>
    <w:rsid w:val="789677DD"/>
    <w:rsid w:val="78A551F0"/>
    <w:rsid w:val="796432FD"/>
    <w:rsid w:val="79A201CB"/>
    <w:rsid w:val="7A7001A1"/>
    <w:rsid w:val="7AB77117"/>
    <w:rsid w:val="7B4E0D0E"/>
    <w:rsid w:val="7BD04C7A"/>
    <w:rsid w:val="7BDF4EBD"/>
    <w:rsid w:val="7C0C5586"/>
    <w:rsid w:val="7D126BCC"/>
    <w:rsid w:val="7D515947"/>
    <w:rsid w:val="7D9A5540"/>
    <w:rsid w:val="7D9D0B8C"/>
    <w:rsid w:val="7DFA7FB1"/>
    <w:rsid w:val="7E310E70"/>
    <w:rsid w:val="7E325778"/>
    <w:rsid w:val="7E88183C"/>
    <w:rsid w:val="7EA06B86"/>
    <w:rsid w:val="7EF20AA2"/>
    <w:rsid w:val="7EF268E1"/>
    <w:rsid w:val="7F403EC5"/>
    <w:rsid w:val="7FAF2DF8"/>
    <w:rsid w:val="7FB64187"/>
    <w:rsid w:val="7FDB3BED"/>
    <w:rsid w:val="7FE64B79"/>
    <w:rsid w:val="7FFB7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autoRedefine/>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autoRedefine/>
    <w:qFormat/>
    <w:uiPriority w:val="0"/>
    <w:pPr>
      <w:ind w:left="630"/>
      <w:jc w:val="left"/>
    </w:pPr>
    <w:rPr>
      <w:sz w:val="20"/>
      <w:szCs w:val="20"/>
    </w:rPr>
  </w:style>
  <w:style w:type="paragraph" w:styleId="15">
    <w:name w:val="toc 6"/>
    <w:basedOn w:val="1"/>
    <w:next w:val="1"/>
    <w:autoRedefine/>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qFormat/>
    <w:uiPriority w:val="0"/>
    <w:pPr>
      <w:ind w:left="1680"/>
      <w:jc w:val="left"/>
    </w:pPr>
    <w:rPr>
      <w:sz w:val="20"/>
      <w:szCs w:val="20"/>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customStyle="1" w:styleId="22">
    <w:name w:val="标题 4 字符"/>
    <w:basedOn w:val="19"/>
    <w:link w:val="5"/>
    <w:qFormat/>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收入决算图</c:v>
                </c:pt>
              </c:strCache>
            </c:strRef>
          </c:tx>
          <c:spPr/>
          <c:explosion val="0"/>
          <c:dPt>
            <c:idx val="0"/>
            <c:bubble3D val="0"/>
            <c:spPr>
              <a:solidFill>
                <a:schemeClr val="accent1"/>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本年一般公共预算财政拨款收入</c:v>
                </c:pt>
              </c:strCache>
            </c:strRef>
          </c:cat>
          <c:val>
            <c:numRef>
              <c:f>Sheet1!$B$2</c:f>
              <c:numCache>
                <c:formatCode>General</c:formatCode>
                <c:ptCount val="1"/>
                <c:pt idx="0">
                  <c:v>2771.64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本年基本支出</c:v>
                </c:pt>
                <c:pt idx="1">
                  <c:v>本年项目支出</c:v>
                </c:pt>
              </c:strCache>
            </c:strRef>
          </c:cat>
          <c:val>
            <c:numRef>
              <c:f>Sheet1!$B$2:$B$3</c:f>
              <c:numCache>
                <c:formatCode>General</c:formatCode>
                <c:ptCount val="2"/>
                <c:pt idx="0">
                  <c:v>2569.64</c:v>
                </c:pt>
                <c:pt idx="1">
                  <c:v>202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odc="http://opendope.org/conditions" xmlns:comp="http://schemas.openxmlformats.org/drawingml/2006/compatibility" xmlns:m="http://schemas.openxmlformats.org/officeDocument/2006/math" xmlns:mc="http://schemas.openxmlformats.org/markup-compatibility/2006" xmlns:o="urn:schemas-microsoft-com:office:office" xmlns:odi="http://opendope.org/components" xmlns:r="http://schemas.openxmlformats.org/officeDocument/2006/relationships" xmlns:cdr="http://schemas.openxmlformats.org/drawingml/2006/chartDrawing" xmlns:odgm="http://opendope.org/SmartArt/DataHierarchy" xmlns:v="urn:schemas-microsoft-com:vml" xmlns:w="http://schemas.openxmlformats.org/wordprocessingml/2006/main" xmlns:w16se="http://schemas.microsoft.com/office/word/2015/wordml/symex" xmlns:odq="http://opendope.org/questions" xmlns:xdr="http://schemas.openxmlformats.org/drawingml/2006/spreadsheetDrawing" xmlns:odx="http://opendope.org/xpaths" xmlns:dsp="http://schemas.microsoft.com/office/drawing/2008/diagram" xmlns:w10="urn:schemas-microsoft-com:office:word" xmlns:wne="http://schemas.microsoft.com/office/word/2006/wordml" xmlns:w16cid="http://schemas.microsoft.com/office/word/2016/wordml/cid" xmlns:w14="http://schemas.microsoft.com/office/word/2010/wordml" xmlns:w15="http://schemas.microsoft.com/office/word/2012/wordml" xmlns:wps="http://schemas.microsoft.com/office/word/2010/wordprocessingShape" xmlns:wp14="http://schemas.microsoft.com/office/word/2010/wordprocessingDrawing" xmlns:lc="http://schemas.openxmlformats.org/drawingml/2006/lockedCanvas" xmlns:c14="http://schemas.microsoft.com/office/drawing/2007/8/2/chart" xmlns:pic="http://schemas.openxmlformats.org/drawingml/2006/picture" xmlns:wetp="http://schemas.microsoft.com/office/webextensions/taskpanes/2010/11" xmlns:we="http://schemas.microsoft.com/office/webextensions/webextension/2010/11" xmlns:pvml="urn:schemas-microsoft-com:office:powerpoint" xmlns:dgm="http://schemas.openxmlformats.org/drawingml/2006/diagram" xmlns:cppr="http://schemas.microsoft.com/office/2006/coverPageProps" xmlns:a="http://schemas.openxmlformats.org/drawingml/2006/main" xmlns:xvml="urn:schemas-microsoft-com:office:excel" xmlns:wp="http://schemas.openxmlformats.org/drawingml/2006/wordprocessingDrawing" xmlns:c="http://schemas.openxmlformats.org/drawingml/2006/chart" xmlns:sl="http://schemas.openxmlformats.org/schemaLibrary/2006/main" xmlns:oda="http://opendope.org/answer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12446</Words>
  <Characters>13898</Characters>
  <Lines>1</Lines>
  <Paragraphs>1</Paragraphs>
  <TotalTime>88</TotalTime>
  <ScaleCrop>false</ScaleCrop>
  <LinksUpToDate>false</LinksUpToDate>
  <CharactersWithSpaces>14603</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2022-03-23T20:40:00Z</dcterms:created>
  <dc:creator>Administrator</dc:creator>
  <cp:lastModifiedBy>JU MAO</cp:lastModifiedBy>
  <cp:lastPrinted>2021-04-16T08:45:00Z</cp:lastPrinted>
  <dcterms:modified xsi:type="dcterms:W3CDTF">2024-09-25T17:32:36Z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42C6000FDF924E0AB0F6441DD81FD9F7_12</vt:lpwstr>
  </property>
</Properties>
</file>