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88036">
      <w:pPr>
        <w:pStyle w:val="8"/>
        <w:adjustRightInd/>
        <w:spacing w:line="360" w:lineRule="auto"/>
        <w:ind w:left="0"/>
        <w:jc w:val="center"/>
        <w:rPr>
          <w:rFonts w:ascii="华文中宋" w:hAnsi="华文中宋" w:eastAsia="华文中宋"/>
          <w:b/>
          <w:bCs/>
          <w:color w:val="000000"/>
          <w:sz w:val="52"/>
          <w:szCs w:val="52"/>
        </w:rPr>
      </w:pPr>
    </w:p>
    <w:p w14:paraId="18E4FDAD">
      <w:pPr>
        <w:pStyle w:val="8"/>
        <w:adjustRightInd/>
        <w:spacing w:line="360" w:lineRule="auto"/>
        <w:ind w:left="0"/>
        <w:jc w:val="center"/>
        <w:rPr>
          <w:rFonts w:ascii="华文中宋" w:hAnsi="华文中宋" w:eastAsia="华文中宋"/>
          <w:b/>
          <w:bCs/>
          <w:color w:val="000000"/>
          <w:sz w:val="52"/>
          <w:szCs w:val="52"/>
        </w:rPr>
      </w:pPr>
    </w:p>
    <w:p w14:paraId="6D09763E">
      <w:pPr>
        <w:pStyle w:val="8"/>
        <w:adjustRightInd/>
        <w:spacing w:line="360" w:lineRule="auto"/>
        <w:ind w:left="0"/>
        <w:jc w:val="center"/>
        <w:rPr>
          <w:rFonts w:ascii="华文中宋" w:hAnsi="华文中宋" w:eastAsia="华文中宋"/>
          <w:b/>
          <w:bCs/>
          <w:color w:val="000000"/>
          <w:sz w:val="52"/>
          <w:szCs w:val="52"/>
        </w:rPr>
      </w:pPr>
    </w:p>
    <w:p w14:paraId="2401F35D">
      <w:pPr>
        <w:pStyle w:val="8"/>
        <w:adjustRightInd/>
        <w:spacing w:line="360" w:lineRule="auto"/>
        <w:ind w:left="0"/>
        <w:jc w:val="center"/>
        <w:outlineLvl w:val="0"/>
        <w:rPr>
          <w:rFonts w:ascii="华文中宋" w:hAnsi="华文中宋" w:eastAsia="华文中宋"/>
          <w:b/>
          <w:bCs/>
          <w:color w:val="000000"/>
          <w:sz w:val="52"/>
          <w:szCs w:val="52"/>
        </w:rPr>
      </w:pPr>
      <w:r>
        <w:rPr>
          <w:rFonts w:hint="eastAsia" w:ascii="华文中宋" w:hAnsi="华文中宋" w:eastAsia="华文中宋"/>
          <w:b/>
          <w:bCs/>
          <w:color w:val="000000"/>
          <w:sz w:val="52"/>
          <w:szCs w:val="52"/>
        </w:rPr>
        <w:t>达拉特旗</w:t>
      </w:r>
    </w:p>
    <w:p w14:paraId="6BB69DAE">
      <w:pPr>
        <w:pStyle w:val="8"/>
        <w:adjustRightInd/>
        <w:spacing w:line="360" w:lineRule="auto"/>
        <w:ind w:left="0"/>
        <w:jc w:val="center"/>
        <w:outlineLvl w:val="0"/>
        <w:rPr>
          <w:rFonts w:ascii="华文中宋" w:hAnsi="华文中宋" w:eastAsia="华文中宋"/>
          <w:b/>
          <w:bCs/>
          <w:color w:val="000000"/>
          <w:sz w:val="52"/>
          <w:szCs w:val="52"/>
        </w:rPr>
      </w:pPr>
      <w:r>
        <w:rPr>
          <w:rFonts w:ascii="华文中宋" w:hAnsi="华文中宋" w:eastAsia="华文中宋"/>
          <w:b/>
          <w:bCs/>
          <w:color w:val="000000"/>
          <w:sz w:val="52"/>
          <w:szCs w:val="52"/>
        </w:rPr>
        <w:t>应急体系建设“十四五”规划</w:t>
      </w:r>
    </w:p>
    <w:p w14:paraId="7A647B9C">
      <w:pPr>
        <w:pStyle w:val="9"/>
        <w:jc w:val="center"/>
        <w:rPr>
          <w:rFonts w:eastAsia="华文中宋"/>
        </w:rPr>
      </w:pPr>
      <w:r>
        <w:rPr>
          <w:rFonts w:hint="eastAsia" w:ascii="华文中宋" w:hAnsi="华文中宋" w:eastAsia="华文中宋"/>
          <w:b/>
          <w:bCs/>
          <w:color w:val="000000"/>
          <w:sz w:val="52"/>
          <w:szCs w:val="52"/>
        </w:rPr>
        <w:t>（征求意见稿）</w:t>
      </w:r>
    </w:p>
    <w:p w14:paraId="7AF8E801">
      <w:pPr>
        <w:rPr>
          <w:rFonts w:hint="default"/>
        </w:rPr>
      </w:pPr>
    </w:p>
    <w:p w14:paraId="326733B0">
      <w:pPr>
        <w:rPr>
          <w:rFonts w:hint="default"/>
        </w:rPr>
      </w:pPr>
    </w:p>
    <w:p w14:paraId="70239CFB">
      <w:pPr>
        <w:rPr>
          <w:rFonts w:hint="default"/>
        </w:rPr>
      </w:pPr>
    </w:p>
    <w:p w14:paraId="08F65B25">
      <w:pPr>
        <w:rPr>
          <w:rFonts w:hint="default"/>
        </w:rPr>
      </w:pPr>
    </w:p>
    <w:p w14:paraId="25AA00B9">
      <w:pPr>
        <w:rPr>
          <w:rFonts w:hint="default"/>
        </w:rPr>
      </w:pPr>
    </w:p>
    <w:p w14:paraId="146451D1">
      <w:pPr>
        <w:rPr>
          <w:rFonts w:hint="default"/>
        </w:rPr>
      </w:pPr>
    </w:p>
    <w:p w14:paraId="147F8E91">
      <w:pPr>
        <w:rPr>
          <w:rFonts w:hint="default"/>
        </w:rPr>
      </w:pPr>
    </w:p>
    <w:p w14:paraId="1EFE0305">
      <w:pPr>
        <w:rPr>
          <w:rFonts w:hint="default"/>
        </w:rPr>
      </w:pPr>
    </w:p>
    <w:p w14:paraId="11452EE9">
      <w:pPr>
        <w:rPr>
          <w:rFonts w:hint="default"/>
        </w:rPr>
      </w:pPr>
    </w:p>
    <w:p w14:paraId="52AEFA8C">
      <w:pPr>
        <w:rPr>
          <w:rFonts w:hint="default"/>
        </w:rPr>
      </w:pPr>
    </w:p>
    <w:p w14:paraId="140214BB">
      <w:pPr>
        <w:rPr>
          <w:rFonts w:hint="default"/>
        </w:rPr>
      </w:pPr>
    </w:p>
    <w:p w14:paraId="0E09724E">
      <w:pPr>
        <w:rPr>
          <w:rFonts w:hint="default"/>
        </w:rPr>
      </w:pPr>
    </w:p>
    <w:p w14:paraId="5E90606E">
      <w:pPr>
        <w:rPr>
          <w:rFonts w:hint="default"/>
        </w:rPr>
      </w:pPr>
    </w:p>
    <w:p w14:paraId="175EE0CA">
      <w:pPr>
        <w:rPr>
          <w:rFonts w:hint="default"/>
        </w:rPr>
      </w:pPr>
    </w:p>
    <w:p w14:paraId="5E69C1F2">
      <w:pPr>
        <w:rPr>
          <w:rFonts w:hint="default"/>
        </w:rPr>
      </w:pPr>
    </w:p>
    <w:p w14:paraId="58E863B8">
      <w:pPr>
        <w:rPr>
          <w:rFonts w:hint="default"/>
        </w:rPr>
      </w:pPr>
    </w:p>
    <w:p w14:paraId="6D7715E3">
      <w:pPr>
        <w:rPr>
          <w:rFonts w:hint="default"/>
        </w:rPr>
      </w:pPr>
    </w:p>
    <w:p w14:paraId="0BC41B8F">
      <w:pPr>
        <w:rPr>
          <w:rFonts w:hint="default"/>
        </w:rPr>
      </w:pPr>
    </w:p>
    <w:p w14:paraId="2EEC9832">
      <w:pPr>
        <w:rPr>
          <w:rFonts w:hint="default"/>
        </w:rPr>
      </w:pPr>
    </w:p>
    <w:p w14:paraId="37DB2B69">
      <w:pPr>
        <w:rPr>
          <w:rFonts w:hint="default"/>
        </w:rPr>
      </w:pPr>
    </w:p>
    <w:p w14:paraId="1895E5D4">
      <w:pPr>
        <w:rPr>
          <w:rFonts w:hint="default"/>
        </w:rPr>
      </w:pPr>
    </w:p>
    <w:p w14:paraId="7D3EF90F">
      <w:pPr>
        <w:rPr>
          <w:rFonts w:hint="default"/>
        </w:rPr>
      </w:pPr>
    </w:p>
    <w:p w14:paraId="096C4767">
      <w:pPr>
        <w:adjustRightInd/>
        <w:spacing w:line="560" w:lineRule="exact"/>
        <w:jc w:val="center"/>
        <w:outlineLvl w:val="0"/>
        <w:rPr>
          <w:rFonts w:hint="default" w:ascii="华文中宋" w:hAnsi="华文中宋" w:eastAsia="华文中宋"/>
          <w:b/>
          <w:bCs/>
          <w:color w:val="000000"/>
          <w:sz w:val="32"/>
          <w:szCs w:val="32"/>
        </w:rPr>
      </w:pPr>
      <w:r>
        <w:rPr>
          <w:rFonts w:ascii="华文中宋" w:hAnsi="华文中宋" w:eastAsia="华文中宋"/>
          <w:b/>
          <w:bCs/>
          <w:color w:val="000000"/>
          <w:sz w:val="32"/>
          <w:szCs w:val="32"/>
        </w:rPr>
        <w:t>达拉特旗应急管理局</w:t>
      </w:r>
    </w:p>
    <w:p w14:paraId="695CFAA0">
      <w:pPr>
        <w:pStyle w:val="8"/>
        <w:adjustRightInd/>
        <w:spacing w:line="560" w:lineRule="exact"/>
        <w:ind w:left="0"/>
        <w:jc w:val="center"/>
        <w:outlineLvl w:val="0"/>
        <w:rPr>
          <w:rFonts w:ascii="华文中宋" w:hAnsi="华文中宋" w:eastAsia="华文中宋"/>
          <w:b/>
          <w:bCs/>
          <w:color w:val="000000"/>
        </w:rPr>
      </w:pPr>
      <w:r>
        <w:rPr>
          <w:rFonts w:ascii="华文中宋" w:hAnsi="华文中宋" w:eastAsia="华文中宋"/>
          <w:b/>
          <w:bCs/>
          <w:color w:val="000000"/>
        </w:rPr>
        <w:t>二〇二</w:t>
      </w:r>
      <w:r>
        <w:rPr>
          <w:rFonts w:hint="eastAsia" w:ascii="华文中宋" w:hAnsi="华文中宋" w:eastAsia="华文中宋"/>
          <w:b/>
          <w:bCs/>
          <w:color w:val="000000"/>
        </w:rPr>
        <w:t>二</w:t>
      </w:r>
      <w:r>
        <w:rPr>
          <w:rFonts w:ascii="华文中宋" w:hAnsi="华文中宋" w:eastAsia="华文中宋"/>
          <w:b/>
          <w:bCs/>
          <w:color w:val="000000"/>
        </w:rPr>
        <w:t>年</w:t>
      </w:r>
      <w:r>
        <w:rPr>
          <w:rFonts w:hint="eastAsia" w:ascii="华文中宋" w:hAnsi="华文中宋" w:eastAsia="华文中宋"/>
          <w:b/>
          <w:bCs/>
          <w:color w:val="000000"/>
        </w:rPr>
        <w:t>十二</w:t>
      </w:r>
      <w:r>
        <w:rPr>
          <w:rFonts w:ascii="华文中宋" w:hAnsi="华文中宋" w:eastAsia="华文中宋"/>
          <w:b/>
          <w:bCs/>
          <w:color w:val="000000"/>
        </w:rPr>
        <w:t>月</w:t>
      </w:r>
    </w:p>
    <w:p w14:paraId="2E25E3C4">
      <w:pPr>
        <w:pStyle w:val="8"/>
        <w:adjustRightInd/>
        <w:spacing w:line="560" w:lineRule="exact"/>
        <w:ind w:left="0"/>
        <w:jc w:val="both"/>
        <w:rPr>
          <w:rFonts w:ascii="华文中宋" w:hAnsi="华文中宋" w:eastAsia="华文中宋"/>
          <w:b/>
          <w:bCs/>
          <w:color w:val="000000"/>
        </w:rPr>
      </w:pPr>
    </w:p>
    <w:sdt>
      <w:sdtPr>
        <w:rPr>
          <w:rFonts w:hint="default" w:ascii="宋体" w:hAnsi="宋体"/>
          <w:sz w:val="21"/>
          <w:szCs w:val="20"/>
        </w:rPr>
        <w:id w:val="-1297223746"/>
        <w:docPartObj>
          <w:docPartGallery w:val="Table of Contents"/>
          <w:docPartUnique/>
        </w:docPartObj>
      </w:sdtPr>
      <w:sdtEndPr>
        <w:rPr>
          <w:rFonts w:hint="default" w:ascii="仿宋_GB2312" w:hAnsi="Times New Roman" w:eastAsia="仿宋_GB2312"/>
          <w:color w:val="000000"/>
          <w:sz w:val="28"/>
          <w:szCs w:val="21"/>
        </w:rPr>
      </w:sdtEndPr>
      <w:sdtContent>
        <w:p w14:paraId="15B3B2F9">
          <w:pPr>
            <w:jc w:val="center"/>
            <w:rPr>
              <w:rFonts w:hint="default" w:ascii="仿宋" w:hAnsi="仿宋" w:eastAsia="仿宋" w:cs="仿宋"/>
              <w:sz w:val="28"/>
              <w:szCs w:val="28"/>
            </w:rPr>
          </w:pPr>
          <w:bookmarkStart w:id="0" w:name="_Toc28184_WPSOffice_Type2"/>
          <w:r>
            <w:rPr>
              <w:rFonts w:ascii="黑体" w:hAnsi="黑体" w:eastAsia="黑体"/>
              <w:color w:val="000000"/>
              <w:sz w:val="32"/>
              <w:szCs w:val="32"/>
            </w:rPr>
            <w:t>目 录</w:t>
          </w:r>
          <w:r>
            <w:fldChar w:fldCharType="begin"/>
          </w:r>
          <w:r>
            <w:instrText xml:space="preserve"> HYPERLINK \l "_Toc24180_WPSOffice_Level1" </w:instrText>
          </w:r>
          <w:r>
            <w:fldChar w:fldCharType="separate"/>
          </w:r>
          <w:r>
            <w:fldChar w:fldCharType="end"/>
          </w:r>
        </w:p>
        <w:p w14:paraId="0E3D9C52">
          <w:pPr>
            <w:pStyle w:val="23"/>
            <w:tabs>
              <w:tab w:val="right" w:leader="dot" w:pos="8306"/>
            </w:tabs>
            <w:rPr>
              <w:rFonts w:ascii="仿宋_GB2312" w:eastAsia="仿宋_GB2312"/>
              <w:b/>
              <w:bCs/>
              <w:color w:val="000000"/>
              <w:sz w:val="28"/>
              <w:szCs w:val="21"/>
            </w:rPr>
          </w:pPr>
          <w:r>
            <w:fldChar w:fldCharType="begin"/>
          </w:r>
          <w:r>
            <w:instrText xml:space="preserve"> HYPERLINK \l "_Toc28184_WPSOffice_Level1" </w:instrText>
          </w:r>
          <w:r>
            <w:fldChar w:fldCharType="separate"/>
          </w:r>
          <w:sdt>
            <w:sdtPr>
              <w:rPr>
                <w:rFonts w:hint="eastAsia" w:ascii="仿宋_GB2312" w:eastAsia="仿宋_GB2312"/>
                <w:b/>
                <w:bCs/>
                <w:color w:val="000000"/>
                <w:sz w:val="28"/>
                <w:szCs w:val="21"/>
              </w:rPr>
              <w:id w:val="-337319906"/>
              <w:placeholder>
                <w:docPart w:val="{8457f812-a461-442c-a796-a82683587777}"/>
              </w:placeholder>
            </w:sdtPr>
            <w:sdtEndPr>
              <w:rPr>
                <w:rFonts w:hint="eastAsia" w:ascii="仿宋_GB2312" w:eastAsia="仿宋_GB2312"/>
                <w:b/>
                <w:bCs/>
                <w:color w:val="000000"/>
                <w:sz w:val="28"/>
                <w:szCs w:val="21"/>
              </w:rPr>
            </w:sdtEndPr>
            <w:sdtContent>
              <w:r>
                <w:rPr>
                  <w:rFonts w:hint="eastAsia" w:ascii="仿宋_GB2312" w:eastAsia="仿宋_GB2312"/>
                  <w:b/>
                  <w:bCs/>
                  <w:color w:val="000000"/>
                  <w:sz w:val="28"/>
                  <w:szCs w:val="21"/>
                </w:rPr>
                <w:t>一、 现状与形势</w:t>
              </w:r>
            </w:sdtContent>
          </w:sdt>
          <w:r>
            <w:rPr>
              <w:rFonts w:hint="eastAsia" w:ascii="仿宋_GB2312" w:eastAsia="仿宋_GB2312"/>
              <w:b/>
              <w:bCs/>
              <w:color w:val="000000"/>
              <w:sz w:val="28"/>
              <w:szCs w:val="21"/>
            </w:rPr>
            <w:tab/>
          </w:r>
          <w:r>
            <w:rPr>
              <w:rFonts w:hint="eastAsia" w:ascii="仿宋_GB2312" w:eastAsia="仿宋_GB2312"/>
              <w:b/>
              <w:bCs/>
              <w:color w:val="000000"/>
              <w:sz w:val="28"/>
              <w:szCs w:val="21"/>
            </w:rPr>
            <w:t>1</w:t>
          </w:r>
          <w:r>
            <w:rPr>
              <w:rFonts w:hint="eastAsia" w:ascii="仿宋_GB2312" w:eastAsia="仿宋_GB2312"/>
              <w:b/>
              <w:bCs/>
              <w:color w:val="000000"/>
              <w:sz w:val="28"/>
              <w:szCs w:val="21"/>
            </w:rPr>
            <w:fldChar w:fldCharType="end"/>
          </w:r>
        </w:p>
        <w:p w14:paraId="015B70B1">
          <w:pPr>
            <w:pStyle w:val="24"/>
            <w:tabs>
              <w:tab w:val="right" w:leader="dot" w:pos="8306"/>
            </w:tabs>
            <w:ind w:left="480"/>
            <w:rPr>
              <w:rFonts w:ascii="仿宋_GB2312" w:eastAsia="仿宋_GB2312"/>
              <w:color w:val="000000"/>
              <w:sz w:val="28"/>
              <w:szCs w:val="21"/>
            </w:rPr>
          </w:pPr>
          <w:r>
            <w:fldChar w:fldCharType="begin"/>
          </w:r>
          <w:r>
            <w:instrText xml:space="preserve"> HYPERLINK \l "_Toc28184_WPSOffice_Level2" </w:instrText>
          </w:r>
          <w:r>
            <w:fldChar w:fldCharType="separate"/>
          </w:r>
          <w:sdt>
            <w:sdtPr>
              <w:rPr>
                <w:rFonts w:hint="eastAsia" w:ascii="仿宋_GB2312" w:eastAsia="仿宋_GB2312"/>
                <w:color w:val="000000"/>
                <w:sz w:val="28"/>
                <w:szCs w:val="21"/>
              </w:rPr>
              <w:id w:val="71401204"/>
              <w:placeholder>
                <w:docPart w:val="{80420f3b-db8e-49cf-b77a-59b60fa76d61}"/>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（一） “十三五”期间主要工作成效</w:t>
              </w:r>
            </w:sdtContent>
          </w:sdt>
          <w:r>
            <w:rPr>
              <w:rFonts w:hint="eastAsia" w:ascii="仿宋_GB2312" w:eastAsia="仿宋_GB2312"/>
              <w:color w:val="000000"/>
              <w:sz w:val="28"/>
              <w:szCs w:val="21"/>
            </w:rPr>
            <w:tab/>
          </w:r>
          <w:r>
            <w:rPr>
              <w:rFonts w:hint="eastAsia" w:ascii="仿宋_GB2312" w:eastAsia="仿宋_GB2312"/>
              <w:color w:val="000000"/>
              <w:sz w:val="28"/>
              <w:szCs w:val="21"/>
            </w:rPr>
            <w:t>1</w:t>
          </w:r>
          <w:r>
            <w:rPr>
              <w:rFonts w:hint="eastAsia" w:ascii="仿宋_GB2312" w:eastAsia="仿宋_GB2312"/>
              <w:color w:val="000000"/>
              <w:sz w:val="28"/>
              <w:szCs w:val="21"/>
            </w:rPr>
            <w:fldChar w:fldCharType="end"/>
          </w:r>
        </w:p>
        <w:p w14:paraId="4F61740E">
          <w:pPr>
            <w:pStyle w:val="24"/>
            <w:tabs>
              <w:tab w:val="right" w:leader="dot" w:pos="8306"/>
            </w:tabs>
            <w:ind w:left="480"/>
            <w:rPr>
              <w:rFonts w:ascii="仿宋_GB2312" w:eastAsia="仿宋_GB2312"/>
              <w:color w:val="000000"/>
              <w:sz w:val="28"/>
              <w:szCs w:val="21"/>
            </w:rPr>
          </w:pPr>
          <w:r>
            <w:fldChar w:fldCharType="begin"/>
          </w:r>
          <w:r>
            <w:instrText xml:space="preserve"> HYPERLINK \l "_Toc29298_WPSOffice_Level2" </w:instrText>
          </w:r>
          <w:r>
            <w:fldChar w:fldCharType="separate"/>
          </w:r>
          <w:sdt>
            <w:sdtPr>
              <w:rPr>
                <w:rFonts w:hint="eastAsia" w:ascii="仿宋_GB2312" w:eastAsia="仿宋_GB2312"/>
                <w:color w:val="000000"/>
                <w:sz w:val="28"/>
                <w:szCs w:val="21"/>
              </w:rPr>
              <w:id w:val="1038703445"/>
              <w:placeholder>
                <w:docPart w:val="{f66dcc03-a428-4d96-9e81-9c23ab117d0c}"/>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（二） 面临的挑战</w:t>
              </w:r>
            </w:sdtContent>
          </w:sdt>
          <w:r>
            <w:rPr>
              <w:rFonts w:hint="eastAsia" w:ascii="仿宋_GB2312" w:eastAsia="仿宋_GB2312"/>
              <w:color w:val="000000"/>
              <w:sz w:val="28"/>
              <w:szCs w:val="21"/>
            </w:rPr>
            <w:tab/>
          </w:r>
          <w:r>
            <w:rPr>
              <w:rFonts w:hint="eastAsia" w:ascii="仿宋_GB2312" w:eastAsia="仿宋_GB2312"/>
              <w:color w:val="000000"/>
              <w:sz w:val="28"/>
              <w:szCs w:val="21"/>
            </w:rPr>
            <w:t>5</w:t>
          </w:r>
          <w:r>
            <w:rPr>
              <w:rFonts w:hint="eastAsia" w:ascii="仿宋_GB2312" w:eastAsia="仿宋_GB2312"/>
              <w:color w:val="000000"/>
              <w:sz w:val="28"/>
              <w:szCs w:val="21"/>
            </w:rPr>
            <w:fldChar w:fldCharType="end"/>
          </w:r>
        </w:p>
        <w:p w14:paraId="40AF2006">
          <w:pPr>
            <w:pStyle w:val="24"/>
            <w:tabs>
              <w:tab w:val="right" w:leader="dot" w:pos="8306"/>
            </w:tabs>
            <w:ind w:left="480"/>
            <w:rPr>
              <w:rFonts w:ascii="仿宋" w:hAnsi="仿宋" w:eastAsia="仿宋" w:cs="仿宋"/>
              <w:sz w:val="28"/>
              <w:szCs w:val="28"/>
            </w:rPr>
          </w:pPr>
          <w:r>
            <w:fldChar w:fldCharType="begin"/>
          </w:r>
          <w:r>
            <w:instrText xml:space="preserve"> HYPERLINK \l "_Toc25008_WPSOffice_Level2" </w:instrText>
          </w:r>
          <w:r>
            <w:fldChar w:fldCharType="separate"/>
          </w:r>
          <w:sdt>
            <w:sdtPr>
              <w:rPr>
                <w:rFonts w:hint="eastAsia" w:ascii="仿宋_GB2312" w:eastAsia="仿宋_GB2312"/>
                <w:color w:val="000000"/>
                <w:sz w:val="28"/>
                <w:szCs w:val="21"/>
              </w:rPr>
              <w:id w:val="-1367977710"/>
              <w:placeholder>
                <w:docPart w:val="{6095916b-ea70-40e0-a1f8-72d357bcae85}"/>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（三） 发展机遇</w:t>
              </w:r>
            </w:sdtContent>
          </w:sdt>
          <w:r>
            <w:rPr>
              <w:rFonts w:hint="eastAsia" w:ascii="仿宋_GB2312" w:eastAsia="仿宋_GB2312"/>
              <w:color w:val="000000"/>
              <w:sz w:val="28"/>
              <w:szCs w:val="21"/>
            </w:rPr>
            <w:tab/>
          </w:r>
          <w:r>
            <w:rPr>
              <w:rFonts w:hint="eastAsia" w:ascii="仿宋_GB2312" w:eastAsia="仿宋_GB2312"/>
              <w:color w:val="000000"/>
              <w:sz w:val="28"/>
              <w:szCs w:val="21"/>
            </w:rPr>
            <w:t>7</w:t>
          </w:r>
          <w:r>
            <w:rPr>
              <w:rFonts w:hint="eastAsia" w:ascii="仿宋_GB2312" w:eastAsia="仿宋_GB2312"/>
              <w:color w:val="000000"/>
              <w:sz w:val="28"/>
              <w:szCs w:val="21"/>
            </w:rPr>
            <w:fldChar w:fldCharType="end"/>
          </w:r>
        </w:p>
        <w:p w14:paraId="62D5F66C">
          <w:pPr>
            <w:pStyle w:val="23"/>
            <w:tabs>
              <w:tab w:val="right" w:leader="dot" w:pos="8306"/>
            </w:tabs>
            <w:rPr>
              <w:rFonts w:ascii="仿宋" w:hAnsi="仿宋" w:eastAsia="仿宋_GB2312" w:cs="仿宋"/>
              <w:sz w:val="28"/>
              <w:szCs w:val="28"/>
            </w:rPr>
          </w:pPr>
          <w:r>
            <w:fldChar w:fldCharType="begin"/>
          </w:r>
          <w:r>
            <w:instrText xml:space="preserve"> HYPERLINK \l "_Toc29298_WPSOffice_Level1" </w:instrText>
          </w:r>
          <w:r>
            <w:fldChar w:fldCharType="separate"/>
          </w:r>
          <w:sdt>
            <w:sdtPr>
              <w:rPr>
                <w:rFonts w:hint="eastAsia" w:ascii="仿宋" w:hAnsi="仿宋" w:eastAsia="仿宋" w:cs="仿宋"/>
                <w:b/>
                <w:bCs/>
                <w:sz w:val="28"/>
                <w:szCs w:val="28"/>
                <w:lang w:bidi="mn-Mong-CN"/>
              </w:rPr>
              <w:id w:val="368660410"/>
              <w:placeholder>
                <w:docPart w:val="{8aff43ee-56ca-4ec0-9d81-4b204705cdba}"/>
              </w:placeholder>
            </w:sdtPr>
            <w:sdtEndPr>
              <w:rPr>
                <w:rFonts w:hint="eastAsia" w:ascii="仿宋_GB2312" w:hAnsi="Times New Roman" w:eastAsia="仿宋_GB2312" w:cs="Times New Roman"/>
                <w:b/>
                <w:bCs/>
                <w:color w:val="000000"/>
                <w:sz w:val="28"/>
                <w:szCs w:val="21"/>
                <w:lang w:bidi="ar-SA"/>
              </w:rPr>
            </w:sdtEndPr>
            <w:sdtContent>
              <w:r>
                <w:rPr>
                  <w:rFonts w:hint="eastAsia" w:ascii="仿宋_GB2312" w:eastAsia="仿宋_GB2312"/>
                  <w:b/>
                  <w:bCs/>
                  <w:color w:val="000000"/>
                  <w:sz w:val="28"/>
                  <w:szCs w:val="21"/>
                </w:rPr>
                <w:t>二、 指导思想、基本原则和规划目标</w:t>
              </w:r>
            </w:sdtContent>
          </w:sdt>
          <w:r>
            <w:rPr>
              <w:rFonts w:hint="eastAsia" w:ascii="仿宋_GB2312" w:eastAsia="仿宋_GB2312"/>
              <w:b/>
              <w:bCs/>
              <w:color w:val="000000"/>
              <w:sz w:val="28"/>
              <w:szCs w:val="21"/>
            </w:rPr>
            <w:tab/>
          </w:r>
          <w:r>
            <w:rPr>
              <w:rFonts w:hint="eastAsia" w:ascii="仿宋_GB2312" w:eastAsia="仿宋_GB2312"/>
              <w:b/>
              <w:bCs/>
              <w:color w:val="000000"/>
              <w:sz w:val="28"/>
              <w:szCs w:val="21"/>
            </w:rPr>
            <w:t>8</w:t>
          </w:r>
          <w:r>
            <w:rPr>
              <w:rFonts w:hint="eastAsia" w:ascii="仿宋_GB2312" w:eastAsia="仿宋_GB2312"/>
              <w:b/>
              <w:bCs/>
              <w:color w:val="000000"/>
              <w:sz w:val="28"/>
              <w:szCs w:val="21"/>
            </w:rPr>
            <w:fldChar w:fldCharType="end"/>
          </w:r>
        </w:p>
        <w:p w14:paraId="0679CD04">
          <w:pPr>
            <w:pStyle w:val="24"/>
            <w:tabs>
              <w:tab w:val="right" w:leader="dot" w:pos="8306"/>
            </w:tabs>
            <w:ind w:left="480"/>
            <w:rPr>
              <w:rFonts w:ascii="仿宋_GB2312" w:eastAsia="仿宋_GB2312"/>
              <w:color w:val="000000"/>
              <w:sz w:val="28"/>
              <w:szCs w:val="21"/>
            </w:rPr>
          </w:pPr>
          <w:r>
            <w:fldChar w:fldCharType="begin"/>
          </w:r>
          <w:r>
            <w:instrText xml:space="preserve"> HYPERLINK \l "_Toc2180_WPSOffice_Level2" </w:instrText>
          </w:r>
          <w:r>
            <w:fldChar w:fldCharType="separate"/>
          </w:r>
          <w:sdt>
            <w:sdtPr>
              <w:rPr>
                <w:rFonts w:hint="eastAsia" w:ascii="仿宋_GB2312" w:eastAsia="仿宋_GB2312"/>
                <w:color w:val="000000"/>
                <w:sz w:val="28"/>
                <w:szCs w:val="21"/>
              </w:rPr>
              <w:id w:val="1470861993"/>
              <w:placeholder>
                <w:docPart w:val="{d2b1ed08-a208-427b-a070-1b26a8c8002c}"/>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（一） 指导思想</w:t>
              </w:r>
            </w:sdtContent>
          </w:sdt>
          <w:r>
            <w:rPr>
              <w:rFonts w:hint="eastAsia" w:ascii="仿宋_GB2312" w:eastAsia="仿宋_GB2312"/>
              <w:color w:val="000000"/>
              <w:sz w:val="28"/>
              <w:szCs w:val="21"/>
            </w:rPr>
            <w:tab/>
          </w:r>
          <w:r>
            <w:rPr>
              <w:rFonts w:hint="eastAsia" w:ascii="仿宋_GB2312" w:eastAsia="仿宋_GB2312"/>
              <w:color w:val="000000"/>
              <w:sz w:val="28"/>
              <w:szCs w:val="21"/>
            </w:rPr>
            <w:t>8</w:t>
          </w:r>
          <w:r>
            <w:rPr>
              <w:rFonts w:hint="eastAsia" w:ascii="仿宋_GB2312" w:eastAsia="仿宋_GB2312"/>
              <w:color w:val="000000"/>
              <w:sz w:val="28"/>
              <w:szCs w:val="21"/>
            </w:rPr>
            <w:fldChar w:fldCharType="end"/>
          </w:r>
        </w:p>
        <w:p w14:paraId="7691C627">
          <w:pPr>
            <w:pStyle w:val="24"/>
            <w:tabs>
              <w:tab w:val="right" w:leader="dot" w:pos="8306"/>
            </w:tabs>
            <w:ind w:left="480"/>
            <w:rPr>
              <w:rFonts w:ascii="仿宋_GB2312" w:eastAsia="仿宋_GB2312"/>
              <w:color w:val="000000"/>
              <w:sz w:val="28"/>
              <w:szCs w:val="21"/>
            </w:rPr>
          </w:pPr>
          <w:r>
            <w:fldChar w:fldCharType="begin"/>
          </w:r>
          <w:r>
            <w:instrText xml:space="preserve"> HYPERLINK \l "_Toc14863_WPSOffice_Level2" </w:instrText>
          </w:r>
          <w:r>
            <w:fldChar w:fldCharType="separate"/>
          </w:r>
          <w:sdt>
            <w:sdtPr>
              <w:rPr>
                <w:rFonts w:hint="eastAsia" w:ascii="仿宋_GB2312" w:eastAsia="仿宋_GB2312"/>
                <w:color w:val="000000"/>
                <w:sz w:val="28"/>
                <w:szCs w:val="21"/>
              </w:rPr>
              <w:id w:val="507180896"/>
              <w:placeholder>
                <w:docPart w:val="{cce0f916-0f1e-4bb0-b83e-1900d724f983}"/>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（二） 基本原则</w:t>
              </w:r>
            </w:sdtContent>
          </w:sdt>
          <w:r>
            <w:rPr>
              <w:rFonts w:hint="eastAsia" w:ascii="仿宋_GB2312" w:eastAsia="仿宋_GB2312"/>
              <w:color w:val="000000"/>
              <w:sz w:val="28"/>
              <w:szCs w:val="21"/>
            </w:rPr>
            <w:tab/>
          </w:r>
          <w:r>
            <w:rPr>
              <w:rFonts w:hint="eastAsia" w:ascii="仿宋_GB2312" w:eastAsia="仿宋_GB2312"/>
              <w:color w:val="000000"/>
              <w:sz w:val="28"/>
              <w:szCs w:val="21"/>
            </w:rPr>
            <w:t>8</w:t>
          </w:r>
          <w:r>
            <w:rPr>
              <w:rFonts w:hint="eastAsia" w:ascii="仿宋_GB2312" w:eastAsia="仿宋_GB2312"/>
              <w:color w:val="000000"/>
              <w:sz w:val="28"/>
              <w:szCs w:val="21"/>
            </w:rPr>
            <w:fldChar w:fldCharType="end"/>
          </w:r>
        </w:p>
        <w:p w14:paraId="26476238">
          <w:pPr>
            <w:pStyle w:val="24"/>
            <w:tabs>
              <w:tab w:val="right" w:leader="dot" w:pos="8306"/>
            </w:tabs>
            <w:ind w:left="480"/>
            <w:rPr>
              <w:rFonts w:ascii="仿宋" w:hAnsi="仿宋" w:eastAsia="仿宋" w:cs="仿宋"/>
              <w:sz w:val="28"/>
              <w:szCs w:val="28"/>
            </w:rPr>
          </w:pPr>
          <w:r>
            <w:fldChar w:fldCharType="begin"/>
          </w:r>
          <w:r>
            <w:instrText xml:space="preserve"> HYPERLINK \l "_Toc26693_WPSOffice_Level2" </w:instrText>
          </w:r>
          <w:r>
            <w:fldChar w:fldCharType="separate"/>
          </w:r>
          <w:sdt>
            <w:sdtPr>
              <w:rPr>
                <w:rFonts w:hint="eastAsia" w:ascii="仿宋_GB2312" w:eastAsia="仿宋_GB2312"/>
                <w:color w:val="000000"/>
                <w:sz w:val="28"/>
                <w:szCs w:val="21"/>
              </w:rPr>
              <w:id w:val="1984882112"/>
              <w:placeholder>
                <w:docPart w:val="{642d36e2-e3e6-4fba-9861-8db94209c189}"/>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（三） 规划目标</w:t>
              </w:r>
            </w:sdtContent>
          </w:sdt>
          <w:r>
            <w:rPr>
              <w:rFonts w:hint="eastAsia" w:ascii="仿宋_GB2312" w:eastAsia="仿宋_GB2312"/>
              <w:color w:val="000000"/>
              <w:sz w:val="28"/>
              <w:szCs w:val="21"/>
            </w:rPr>
            <w:tab/>
          </w:r>
          <w:r>
            <w:rPr>
              <w:rFonts w:hint="eastAsia" w:ascii="仿宋_GB2312" w:eastAsia="仿宋_GB2312"/>
              <w:color w:val="000000"/>
              <w:sz w:val="28"/>
              <w:szCs w:val="21"/>
            </w:rPr>
            <w:t>9</w:t>
          </w:r>
          <w:r>
            <w:rPr>
              <w:rFonts w:hint="eastAsia" w:ascii="仿宋_GB2312" w:eastAsia="仿宋_GB2312"/>
              <w:color w:val="000000"/>
              <w:sz w:val="28"/>
              <w:szCs w:val="21"/>
            </w:rPr>
            <w:fldChar w:fldCharType="end"/>
          </w:r>
        </w:p>
        <w:p w14:paraId="6A1BF967">
          <w:pPr>
            <w:pStyle w:val="23"/>
            <w:tabs>
              <w:tab w:val="right" w:leader="dot" w:pos="8306"/>
            </w:tabs>
            <w:rPr>
              <w:rFonts w:ascii="仿宋_GB2312" w:eastAsia="仿宋_GB2312"/>
              <w:b/>
              <w:bCs/>
              <w:color w:val="000000"/>
              <w:sz w:val="28"/>
              <w:szCs w:val="21"/>
            </w:rPr>
          </w:pPr>
          <w:r>
            <w:fldChar w:fldCharType="begin"/>
          </w:r>
          <w:r>
            <w:instrText xml:space="preserve"> HYPERLINK \l "_Toc25008_WPSOffice_Level1" </w:instrText>
          </w:r>
          <w:r>
            <w:fldChar w:fldCharType="separate"/>
          </w:r>
          <w:sdt>
            <w:sdtPr>
              <w:rPr>
                <w:rFonts w:hint="eastAsia" w:ascii="仿宋_GB2312" w:eastAsia="仿宋_GB2312"/>
                <w:b/>
                <w:bCs/>
                <w:color w:val="000000"/>
                <w:sz w:val="28"/>
                <w:szCs w:val="21"/>
              </w:rPr>
              <w:id w:val="718634640"/>
              <w:placeholder>
                <w:docPart w:val="{9256736c-8f18-4016-95e4-dd0a3dd49f18}"/>
              </w:placeholder>
            </w:sdtPr>
            <w:sdtEndPr>
              <w:rPr>
                <w:rFonts w:hint="eastAsia" w:ascii="仿宋_GB2312" w:eastAsia="仿宋_GB2312"/>
                <w:b/>
                <w:bCs/>
                <w:color w:val="000000"/>
                <w:sz w:val="28"/>
                <w:szCs w:val="21"/>
              </w:rPr>
            </w:sdtEndPr>
            <w:sdtContent>
              <w:r>
                <w:rPr>
                  <w:rFonts w:hint="eastAsia" w:ascii="仿宋_GB2312" w:eastAsia="仿宋_GB2312"/>
                  <w:b/>
                  <w:bCs/>
                  <w:color w:val="000000"/>
                  <w:sz w:val="28"/>
                  <w:szCs w:val="21"/>
                </w:rPr>
                <w:t>三、 主要任务</w:t>
              </w:r>
            </w:sdtContent>
          </w:sdt>
          <w:r>
            <w:rPr>
              <w:rFonts w:hint="eastAsia" w:ascii="仿宋_GB2312" w:eastAsia="仿宋_GB2312"/>
              <w:b/>
              <w:bCs/>
              <w:color w:val="000000"/>
              <w:sz w:val="28"/>
              <w:szCs w:val="21"/>
            </w:rPr>
            <w:tab/>
          </w:r>
          <w:bookmarkStart w:id="1" w:name="_Toc25008_WPSOffice_Level1Page"/>
          <w:r>
            <w:rPr>
              <w:rFonts w:hint="eastAsia" w:ascii="仿宋_GB2312" w:eastAsia="仿宋_GB2312"/>
              <w:b/>
              <w:bCs/>
              <w:color w:val="000000"/>
              <w:sz w:val="28"/>
              <w:szCs w:val="21"/>
            </w:rPr>
            <w:t>1</w:t>
          </w:r>
          <w:bookmarkEnd w:id="1"/>
          <w:r>
            <w:rPr>
              <w:rFonts w:hint="eastAsia" w:ascii="仿宋_GB2312" w:eastAsia="仿宋_GB2312"/>
              <w:b/>
              <w:bCs/>
              <w:color w:val="000000"/>
              <w:sz w:val="28"/>
              <w:szCs w:val="21"/>
            </w:rPr>
            <w:fldChar w:fldCharType="end"/>
          </w:r>
          <w:r>
            <w:rPr>
              <w:rFonts w:hint="eastAsia" w:ascii="仿宋_GB2312" w:eastAsia="仿宋_GB2312"/>
              <w:b/>
              <w:bCs/>
              <w:color w:val="000000"/>
              <w:sz w:val="28"/>
              <w:szCs w:val="21"/>
            </w:rPr>
            <w:t>3</w:t>
          </w:r>
        </w:p>
        <w:p w14:paraId="5C1FD8C4">
          <w:pPr>
            <w:pStyle w:val="24"/>
            <w:tabs>
              <w:tab w:val="right" w:leader="dot" w:pos="8306"/>
            </w:tabs>
            <w:ind w:left="480"/>
            <w:rPr>
              <w:rFonts w:ascii="仿宋_GB2312" w:eastAsia="仿宋_GB2312"/>
              <w:color w:val="000000"/>
              <w:sz w:val="28"/>
              <w:szCs w:val="21"/>
            </w:rPr>
          </w:pPr>
          <w:r>
            <w:fldChar w:fldCharType="begin"/>
          </w:r>
          <w:r>
            <w:instrText xml:space="preserve"> HYPERLINK \l "_Toc13903_WPSOffice_Level2" </w:instrText>
          </w:r>
          <w:r>
            <w:fldChar w:fldCharType="separate"/>
          </w:r>
          <w:sdt>
            <w:sdtPr>
              <w:rPr>
                <w:rFonts w:hint="eastAsia" w:ascii="仿宋_GB2312" w:eastAsia="仿宋_GB2312"/>
                <w:color w:val="000000"/>
                <w:sz w:val="28"/>
                <w:szCs w:val="21"/>
              </w:rPr>
              <w:id w:val="1377422761"/>
              <w:placeholder>
                <w:docPart w:val="{b9bc4572-71e3-47eb-a234-a57a255cf664}"/>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（一）夯实应急管理基础</w:t>
              </w:r>
            </w:sdtContent>
          </w:sdt>
          <w:r>
            <w:rPr>
              <w:rFonts w:hint="eastAsia" w:ascii="仿宋_GB2312" w:eastAsia="仿宋_GB2312"/>
              <w:color w:val="000000"/>
              <w:sz w:val="28"/>
              <w:szCs w:val="21"/>
            </w:rPr>
            <w:tab/>
          </w:r>
          <w:bookmarkStart w:id="2" w:name="_Toc13903_WPSOffice_Level2Page"/>
          <w:r>
            <w:rPr>
              <w:rFonts w:hint="eastAsia" w:ascii="仿宋_GB2312" w:eastAsia="仿宋_GB2312"/>
              <w:color w:val="000000"/>
              <w:sz w:val="28"/>
              <w:szCs w:val="21"/>
            </w:rPr>
            <w:t>1</w:t>
          </w:r>
          <w:bookmarkEnd w:id="2"/>
          <w:r>
            <w:rPr>
              <w:rFonts w:hint="eastAsia" w:ascii="仿宋_GB2312" w:eastAsia="仿宋_GB2312"/>
              <w:color w:val="000000"/>
              <w:sz w:val="28"/>
              <w:szCs w:val="21"/>
            </w:rPr>
            <w:t>3</w:t>
          </w:r>
          <w:r>
            <w:rPr>
              <w:rFonts w:hint="eastAsia" w:ascii="仿宋_GB2312" w:eastAsia="仿宋_GB2312"/>
              <w:color w:val="000000"/>
              <w:sz w:val="28"/>
              <w:szCs w:val="21"/>
            </w:rPr>
            <w:fldChar w:fldCharType="end"/>
          </w:r>
        </w:p>
        <w:p w14:paraId="3D4B02EF">
          <w:pPr>
            <w:pStyle w:val="24"/>
            <w:tabs>
              <w:tab w:val="right" w:leader="dot" w:pos="8306"/>
            </w:tabs>
            <w:ind w:left="480"/>
            <w:rPr>
              <w:rFonts w:ascii="仿宋_GB2312" w:eastAsia="仿宋_GB2312"/>
              <w:color w:val="000000"/>
              <w:sz w:val="28"/>
              <w:szCs w:val="21"/>
            </w:rPr>
          </w:pPr>
          <w:r>
            <w:fldChar w:fldCharType="begin"/>
          </w:r>
          <w:r>
            <w:instrText xml:space="preserve"> HYPERLINK \l "_Toc7836_WPSOffice_Level2" </w:instrText>
          </w:r>
          <w:r>
            <w:fldChar w:fldCharType="separate"/>
          </w:r>
          <w:sdt>
            <w:sdtPr>
              <w:rPr>
                <w:rFonts w:hint="eastAsia" w:ascii="仿宋_GB2312" w:eastAsia="仿宋_GB2312"/>
                <w:color w:val="000000"/>
                <w:sz w:val="28"/>
                <w:szCs w:val="21"/>
              </w:rPr>
              <w:id w:val="-1029873992"/>
              <w:placeholder>
                <w:docPart w:val="{2accd3e8-0e4d-4389-8e5b-46b533b2472f}"/>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（二）防范化解重大风险</w:t>
              </w:r>
            </w:sdtContent>
          </w:sdt>
          <w:r>
            <w:rPr>
              <w:rFonts w:hint="eastAsia" w:ascii="仿宋_GB2312" w:eastAsia="仿宋_GB2312"/>
              <w:color w:val="000000"/>
              <w:sz w:val="28"/>
              <w:szCs w:val="21"/>
            </w:rPr>
            <w:tab/>
          </w:r>
          <w:bookmarkStart w:id="3" w:name="_Toc7836_WPSOffice_Level2Page"/>
          <w:r>
            <w:rPr>
              <w:rFonts w:hint="eastAsia" w:ascii="仿宋_GB2312" w:eastAsia="仿宋_GB2312"/>
              <w:color w:val="000000"/>
              <w:sz w:val="28"/>
              <w:szCs w:val="21"/>
            </w:rPr>
            <w:t>1</w:t>
          </w:r>
          <w:bookmarkEnd w:id="3"/>
          <w:r>
            <w:rPr>
              <w:rFonts w:hint="eastAsia" w:ascii="仿宋_GB2312" w:eastAsia="仿宋_GB2312"/>
              <w:color w:val="000000"/>
              <w:sz w:val="28"/>
              <w:szCs w:val="21"/>
            </w:rPr>
            <w:t>5</w:t>
          </w:r>
          <w:r>
            <w:rPr>
              <w:rFonts w:hint="eastAsia" w:ascii="仿宋_GB2312" w:eastAsia="仿宋_GB2312"/>
              <w:color w:val="000000"/>
              <w:sz w:val="28"/>
              <w:szCs w:val="21"/>
            </w:rPr>
            <w:fldChar w:fldCharType="end"/>
          </w:r>
        </w:p>
        <w:p w14:paraId="1A19412F">
          <w:pPr>
            <w:pStyle w:val="24"/>
            <w:tabs>
              <w:tab w:val="right" w:leader="dot" w:pos="8306"/>
            </w:tabs>
            <w:ind w:left="480"/>
            <w:rPr>
              <w:rFonts w:ascii="仿宋_GB2312" w:eastAsia="仿宋_GB2312"/>
              <w:color w:val="000000"/>
              <w:sz w:val="28"/>
              <w:szCs w:val="21"/>
            </w:rPr>
          </w:pPr>
          <w:r>
            <w:fldChar w:fldCharType="begin"/>
          </w:r>
          <w:r>
            <w:instrText xml:space="preserve"> HYPERLINK \l "_Toc6436_WPSOffice_Level2" </w:instrText>
          </w:r>
          <w:r>
            <w:fldChar w:fldCharType="separate"/>
          </w:r>
          <w:sdt>
            <w:sdtPr>
              <w:rPr>
                <w:rFonts w:hint="eastAsia" w:ascii="仿宋_GB2312" w:eastAsia="仿宋_GB2312"/>
                <w:color w:val="000000"/>
                <w:sz w:val="28"/>
                <w:szCs w:val="21"/>
              </w:rPr>
              <w:id w:val="-1473361242"/>
              <w:placeholder>
                <w:docPart w:val="{96203934-d095-4be2-b6cf-80e84c0b8e2c}"/>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（三）加强应对能力建设</w:t>
              </w:r>
            </w:sdtContent>
          </w:sdt>
          <w:r>
            <w:rPr>
              <w:rFonts w:hint="eastAsia" w:ascii="仿宋_GB2312" w:eastAsia="仿宋_GB2312"/>
              <w:color w:val="000000"/>
              <w:sz w:val="28"/>
              <w:szCs w:val="21"/>
            </w:rPr>
            <w:tab/>
          </w:r>
          <w:r>
            <w:rPr>
              <w:rFonts w:hint="eastAsia" w:ascii="仿宋_GB2312" w:eastAsia="仿宋_GB2312"/>
              <w:color w:val="000000"/>
              <w:sz w:val="28"/>
              <w:szCs w:val="21"/>
            </w:rPr>
            <w:t>2</w:t>
          </w:r>
          <w:r>
            <w:rPr>
              <w:rFonts w:hint="eastAsia" w:ascii="仿宋_GB2312" w:eastAsia="仿宋_GB2312"/>
              <w:color w:val="000000"/>
              <w:sz w:val="28"/>
              <w:szCs w:val="21"/>
            </w:rPr>
            <w:fldChar w:fldCharType="end"/>
          </w:r>
          <w:r>
            <w:rPr>
              <w:rFonts w:hint="eastAsia" w:ascii="仿宋_GB2312" w:eastAsia="仿宋_GB2312"/>
              <w:color w:val="000000"/>
              <w:sz w:val="28"/>
              <w:szCs w:val="21"/>
            </w:rPr>
            <w:t>7</w:t>
          </w:r>
        </w:p>
        <w:p w14:paraId="6293FB02">
          <w:pPr>
            <w:pStyle w:val="24"/>
            <w:tabs>
              <w:tab w:val="right" w:leader="dot" w:pos="8306"/>
            </w:tabs>
            <w:ind w:left="480"/>
            <w:rPr>
              <w:rFonts w:ascii="仿宋_GB2312" w:eastAsia="仿宋_GB2312"/>
              <w:color w:val="000000"/>
              <w:sz w:val="28"/>
              <w:szCs w:val="21"/>
            </w:rPr>
          </w:pPr>
          <w:r>
            <w:fldChar w:fldCharType="begin"/>
          </w:r>
          <w:r>
            <w:instrText xml:space="preserve"> HYPERLINK \l "_Toc20272_WPSOffice_Level2" </w:instrText>
          </w:r>
          <w:r>
            <w:fldChar w:fldCharType="separate"/>
          </w:r>
          <w:sdt>
            <w:sdtPr>
              <w:rPr>
                <w:rFonts w:hint="eastAsia" w:ascii="仿宋_GB2312" w:eastAsia="仿宋_GB2312"/>
                <w:color w:val="000000"/>
                <w:sz w:val="28"/>
                <w:szCs w:val="21"/>
              </w:rPr>
              <w:id w:val="-1178577721"/>
              <w:placeholder>
                <w:docPart w:val="{28c069f0-5dc0-440f-8e27-13367af4120e}"/>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（四）提升科技支撑能力</w:t>
              </w:r>
            </w:sdtContent>
          </w:sdt>
          <w:r>
            <w:rPr>
              <w:rFonts w:hint="eastAsia" w:ascii="仿宋_GB2312" w:eastAsia="仿宋_GB2312"/>
              <w:color w:val="000000"/>
              <w:sz w:val="28"/>
              <w:szCs w:val="21"/>
            </w:rPr>
            <w:tab/>
          </w:r>
          <w:r>
            <w:rPr>
              <w:rFonts w:hint="eastAsia" w:ascii="仿宋_GB2312" w:eastAsia="仿宋_GB2312"/>
              <w:color w:val="000000"/>
              <w:sz w:val="28"/>
              <w:szCs w:val="21"/>
            </w:rPr>
            <w:t>2</w:t>
          </w:r>
          <w:r>
            <w:rPr>
              <w:rFonts w:hint="eastAsia" w:ascii="仿宋_GB2312" w:eastAsia="仿宋_GB2312"/>
              <w:color w:val="000000"/>
              <w:sz w:val="28"/>
              <w:szCs w:val="21"/>
            </w:rPr>
            <w:fldChar w:fldCharType="end"/>
          </w:r>
          <w:r>
            <w:rPr>
              <w:rFonts w:hint="eastAsia" w:ascii="仿宋_GB2312" w:eastAsia="仿宋_GB2312"/>
              <w:color w:val="000000"/>
              <w:sz w:val="28"/>
              <w:szCs w:val="21"/>
            </w:rPr>
            <w:t>9</w:t>
          </w:r>
        </w:p>
        <w:p w14:paraId="1E94F498">
          <w:pPr>
            <w:pStyle w:val="24"/>
            <w:tabs>
              <w:tab w:val="right" w:leader="dot" w:pos="8306"/>
            </w:tabs>
            <w:ind w:left="480"/>
            <w:rPr>
              <w:rFonts w:ascii="仿宋" w:hAnsi="仿宋" w:eastAsia="仿宋_GB2312" w:cs="仿宋"/>
              <w:sz w:val="28"/>
              <w:szCs w:val="28"/>
            </w:rPr>
          </w:pPr>
          <w:r>
            <w:fldChar w:fldCharType="begin"/>
          </w:r>
          <w:r>
            <w:instrText xml:space="preserve"> HYPERLINK \l "_Toc15446_WPSOffice_Level2" </w:instrText>
          </w:r>
          <w:r>
            <w:fldChar w:fldCharType="separate"/>
          </w:r>
          <w:sdt>
            <w:sdtPr>
              <w:rPr>
                <w:rFonts w:hint="eastAsia" w:ascii="仿宋_GB2312" w:eastAsia="仿宋_GB2312"/>
                <w:color w:val="000000"/>
                <w:sz w:val="28"/>
                <w:szCs w:val="21"/>
              </w:rPr>
              <w:id w:val="-770934034"/>
              <w:placeholder>
                <w:docPart w:val="{a397594a-4013-4f6a-833b-385be5384998}"/>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（五）构建社会共建格局</w:t>
              </w:r>
            </w:sdtContent>
          </w:sdt>
          <w:r>
            <w:rPr>
              <w:rFonts w:hint="eastAsia" w:ascii="仿宋_GB2312" w:eastAsia="仿宋_GB2312"/>
              <w:color w:val="000000"/>
              <w:sz w:val="28"/>
              <w:szCs w:val="21"/>
            </w:rPr>
            <w:tab/>
          </w:r>
          <w:bookmarkStart w:id="4" w:name="_Toc15446_WPSOffice_Level2Page"/>
          <w:r>
            <w:rPr>
              <w:rFonts w:hint="eastAsia" w:ascii="仿宋_GB2312" w:eastAsia="仿宋_GB2312"/>
              <w:color w:val="000000"/>
              <w:sz w:val="28"/>
              <w:szCs w:val="21"/>
            </w:rPr>
            <w:t>3</w:t>
          </w:r>
          <w:bookmarkEnd w:id="4"/>
          <w:r>
            <w:rPr>
              <w:rFonts w:hint="eastAsia" w:ascii="仿宋_GB2312" w:eastAsia="仿宋_GB2312"/>
              <w:color w:val="000000"/>
              <w:sz w:val="28"/>
              <w:szCs w:val="21"/>
            </w:rPr>
            <w:fldChar w:fldCharType="end"/>
          </w:r>
          <w:r>
            <w:rPr>
              <w:rFonts w:hint="eastAsia" w:ascii="仿宋_GB2312" w:eastAsia="仿宋_GB2312"/>
              <w:color w:val="000000"/>
              <w:sz w:val="28"/>
              <w:szCs w:val="21"/>
            </w:rPr>
            <w:t>1</w:t>
          </w:r>
        </w:p>
        <w:p w14:paraId="21878D20">
          <w:pPr>
            <w:pStyle w:val="23"/>
            <w:tabs>
              <w:tab w:val="right" w:leader="dot" w:pos="8306"/>
            </w:tabs>
            <w:rPr>
              <w:rFonts w:ascii="仿宋" w:hAnsi="仿宋" w:eastAsia="仿宋_GB2312" w:cs="仿宋"/>
              <w:sz w:val="28"/>
              <w:szCs w:val="28"/>
            </w:rPr>
          </w:pPr>
          <w:r>
            <w:fldChar w:fldCharType="begin"/>
          </w:r>
          <w:r>
            <w:instrText xml:space="preserve"> HYPERLINK \l "_Toc2180_WPSOffice_Level1" </w:instrText>
          </w:r>
          <w:r>
            <w:fldChar w:fldCharType="separate"/>
          </w:r>
          <w:sdt>
            <w:sdtPr>
              <w:rPr>
                <w:rFonts w:hint="eastAsia" w:ascii="仿宋" w:hAnsi="仿宋" w:eastAsia="仿宋" w:cs="仿宋"/>
                <w:b/>
                <w:bCs/>
                <w:sz w:val="28"/>
                <w:szCs w:val="28"/>
                <w:lang w:bidi="mn-Mong-CN"/>
              </w:rPr>
              <w:id w:val="-631177445"/>
              <w:placeholder>
                <w:docPart w:val="{0d1f5685-4a1a-46d1-9e5e-0573f4b437ba}"/>
              </w:placeholder>
            </w:sdtPr>
            <w:sdtEndPr>
              <w:rPr>
                <w:rFonts w:hint="eastAsia" w:ascii="仿宋_GB2312" w:hAnsi="Times New Roman" w:eastAsia="仿宋_GB2312" w:cs="Times New Roman"/>
                <w:b/>
                <w:bCs/>
                <w:color w:val="000000"/>
                <w:sz w:val="28"/>
                <w:szCs w:val="21"/>
                <w:lang w:bidi="ar-SA"/>
              </w:rPr>
            </w:sdtEndPr>
            <w:sdtContent>
              <w:r>
                <w:rPr>
                  <w:rFonts w:hint="eastAsia" w:ascii="仿宋_GB2312" w:eastAsia="仿宋_GB2312"/>
                  <w:b/>
                  <w:bCs/>
                  <w:color w:val="000000"/>
                  <w:sz w:val="28"/>
                  <w:szCs w:val="21"/>
                </w:rPr>
                <w:t>四、 重点工程</w:t>
              </w:r>
            </w:sdtContent>
          </w:sdt>
          <w:r>
            <w:rPr>
              <w:rFonts w:hint="eastAsia" w:ascii="仿宋_GB2312" w:eastAsia="仿宋_GB2312"/>
              <w:b/>
              <w:bCs/>
              <w:color w:val="000000"/>
              <w:sz w:val="28"/>
              <w:szCs w:val="21"/>
            </w:rPr>
            <w:tab/>
          </w:r>
          <w:bookmarkStart w:id="5" w:name="_Toc2180_WPSOffice_Level1Page"/>
          <w:r>
            <w:rPr>
              <w:rFonts w:hint="eastAsia" w:ascii="仿宋_GB2312" w:eastAsia="仿宋_GB2312"/>
              <w:b/>
              <w:bCs/>
              <w:color w:val="000000"/>
              <w:sz w:val="28"/>
              <w:szCs w:val="21"/>
            </w:rPr>
            <w:t>3</w:t>
          </w:r>
          <w:bookmarkEnd w:id="5"/>
          <w:r>
            <w:rPr>
              <w:rFonts w:hint="eastAsia" w:ascii="仿宋_GB2312" w:eastAsia="仿宋_GB2312"/>
              <w:b/>
              <w:bCs/>
              <w:color w:val="000000"/>
              <w:sz w:val="28"/>
              <w:szCs w:val="21"/>
            </w:rPr>
            <w:fldChar w:fldCharType="end"/>
          </w:r>
          <w:r>
            <w:rPr>
              <w:rFonts w:hint="eastAsia" w:ascii="仿宋_GB2312" w:eastAsia="仿宋_GB2312"/>
              <w:b/>
              <w:bCs/>
              <w:color w:val="000000"/>
              <w:sz w:val="28"/>
              <w:szCs w:val="21"/>
            </w:rPr>
            <w:t>3</w:t>
          </w:r>
        </w:p>
        <w:p w14:paraId="53BAAE07">
          <w:pPr>
            <w:pStyle w:val="24"/>
            <w:tabs>
              <w:tab w:val="right" w:leader="dot" w:pos="8306"/>
            </w:tabs>
            <w:ind w:left="480"/>
            <w:rPr>
              <w:rFonts w:ascii="仿宋_GB2312" w:eastAsia="仿宋_GB2312"/>
              <w:color w:val="000000"/>
              <w:sz w:val="28"/>
              <w:szCs w:val="21"/>
            </w:rPr>
          </w:pPr>
          <w:r>
            <w:fldChar w:fldCharType="begin"/>
          </w:r>
          <w:r>
            <w:instrText xml:space="preserve"> HYPERLINK \l "_Toc1656_WPSOffice_Level2" </w:instrText>
          </w:r>
          <w:r>
            <w:fldChar w:fldCharType="separate"/>
          </w:r>
          <w:sdt>
            <w:sdtPr>
              <w:rPr>
                <w:rFonts w:hint="eastAsia" w:ascii="仿宋_GB2312" w:eastAsia="仿宋_GB2312"/>
                <w:color w:val="000000"/>
                <w:sz w:val="28"/>
                <w:szCs w:val="21"/>
              </w:rPr>
              <w:id w:val="-1760368506"/>
              <w:placeholder>
                <w:docPart w:val="{ae27bc1c-4179-491a-b73e-f34bf74c42cf}"/>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（一）应急管理基础能力提升工程</w:t>
              </w:r>
            </w:sdtContent>
          </w:sdt>
          <w:r>
            <w:rPr>
              <w:rFonts w:hint="eastAsia" w:ascii="仿宋_GB2312" w:eastAsia="仿宋_GB2312"/>
              <w:color w:val="000000"/>
              <w:sz w:val="28"/>
              <w:szCs w:val="21"/>
            </w:rPr>
            <w:tab/>
          </w:r>
          <w:bookmarkStart w:id="6" w:name="_Toc1656_WPSOffice_Level2Page"/>
          <w:r>
            <w:rPr>
              <w:rFonts w:hint="eastAsia" w:ascii="仿宋_GB2312" w:eastAsia="仿宋_GB2312"/>
              <w:color w:val="000000"/>
              <w:sz w:val="28"/>
              <w:szCs w:val="21"/>
            </w:rPr>
            <w:t>3</w:t>
          </w:r>
          <w:bookmarkEnd w:id="6"/>
          <w:r>
            <w:rPr>
              <w:rFonts w:hint="eastAsia" w:ascii="仿宋_GB2312" w:eastAsia="仿宋_GB2312"/>
              <w:color w:val="000000"/>
              <w:sz w:val="28"/>
              <w:szCs w:val="21"/>
            </w:rPr>
            <w:fldChar w:fldCharType="end"/>
          </w:r>
          <w:r>
            <w:rPr>
              <w:rFonts w:hint="eastAsia" w:ascii="仿宋_GB2312" w:eastAsia="仿宋_GB2312"/>
              <w:color w:val="000000"/>
              <w:sz w:val="28"/>
              <w:szCs w:val="21"/>
            </w:rPr>
            <w:t>3</w:t>
          </w:r>
        </w:p>
        <w:p w14:paraId="597E46F2">
          <w:pPr>
            <w:pStyle w:val="24"/>
            <w:tabs>
              <w:tab w:val="right" w:leader="dot" w:pos="8306"/>
            </w:tabs>
            <w:ind w:left="480"/>
            <w:rPr>
              <w:rFonts w:ascii="仿宋_GB2312" w:eastAsia="仿宋_GB2312"/>
              <w:color w:val="000000"/>
              <w:sz w:val="28"/>
              <w:szCs w:val="21"/>
            </w:rPr>
          </w:pPr>
          <w:r>
            <w:fldChar w:fldCharType="begin"/>
          </w:r>
          <w:r>
            <w:instrText xml:space="preserve"> HYPERLINK \l "_Toc29955_WPSOffice_Level2" </w:instrText>
          </w:r>
          <w:r>
            <w:fldChar w:fldCharType="separate"/>
          </w:r>
          <w:sdt>
            <w:sdtPr>
              <w:rPr>
                <w:rFonts w:hint="eastAsia" w:ascii="仿宋_GB2312" w:eastAsia="仿宋_GB2312"/>
                <w:color w:val="000000"/>
                <w:sz w:val="28"/>
                <w:szCs w:val="21"/>
              </w:rPr>
              <w:id w:val="2140144885"/>
              <w:placeholder>
                <w:docPart w:val="{cedb37b1-1007-4251-9670-d0129c8018d7}"/>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（二）重点行业领域整治提升工程</w:t>
              </w:r>
            </w:sdtContent>
          </w:sdt>
          <w:r>
            <w:rPr>
              <w:rFonts w:hint="eastAsia" w:ascii="仿宋_GB2312" w:eastAsia="仿宋_GB2312"/>
              <w:color w:val="000000"/>
              <w:sz w:val="28"/>
              <w:szCs w:val="21"/>
            </w:rPr>
            <w:tab/>
          </w:r>
          <w:r>
            <w:rPr>
              <w:rFonts w:hint="eastAsia" w:ascii="仿宋_GB2312" w:eastAsia="仿宋_GB2312"/>
              <w:color w:val="000000"/>
              <w:sz w:val="28"/>
              <w:szCs w:val="21"/>
            </w:rPr>
            <w:t>3</w:t>
          </w:r>
          <w:r>
            <w:rPr>
              <w:rFonts w:hint="eastAsia" w:ascii="仿宋_GB2312" w:eastAsia="仿宋_GB2312"/>
              <w:color w:val="000000"/>
              <w:sz w:val="28"/>
              <w:szCs w:val="21"/>
            </w:rPr>
            <w:fldChar w:fldCharType="end"/>
          </w:r>
          <w:r>
            <w:rPr>
              <w:rFonts w:hint="eastAsia" w:ascii="仿宋_GB2312" w:eastAsia="仿宋_GB2312"/>
              <w:color w:val="000000"/>
              <w:sz w:val="28"/>
              <w:szCs w:val="21"/>
            </w:rPr>
            <w:t>4</w:t>
          </w:r>
        </w:p>
        <w:p w14:paraId="07F899D3">
          <w:pPr>
            <w:pStyle w:val="24"/>
            <w:tabs>
              <w:tab w:val="right" w:leader="dot" w:pos="8306"/>
            </w:tabs>
            <w:ind w:left="480"/>
            <w:rPr>
              <w:rFonts w:ascii="仿宋_GB2312" w:eastAsia="仿宋_GB2312"/>
              <w:color w:val="000000"/>
              <w:sz w:val="28"/>
              <w:szCs w:val="21"/>
            </w:rPr>
          </w:pPr>
          <w:r>
            <w:fldChar w:fldCharType="begin"/>
          </w:r>
          <w:r>
            <w:instrText xml:space="preserve"> HYPERLINK \l "_Toc32123_WPSOffice_Level2" </w:instrText>
          </w:r>
          <w:r>
            <w:fldChar w:fldCharType="separate"/>
          </w:r>
          <w:sdt>
            <w:sdtPr>
              <w:rPr>
                <w:rFonts w:hint="eastAsia" w:ascii="仿宋_GB2312" w:eastAsia="仿宋_GB2312"/>
                <w:color w:val="000000"/>
                <w:sz w:val="28"/>
                <w:szCs w:val="21"/>
              </w:rPr>
              <w:id w:val="20827979"/>
              <w:placeholder>
                <w:docPart w:val="{f51a1877-b280-4ba1-a8b9-01aa5082db22}"/>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（三）自然灾害风险防治提升工程</w:t>
              </w:r>
            </w:sdtContent>
          </w:sdt>
          <w:r>
            <w:rPr>
              <w:rFonts w:hint="eastAsia" w:ascii="仿宋_GB2312" w:eastAsia="仿宋_GB2312"/>
              <w:color w:val="000000"/>
              <w:sz w:val="28"/>
              <w:szCs w:val="21"/>
            </w:rPr>
            <w:tab/>
          </w:r>
          <w:r>
            <w:rPr>
              <w:rFonts w:hint="eastAsia" w:ascii="仿宋_GB2312" w:eastAsia="仿宋_GB2312"/>
              <w:color w:val="000000"/>
              <w:sz w:val="28"/>
              <w:szCs w:val="21"/>
            </w:rPr>
            <w:t>4</w:t>
          </w:r>
          <w:r>
            <w:rPr>
              <w:rFonts w:hint="eastAsia" w:ascii="仿宋_GB2312" w:eastAsia="仿宋_GB2312"/>
              <w:color w:val="000000"/>
              <w:sz w:val="28"/>
              <w:szCs w:val="21"/>
            </w:rPr>
            <w:fldChar w:fldCharType="end"/>
          </w:r>
          <w:r>
            <w:rPr>
              <w:rFonts w:hint="eastAsia" w:ascii="仿宋_GB2312" w:eastAsia="仿宋_GB2312"/>
              <w:color w:val="000000"/>
              <w:sz w:val="28"/>
              <w:szCs w:val="21"/>
            </w:rPr>
            <w:t>0</w:t>
          </w:r>
        </w:p>
        <w:p w14:paraId="6B808721">
          <w:pPr>
            <w:pStyle w:val="24"/>
            <w:tabs>
              <w:tab w:val="right" w:leader="dot" w:pos="8306"/>
            </w:tabs>
            <w:ind w:left="480"/>
            <w:rPr>
              <w:rFonts w:ascii="仿宋" w:hAnsi="仿宋" w:eastAsia="仿宋_GB2312" w:cs="仿宋"/>
              <w:sz w:val="28"/>
              <w:szCs w:val="28"/>
            </w:rPr>
          </w:pPr>
          <w:r>
            <w:fldChar w:fldCharType="begin"/>
          </w:r>
          <w:r>
            <w:instrText xml:space="preserve"> HYPERLINK \l "_Toc30453_WPSOffice_Level2" </w:instrText>
          </w:r>
          <w:r>
            <w:fldChar w:fldCharType="separate"/>
          </w:r>
          <w:sdt>
            <w:sdtPr>
              <w:rPr>
                <w:rFonts w:hint="eastAsia" w:ascii="仿宋_GB2312" w:eastAsia="仿宋_GB2312"/>
                <w:color w:val="000000"/>
                <w:sz w:val="28"/>
                <w:szCs w:val="21"/>
              </w:rPr>
              <w:id w:val="1000160047"/>
              <w:placeholder>
                <w:docPart w:val="{5099e653-f5e7-4816-b44a-1b68abeb78ad}"/>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（四）应急救援保障能力提升工程</w:t>
              </w:r>
            </w:sdtContent>
          </w:sdt>
          <w:r>
            <w:rPr>
              <w:rFonts w:hint="eastAsia" w:ascii="仿宋_GB2312" w:eastAsia="仿宋_GB2312"/>
              <w:color w:val="000000"/>
              <w:sz w:val="28"/>
              <w:szCs w:val="21"/>
            </w:rPr>
            <w:tab/>
          </w:r>
          <w:bookmarkStart w:id="7" w:name="_Toc30453_WPSOffice_Level2Page"/>
          <w:r>
            <w:rPr>
              <w:rFonts w:hint="eastAsia" w:ascii="仿宋_GB2312" w:eastAsia="仿宋_GB2312"/>
              <w:color w:val="000000"/>
              <w:sz w:val="28"/>
              <w:szCs w:val="21"/>
            </w:rPr>
            <w:t>4</w:t>
          </w:r>
          <w:bookmarkEnd w:id="7"/>
          <w:r>
            <w:rPr>
              <w:rFonts w:hint="eastAsia" w:ascii="仿宋_GB2312" w:eastAsia="仿宋_GB2312"/>
              <w:color w:val="000000"/>
              <w:sz w:val="28"/>
              <w:szCs w:val="21"/>
            </w:rPr>
            <w:fldChar w:fldCharType="end"/>
          </w:r>
          <w:r>
            <w:rPr>
              <w:rFonts w:hint="eastAsia" w:ascii="仿宋_GB2312" w:eastAsia="仿宋_GB2312"/>
              <w:color w:val="000000"/>
              <w:sz w:val="28"/>
              <w:szCs w:val="21"/>
            </w:rPr>
            <w:t>4</w:t>
          </w:r>
        </w:p>
        <w:p w14:paraId="6169C659">
          <w:pPr>
            <w:pStyle w:val="24"/>
            <w:tabs>
              <w:tab w:val="right" w:leader="dot" w:pos="8306"/>
            </w:tabs>
            <w:ind w:left="480"/>
            <w:rPr>
              <w:rFonts w:ascii="仿宋_GB2312" w:eastAsia="仿宋_GB2312"/>
              <w:color w:val="000000"/>
              <w:sz w:val="28"/>
              <w:szCs w:val="21"/>
            </w:rPr>
          </w:pPr>
          <w:r>
            <w:fldChar w:fldCharType="begin"/>
          </w:r>
          <w:r>
            <w:instrText xml:space="preserve"> HYPERLINK \l "_Toc25683_WPSOffice_Level2" </w:instrText>
          </w:r>
          <w:r>
            <w:fldChar w:fldCharType="separate"/>
          </w:r>
          <w:sdt>
            <w:sdtPr>
              <w:rPr>
                <w:rFonts w:hint="eastAsia" w:ascii="仿宋_GB2312" w:eastAsia="仿宋_GB2312"/>
                <w:color w:val="000000"/>
                <w:sz w:val="28"/>
                <w:szCs w:val="21"/>
              </w:rPr>
              <w:id w:val="-1399590477"/>
              <w:placeholder>
                <w:docPart w:val="{82c10f51-1c38-46bd-b04a-61cd8baf4242}"/>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（五）全民应急素养宣教提升工程</w:t>
              </w:r>
            </w:sdtContent>
          </w:sdt>
          <w:r>
            <w:rPr>
              <w:rFonts w:hint="eastAsia" w:ascii="仿宋_GB2312" w:eastAsia="仿宋_GB2312"/>
              <w:color w:val="000000"/>
              <w:sz w:val="28"/>
              <w:szCs w:val="21"/>
            </w:rPr>
            <w:tab/>
          </w:r>
          <w:r>
            <w:rPr>
              <w:rFonts w:hint="eastAsia" w:ascii="仿宋_GB2312" w:eastAsia="仿宋_GB2312"/>
              <w:color w:val="000000"/>
              <w:sz w:val="28"/>
              <w:szCs w:val="21"/>
            </w:rPr>
            <w:fldChar w:fldCharType="end"/>
          </w:r>
          <w:r>
            <w:rPr>
              <w:rFonts w:hint="eastAsia" w:ascii="仿宋_GB2312" w:eastAsia="仿宋_GB2312"/>
              <w:color w:val="000000"/>
              <w:sz w:val="28"/>
              <w:szCs w:val="21"/>
            </w:rPr>
            <w:t>46</w:t>
          </w:r>
        </w:p>
        <w:p w14:paraId="6522DBDC">
          <w:pPr>
            <w:pStyle w:val="23"/>
            <w:tabs>
              <w:tab w:val="right" w:leader="dot" w:pos="8306"/>
            </w:tabs>
            <w:rPr>
              <w:rFonts w:ascii="仿宋" w:hAnsi="仿宋" w:eastAsia="仿宋" w:cs="仿宋"/>
              <w:sz w:val="28"/>
              <w:szCs w:val="28"/>
            </w:rPr>
          </w:pPr>
          <w:r>
            <w:fldChar w:fldCharType="begin"/>
          </w:r>
          <w:r>
            <w:instrText xml:space="preserve"> HYPERLINK \l "_Toc14863_WPSOffice_Level1" </w:instrText>
          </w:r>
          <w:r>
            <w:fldChar w:fldCharType="separate"/>
          </w:r>
          <w:sdt>
            <w:sdtPr>
              <w:rPr>
                <w:rFonts w:hint="eastAsia" w:ascii="仿宋_GB2312" w:eastAsia="仿宋_GB2312"/>
                <w:b/>
                <w:bCs/>
                <w:color w:val="000000"/>
                <w:sz w:val="28"/>
                <w:szCs w:val="21"/>
              </w:rPr>
              <w:id w:val="-1446377749"/>
              <w:placeholder>
                <w:docPart w:val="{2eb6074b-5853-491a-a36d-0799906c0029}"/>
              </w:placeholder>
            </w:sdtPr>
            <w:sdtEndPr>
              <w:rPr>
                <w:rFonts w:hint="eastAsia" w:ascii="仿宋_GB2312" w:eastAsia="仿宋_GB2312"/>
                <w:b/>
                <w:bCs/>
                <w:color w:val="000000"/>
                <w:sz w:val="28"/>
                <w:szCs w:val="21"/>
              </w:rPr>
            </w:sdtEndPr>
            <w:sdtContent>
              <w:r>
                <w:rPr>
                  <w:rFonts w:hint="eastAsia" w:ascii="仿宋_GB2312" w:eastAsia="仿宋_GB2312"/>
                  <w:b/>
                  <w:bCs/>
                  <w:color w:val="000000"/>
                  <w:sz w:val="28"/>
                  <w:szCs w:val="21"/>
                </w:rPr>
                <w:t>五、 保障措施</w:t>
              </w:r>
            </w:sdtContent>
          </w:sdt>
          <w:r>
            <w:rPr>
              <w:rFonts w:hint="eastAsia" w:ascii="仿宋_GB2312" w:eastAsia="仿宋_GB2312"/>
              <w:b/>
              <w:bCs/>
              <w:color w:val="000000"/>
              <w:sz w:val="28"/>
              <w:szCs w:val="21"/>
            </w:rPr>
            <w:tab/>
          </w:r>
          <w:r>
            <w:rPr>
              <w:rFonts w:hint="eastAsia" w:ascii="仿宋_GB2312" w:eastAsia="仿宋_GB2312"/>
              <w:b/>
              <w:bCs/>
              <w:color w:val="000000"/>
              <w:sz w:val="28"/>
              <w:szCs w:val="21"/>
            </w:rPr>
            <w:t>4</w:t>
          </w:r>
          <w:r>
            <w:rPr>
              <w:rFonts w:hint="eastAsia" w:ascii="仿宋_GB2312" w:eastAsia="仿宋_GB2312"/>
              <w:b/>
              <w:bCs/>
              <w:color w:val="000000"/>
              <w:sz w:val="28"/>
              <w:szCs w:val="21"/>
            </w:rPr>
            <w:fldChar w:fldCharType="end"/>
          </w:r>
          <w:r>
            <w:rPr>
              <w:rFonts w:hint="eastAsia" w:ascii="仿宋_GB2312" w:eastAsia="仿宋_GB2312"/>
              <w:b/>
              <w:bCs/>
              <w:color w:val="000000"/>
              <w:sz w:val="28"/>
              <w:szCs w:val="21"/>
            </w:rPr>
            <w:t>7</w:t>
          </w:r>
        </w:p>
        <w:p w14:paraId="58207EBC">
          <w:pPr>
            <w:pStyle w:val="24"/>
            <w:tabs>
              <w:tab w:val="right" w:leader="dot" w:pos="8306"/>
            </w:tabs>
            <w:ind w:left="480"/>
            <w:rPr>
              <w:rFonts w:ascii="仿宋" w:hAnsi="仿宋" w:eastAsia="仿宋" w:cs="仿宋"/>
              <w:sz w:val="28"/>
              <w:szCs w:val="28"/>
            </w:rPr>
          </w:pPr>
          <w:r>
            <w:fldChar w:fldCharType="begin"/>
          </w:r>
          <w:r>
            <w:instrText xml:space="preserve"> HYPERLINK \l "_Toc6024_WPSOffice_Level2" </w:instrText>
          </w:r>
          <w:r>
            <w:fldChar w:fldCharType="separate"/>
          </w:r>
          <w:sdt>
            <w:sdtPr>
              <w:rPr>
                <w:rFonts w:hint="eastAsia" w:ascii="仿宋_GB2312" w:eastAsia="仿宋_GB2312"/>
                <w:color w:val="000000"/>
                <w:sz w:val="28"/>
                <w:szCs w:val="21"/>
              </w:rPr>
              <w:id w:val="677928303"/>
              <w:placeholder>
                <w:docPart w:val="{08c07cfe-4f3b-4ecf-81e2-c9f98dae03dc}"/>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（一）强化组织领导</w:t>
              </w:r>
            </w:sdtContent>
          </w:sdt>
          <w:r>
            <w:rPr>
              <w:rFonts w:hint="eastAsia" w:ascii="仿宋_GB2312" w:eastAsia="仿宋_GB2312"/>
              <w:color w:val="000000"/>
              <w:sz w:val="28"/>
              <w:szCs w:val="21"/>
            </w:rPr>
            <w:tab/>
          </w:r>
          <w:r>
            <w:rPr>
              <w:rFonts w:hint="eastAsia" w:ascii="仿宋_GB2312" w:eastAsia="仿宋_GB2312"/>
              <w:color w:val="000000"/>
              <w:sz w:val="28"/>
              <w:szCs w:val="21"/>
            </w:rPr>
            <w:t>4</w:t>
          </w:r>
          <w:r>
            <w:rPr>
              <w:rFonts w:hint="eastAsia" w:ascii="仿宋_GB2312" w:eastAsia="仿宋_GB2312"/>
              <w:color w:val="000000"/>
              <w:sz w:val="28"/>
              <w:szCs w:val="21"/>
            </w:rPr>
            <w:fldChar w:fldCharType="end"/>
          </w:r>
          <w:r>
            <w:rPr>
              <w:rFonts w:hint="eastAsia" w:ascii="仿宋_GB2312" w:eastAsia="仿宋_GB2312"/>
              <w:color w:val="000000"/>
              <w:sz w:val="28"/>
              <w:szCs w:val="21"/>
            </w:rPr>
            <w:t>7</w:t>
          </w:r>
        </w:p>
        <w:p w14:paraId="6233D722">
          <w:pPr>
            <w:pStyle w:val="24"/>
            <w:tabs>
              <w:tab w:val="right" w:leader="dot" w:pos="8306"/>
            </w:tabs>
            <w:ind w:left="480"/>
            <w:rPr>
              <w:rFonts w:ascii="仿宋_GB2312" w:eastAsia="仿宋_GB2312"/>
              <w:color w:val="000000"/>
              <w:sz w:val="28"/>
              <w:szCs w:val="21"/>
            </w:rPr>
          </w:pPr>
          <w:r>
            <w:fldChar w:fldCharType="begin"/>
          </w:r>
          <w:r>
            <w:instrText xml:space="preserve"> HYPERLINK \l "_Toc12776_WPSOffice_Level2" </w:instrText>
          </w:r>
          <w:r>
            <w:fldChar w:fldCharType="separate"/>
          </w:r>
          <w:sdt>
            <w:sdtPr>
              <w:rPr>
                <w:rFonts w:hint="eastAsia" w:ascii="仿宋_GB2312" w:eastAsia="仿宋_GB2312"/>
                <w:color w:val="000000"/>
                <w:sz w:val="28"/>
                <w:szCs w:val="21"/>
              </w:rPr>
              <w:id w:val="-874075634"/>
              <w:placeholder>
                <w:docPart w:val="{32a66411-594b-4d45-a359-4e28c7533d49}"/>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（二）加强资金保障</w:t>
              </w:r>
            </w:sdtContent>
          </w:sdt>
          <w:r>
            <w:rPr>
              <w:rFonts w:hint="eastAsia" w:ascii="仿宋_GB2312" w:eastAsia="仿宋_GB2312"/>
              <w:color w:val="000000"/>
              <w:sz w:val="28"/>
              <w:szCs w:val="21"/>
            </w:rPr>
            <w:tab/>
          </w:r>
          <w:r>
            <w:rPr>
              <w:rFonts w:hint="eastAsia" w:ascii="仿宋_GB2312" w:eastAsia="仿宋_GB2312"/>
              <w:color w:val="000000"/>
              <w:sz w:val="28"/>
              <w:szCs w:val="21"/>
            </w:rPr>
            <w:t>4</w:t>
          </w:r>
          <w:r>
            <w:rPr>
              <w:rFonts w:hint="eastAsia" w:ascii="仿宋_GB2312" w:eastAsia="仿宋_GB2312"/>
              <w:color w:val="000000"/>
              <w:sz w:val="28"/>
              <w:szCs w:val="21"/>
            </w:rPr>
            <w:fldChar w:fldCharType="end"/>
          </w:r>
          <w:r>
            <w:rPr>
              <w:rFonts w:hint="eastAsia" w:ascii="仿宋_GB2312" w:eastAsia="仿宋_GB2312"/>
              <w:color w:val="000000"/>
              <w:sz w:val="28"/>
              <w:szCs w:val="21"/>
            </w:rPr>
            <w:t>7</w:t>
          </w:r>
        </w:p>
        <w:p w14:paraId="537C173E">
          <w:pPr>
            <w:pStyle w:val="24"/>
            <w:tabs>
              <w:tab w:val="right" w:leader="dot" w:pos="8306"/>
            </w:tabs>
            <w:ind w:left="480"/>
            <w:rPr>
              <w:rFonts w:ascii="仿宋_GB2312" w:eastAsia="仿宋_GB2312"/>
              <w:color w:val="000000"/>
              <w:sz w:val="28"/>
              <w:szCs w:val="21"/>
            </w:rPr>
          </w:pPr>
          <w:r>
            <w:fldChar w:fldCharType="begin"/>
          </w:r>
          <w:r>
            <w:instrText xml:space="preserve"> HYPERLINK \l "_Toc5373_WPSOffice_Level2" </w:instrText>
          </w:r>
          <w:r>
            <w:fldChar w:fldCharType="separate"/>
          </w:r>
          <w:sdt>
            <w:sdtPr>
              <w:rPr>
                <w:rFonts w:hint="eastAsia" w:ascii="仿宋_GB2312" w:eastAsia="仿宋_GB2312"/>
                <w:color w:val="000000"/>
                <w:sz w:val="28"/>
                <w:szCs w:val="21"/>
              </w:rPr>
              <w:id w:val="1646853165"/>
              <w:placeholder>
                <w:docPart w:val="{5ffe5820-05c2-4e45-bba2-97ad62ffcf64}"/>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（三）加强协调衔接</w:t>
              </w:r>
            </w:sdtContent>
          </w:sdt>
          <w:r>
            <w:rPr>
              <w:rFonts w:hint="eastAsia" w:ascii="仿宋_GB2312" w:eastAsia="仿宋_GB2312"/>
              <w:color w:val="000000"/>
              <w:sz w:val="28"/>
              <w:szCs w:val="21"/>
            </w:rPr>
            <w:tab/>
          </w:r>
          <w:r>
            <w:rPr>
              <w:rFonts w:hint="eastAsia" w:ascii="仿宋_GB2312" w:eastAsia="仿宋_GB2312"/>
              <w:color w:val="000000"/>
              <w:sz w:val="28"/>
              <w:szCs w:val="21"/>
            </w:rPr>
            <w:t>4</w:t>
          </w:r>
          <w:r>
            <w:rPr>
              <w:rFonts w:hint="eastAsia" w:ascii="仿宋_GB2312" w:eastAsia="仿宋_GB2312"/>
              <w:color w:val="000000"/>
              <w:sz w:val="28"/>
              <w:szCs w:val="21"/>
            </w:rPr>
            <w:fldChar w:fldCharType="end"/>
          </w:r>
          <w:r>
            <w:rPr>
              <w:rFonts w:hint="eastAsia" w:ascii="仿宋_GB2312" w:eastAsia="仿宋_GB2312"/>
              <w:color w:val="000000"/>
              <w:sz w:val="28"/>
              <w:szCs w:val="21"/>
            </w:rPr>
            <w:t>8</w:t>
          </w:r>
        </w:p>
        <w:p w14:paraId="4415E8E9">
          <w:pPr>
            <w:pStyle w:val="24"/>
            <w:tabs>
              <w:tab w:val="right" w:leader="dot" w:pos="8306"/>
            </w:tabs>
            <w:ind w:left="480"/>
            <w:rPr>
              <w:rFonts w:ascii="仿宋_GB2312" w:eastAsia="仿宋_GB2312"/>
              <w:color w:val="000000"/>
              <w:sz w:val="28"/>
              <w:szCs w:val="21"/>
            </w:rPr>
          </w:pPr>
          <w:r>
            <w:fldChar w:fldCharType="begin"/>
          </w:r>
          <w:r>
            <w:instrText xml:space="preserve"> HYPERLINK \l "_Toc10891_WPSOffice_Level2" </w:instrText>
          </w:r>
          <w:r>
            <w:fldChar w:fldCharType="separate"/>
          </w:r>
          <w:sdt>
            <w:sdtPr>
              <w:rPr>
                <w:rFonts w:hint="eastAsia" w:ascii="仿宋_GB2312" w:eastAsia="仿宋_GB2312"/>
                <w:color w:val="000000"/>
                <w:sz w:val="28"/>
                <w:szCs w:val="21"/>
              </w:rPr>
              <w:id w:val="1719237100"/>
              <w:placeholder>
                <w:docPart w:val="{de34cab3-e966-474f-9a61-4b36d3e0ac09}"/>
              </w:placeholder>
            </w:sdtPr>
            <w:sdtEndPr>
              <w:rPr>
                <w:rFonts w:hint="eastAsia" w:ascii="仿宋_GB2312" w:eastAsia="仿宋_GB2312"/>
                <w:color w:val="000000"/>
                <w:sz w:val="28"/>
                <w:szCs w:val="21"/>
              </w:rPr>
            </w:sdtEndPr>
            <w:sdtContent>
              <w:r>
                <w:rPr>
                  <w:rFonts w:hint="eastAsia" w:ascii="仿宋_GB2312" w:eastAsia="仿宋_GB2312"/>
                  <w:color w:val="000000"/>
                  <w:sz w:val="28"/>
                  <w:szCs w:val="21"/>
                </w:rPr>
                <w:t>（四）严格考核评估</w:t>
              </w:r>
            </w:sdtContent>
          </w:sdt>
          <w:r>
            <w:rPr>
              <w:rFonts w:hint="eastAsia" w:ascii="仿宋_GB2312" w:eastAsia="仿宋_GB2312"/>
              <w:color w:val="000000"/>
              <w:sz w:val="28"/>
              <w:szCs w:val="21"/>
            </w:rPr>
            <w:tab/>
          </w:r>
          <w:r>
            <w:rPr>
              <w:rFonts w:hint="eastAsia" w:ascii="仿宋_GB2312" w:eastAsia="仿宋_GB2312"/>
              <w:color w:val="000000"/>
              <w:sz w:val="28"/>
              <w:szCs w:val="21"/>
            </w:rPr>
            <w:t>4</w:t>
          </w:r>
          <w:r>
            <w:rPr>
              <w:rFonts w:hint="eastAsia" w:ascii="仿宋_GB2312" w:eastAsia="仿宋_GB2312"/>
              <w:color w:val="000000"/>
              <w:sz w:val="28"/>
              <w:szCs w:val="21"/>
            </w:rPr>
            <w:fldChar w:fldCharType="end"/>
          </w:r>
          <w:bookmarkEnd w:id="0"/>
          <w:r>
            <w:rPr>
              <w:rFonts w:hint="eastAsia" w:ascii="仿宋_GB2312" w:eastAsia="仿宋_GB2312"/>
              <w:color w:val="000000"/>
              <w:sz w:val="28"/>
              <w:szCs w:val="21"/>
            </w:rPr>
            <w:t>8</w:t>
          </w:r>
        </w:p>
      </w:sdtContent>
    </w:sdt>
    <w:p w14:paraId="49FFC08F">
      <w:pPr>
        <w:pStyle w:val="8"/>
        <w:adjustRightInd/>
        <w:spacing w:line="560" w:lineRule="exact"/>
        <w:ind w:left="0"/>
        <w:jc w:val="center"/>
        <w:rPr>
          <w:rFonts w:ascii="仿宋" w:hAnsi="仿宋" w:eastAsia="仿宋" w:cs="仿宋"/>
          <w:b/>
          <w:bCs/>
          <w:color w:val="000000"/>
          <w:sz w:val="28"/>
          <w:szCs w:val="28"/>
        </w:rPr>
      </w:pPr>
    </w:p>
    <w:p w14:paraId="72B18EE5">
      <w:pPr>
        <w:rPr>
          <w:rFonts w:hint="default" w:ascii="仿宋" w:hAnsi="仿宋" w:eastAsia="仿宋" w:cs="仿宋"/>
          <w:sz w:val="28"/>
          <w:szCs w:val="28"/>
        </w:rPr>
      </w:pPr>
    </w:p>
    <w:p w14:paraId="3F6EDE6B">
      <w:pPr>
        <w:rPr>
          <w:rFonts w:hint="default" w:ascii="仿宋" w:hAnsi="仿宋" w:eastAsia="仿宋" w:cs="仿宋"/>
          <w:sz w:val="28"/>
          <w:szCs w:val="28"/>
        </w:rPr>
      </w:pPr>
    </w:p>
    <w:p w14:paraId="6D17E797">
      <w:pPr>
        <w:rPr>
          <w:rFonts w:hint="default" w:ascii="仿宋" w:hAnsi="仿宋" w:eastAsia="仿宋" w:cs="仿宋"/>
          <w:sz w:val="28"/>
          <w:szCs w:val="28"/>
        </w:rPr>
      </w:pPr>
    </w:p>
    <w:p w14:paraId="4304823C">
      <w:pPr>
        <w:rPr>
          <w:rFonts w:hint="default" w:ascii="仿宋" w:hAnsi="仿宋" w:eastAsia="仿宋" w:cs="仿宋"/>
          <w:sz w:val="28"/>
          <w:szCs w:val="28"/>
        </w:rPr>
      </w:pPr>
    </w:p>
    <w:p w14:paraId="27EBD88C">
      <w:pPr>
        <w:rPr>
          <w:rFonts w:hint="default" w:ascii="仿宋" w:hAnsi="仿宋" w:eastAsia="仿宋" w:cs="仿宋"/>
          <w:sz w:val="28"/>
          <w:szCs w:val="28"/>
        </w:rPr>
      </w:pPr>
    </w:p>
    <w:p w14:paraId="4CBF2DED">
      <w:pPr>
        <w:pStyle w:val="2"/>
        <w:rPr>
          <w:rFonts w:hint="default" w:ascii="仿宋" w:hAnsi="仿宋" w:eastAsia="仿宋" w:cs="仿宋"/>
          <w:sz w:val="28"/>
          <w:szCs w:val="28"/>
        </w:rPr>
      </w:pPr>
    </w:p>
    <w:p w14:paraId="09DEE68A">
      <w:pPr>
        <w:pStyle w:val="2"/>
        <w:rPr>
          <w:rFonts w:hint="default" w:ascii="仿宋" w:hAnsi="仿宋" w:eastAsia="仿宋" w:cs="仿宋"/>
          <w:sz w:val="28"/>
          <w:szCs w:val="28"/>
        </w:rPr>
      </w:pPr>
    </w:p>
    <w:p w14:paraId="2F25217D">
      <w:pPr>
        <w:pStyle w:val="2"/>
        <w:rPr>
          <w:rFonts w:hint="default"/>
        </w:rPr>
      </w:pPr>
    </w:p>
    <w:p w14:paraId="4BD900FB">
      <w:pPr>
        <w:pStyle w:val="2"/>
        <w:rPr>
          <w:rFonts w:hint="default"/>
        </w:rPr>
      </w:pPr>
    </w:p>
    <w:p w14:paraId="1641ED74">
      <w:pPr>
        <w:pStyle w:val="2"/>
        <w:rPr>
          <w:rFonts w:hint="default"/>
        </w:rPr>
      </w:pPr>
    </w:p>
    <w:p w14:paraId="4C68419E">
      <w:pPr>
        <w:pStyle w:val="2"/>
        <w:rPr>
          <w:rFonts w:hint="default"/>
        </w:rPr>
      </w:pPr>
    </w:p>
    <w:p w14:paraId="57EDEBD4">
      <w:pPr>
        <w:pStyle w:val="2"/>
        <w:rPr>
          <w:rFonts w:hint="default"/>
        </w:rPr>
      </w:pPr>
    </w:p>
    <w:p w14:paraId="7D147909">
      <w:pPr>
        <w:pStyle w:val="2"/>
        <w:rPr>
          <w:rFonts w:hint="default"/>
        </w:rPr>
      </w:pPr>
    </w:p>
    <w:p w14:paraId="26E09A33">
      <w:pPr>
        <w:pStyle w:val="2"/>
        <w:rPr>
          <w:rFonts w:hint="default"/>
        </w:rPr>
      </w:pPr>
    </w:p>
    <w:p w14:paraId="395EF6A5">
      <w:pPr>
        <w:pStyle w:val="2"/>
        <w:rPr>
          <w:rFonts w:hint="default"/>
        </w:rPr>
      </w:pPr>
    </w:p>
    <w:p w14:paraId="61775DD2">
      <w:pPr>
        <w:pStyle w:val="2"/>
        <w:rPr>
          <w:rFonts w:hint="default"/>
        </w:rPr>
      </w:pPr>
    </w:p>
    <w:p w14:paraId="745C88E0">
      <w:pPr>
        <w:pStyle w:val="2"/>
        <w:rPr>
          <w:rFonts w:hint="default"/>
        </w:rPr>
      </w:pPr>
    </w:p>
    <w:p w14:paraId="62865773">
      <w:pPr>
        <w:pStyle w:val="2"/>
        <w:rPr>
          <w:rFonts w:hint="default"/>
        </w:rPr>
      </w:pPr>
    </w:p>
    <w:p w14:paraId="1F3B5B57">
      <w:pPr>
        <w:jc w:val="both"/>
        <w:rPr>
          <w:rFonts w:hint="default" w:ascii="黑体" w:hAnsi="黑体" w:eastAsia="黑体"/>
          <w:color w:val="000000"/>
          <w:sz w:val="32"/>
          <w:szCs w:val="32"/>
        </w:rPr>
      </w:pPr>
    </w:p>
    <w:p w14:paraId="4B8572AB">
      <w:pPr>
        <w:pStyle w:val="2"/>
        <w:rPr>
          <w:rFonts w:hint="default" w:ascii="黑体" w:hAnsi="黑体" w:eastAsia="黑体"/>
          <w:color w:val="000000"/>
          <w:sz w:val="32"/>
          <w:szCs w:val="32"/>
        </w:rPr>
      </w:pPr>
    </w:p>
    <w:p w14:paraId="2F2D33A2">
      <w:pPr>
        <w:pStyle w:val="2"/>
        <w:rPr>
          <w:rFonts w:hint="default" w:ascii="黑体" w:hAnsi="黑体" w:eastAsia="黑体"/>
          <w:color w:val="000000"/>
          <w:sz w:val="32"/>
          <w:szCs w:val="32"/>
        </w:rPr>
      </w:pPr>
    </w:p>
    <w:p w14:paraId="713081C8">
      <w:pPr>
        <w:jc w:val="center"/>
        <w:outlineLvl w:val="0"/>
        <w:rPr>
          <w:rFonts w:hint="default" w:ascii="黑体" w:hAnsi="黑体" w:eastAsia="黑体"/>
          <w:color w:val="000000"/>
          <w:sz w:val="32"/>
          <w:szCs w:val="32"/>
        </w:rPr>
      </w:pPr>
      <w:bookmarkStart w:id="8" w:name="_Toc24180_WPSOffice_Level1"/>
      <w:r>
        <w:rPr>
          <w:rFonts w:ascii="黑体" w:hAnsi="黑体" w:eastAsia="黑体"/>
          <w:color w:val="000000"/>
          <w:sz w:val="32"/>
          <w:szCs w:val="32"/>
        </w:rPr>
        <w:t>前  言</w:t>
      </w:r>
      <w:bookmarkEnd w:id="8"/>
    </w:p>
    <w:p w14:paraId="134631CE">
      <w:pPr>
        <w:ind w:firstLine="560" w:firstLineChars="200"/>
        <w:jc w:val="both"/>
        <w:rPr>
          <w:rFonts w:hint="default" w:ascii="仿宋_GB2312" w:eastAsia="仿宋_GB2312"/>
          <w:color w:val="000000"/>
          <w:sz w:val="28"/>
          <w:szCs w:val="21"/>
        </w:rPr>
        <w:sectPr>
          <w:type w:val="continuous"/>
          <w:pgSz w:w="11906" w:h="16838"/>
          <w:pgMar w:top="1440" w:right="1800" w:bottom="1440" w:left="1800" w:header="851" w:footer="992" w:gutter="0"/>
          <w:cols w:space="425" w:num="1"/>
          <w:docGrid w:type="lines" w:linePitch="312" w:charSpace="0"/>
        </w:sectPr>
      </w:pPr>
      <w:r>
        <w:rPr>
          <w:rFonts w:ascii="仿宋_GB2312" w:eastAsia="仿宋_GB2312"/>
          <w:color w:val="000000"/>
          <w:sz w:val="28"/>
          <w:szCs w:val="21"/>
        </w:rPr>
        <w:t>“十四五”时期是我国全面建成小康社会、实现第一个百年奋斗目标之后，乘势而上开启全面建设社会主义现代化国家新征程、向第二个百年奋斗目标进军的第一个五年，也是达拉特旗深入贯彻新发展理念，全面落实习近平总书记关于内蒙古工作的重要讲话和重要指示批示精神，推动经济社会高质量发展的关键五年，更是达拉特旗应急管理机构改革后，全力构建“大安全、大应急、大减灾”应急能力体系建设的重要时期。为推进应急管理体系和能力现代化，有效防范化解重大安全风险、及时应对处置各类灾害事故，切实保障人民群众生命财产安全和维护社会稳定，依据《中华人民共和国突发事件应对法》《中华人民共和国安全生产法》《“十四五”国家应急体系规划》《内蒙古自治区应急体系建设“十四五”规划》《鄂尔多斯市应急体系建设“十四五”规划》《达拉特旗国民经济和社会发展第十四个五年规划和2035年远景目标纲要》等有关法律、法规和政策文件，制定本规划。</w:t>
      </w:r>
    </w:p>
    <w:p w14:paraId="28B24A6D">
      <w:pPr>
        <w:pStyle w:val="2"/>
        <w:ind w:firstLine="0"/>
        <w:rPr>
          <w:rFonts w:hint="default"/>
        </w:rPr>
      </w:pPr>
    </w:p>
    <w:p w14:paraId="3413E975">
      <w:pPr>
        <w:pStyle w:val="2"/>
        <w:ind w:firstLine="0"/>
        <w:rPr>
          <w:rFonts w:hint="default"/>
        </w:rPr>
      </w:pPr>
    </w:p>
    <w:p w14:paraId="0FF9D265">
      <w:pPr>
        <w:pStyle w:val="2"/>
        <w:ind w:firstLine="0"/>
        <w:rPr>
          <w:rFonts w:hint="default"/>
        </w:rPr>
      </w:pPr>
    </w:p>
    <w:p w14:paraId="26B6C006">
      <w:pPr>
        <w:pStyle w:val="2"/>
        <w:ind w:firstLine="0"/>
        <w:rPr>
          <w:rFonts w:hint="default"/>
        </w:rPr>
      </w:pPr>
    </w:p>
    <w:p w14:paraId="17AB0187">
      <w:pPr>
        <w:pStyle w:val="2"/>
        <w:ind w:firstLine="0"/>
        <w:rPr>
          <w:rFonts w:hint="default"/>
        </w:rPr>
      </w:pPr>
    </w:p>
    <w:p w14:paraId="72E3153F">
      <w:pPr>
        <w:pStyle w:val="2"/>
        <w:ind w:firstLine="0"/>
        <w:rPr>
          <w:rFonts w:hint="default"/>
        </w:rPr>
      </w:pPr>
    </w:p>
    <w:p w14:paraId="7B921950">
      <w:pPr>
        <w:pStyle w:val="2"/>
        <w:ind w:firstLine="0"/>
        <w:rPr>
          <w:rFonts w:hint="default"/>
        </w:rPr>
      </w:pPr>
    </w:p>
    <w:p w14:paraId="4699874A">
      <w:pPr>
        <w:pStyle w:val="2"/>
        <w:ind w:firstLine="0"/>
        <w:rPr>
          <w:rFonts w:hint="default"/>
        </w:rPr>
      </w:pPr>
    </w:p>
    <w:p w14:paraId="047B0478">
      <w:pPr>
        <w:pStyle w:val="2"/>
        <w:ind w:firstLine="0"/>
        <w:rPr>
          <w:rFonts w:hint="default"/>
        </w:rPr>
      </w:pPr>
    </w:p>
    <w:p w14:paraId="2317CD7B">
      <w:pPr>
        <w:pStyle w:val="2"/>
        <w:ind w:firstLine="0"/>
        <w:rPr>
          <w:rFonts w:hint="default"/>
        </w:rPr>
      </w:pPr>
    </w:p>
    <w:p w14:paraId="3F8EE74B">
      <w:pPr>
        <w:pStyle w:val="3"/>
        <w:numPr>
          <w:ilvl w:val="0"/>
          <w:numId w:val="1"/>
        </w:numPr>
        <w:adjustRightInd/>
        <w:spacing w:line="560" w:lineRule="exact"/>
        <w:jc w:val="both"/>
        <w:rPr>
          <w:rFonts w:ascii="黑体" w:hAnsi="黑体" w:eastAsia="黑体" w:cs="黑体"/>
          <w:sz w:val="28"/>
          <w:szCs w:val="28"/>
        </w:rPr>
        <w:sectPr>
          <w:footerReference r:id="rId3" w:type="default"/>
          <w:type w:val="continuous"/>
          <w:pgSz w:w="11906" w:h="16838"/>
          <w:pgMar w:top="1440" w:right="1800" w:bottom="1440" w:left="1800" w:header="851" w:footer="992" w:gutter="0"/>
          <w:cols w:space="425" w:num="1"/>
          <w:docGrid w:type="lines" w:linePitch="312" w:charSpace="0"/>
        </w:sectPr>
      </w:pPr>
      <w:bookmarkStart w:id="9" w:name="_Toc91801525"/>
      <w:bookmarkStart w:id="10" w:name="_Toc28184_WPSOffice_Level1"/>
    </w:p>
    <w:p w14:paraId="4434A3FF">
      <w:pPr>
        <w:pStyle w:val="3"/>
        <w:numPr>
          <w:ilvl w:val="0"/>
          <w:numId w:val="1"/>
        </w:numPr>
        <w:adjustRightInd/>
        <w:spacing w:line="560" w:lineRule="exact"/>
        <w:jc w:val="both"/>
        <w:rPr>
          <w:rFonts w:ascii="黑体" w:hAnsi="黑体" w:eastAsia="黑体" w:cs="黑体"/>
          <w:sz w:val="28"/>
          <w:szCs w:val="28"/>
        </w:rPr>
      </w:pPr>
      <w:r>
        <w:rPr>
          <w:rFonts w:ascii="黑体" w:hAnsi="黑体" w:eastAsia="黑体"/>
          <w:color w:val="000000"/>
          <w:sz w:val="32"/>
          <w:szCs w:val="32"/>
        </w:rPr>
        <w:t>现状与形势</w:t>
      </w:r>
      <w:bookmarkEnd w:id="9"/>
      <w:bookmarkEnd w:id="10"/>
    </w:p>
    <w:p w14:paraId="275AE528">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达拉特旗位于鄂尔多斯市北部，总面积8188平方公里，总人口37万，辖1个苏木、8个镇、6个街道办事处，有开发区园区5个。全旗地势南高北低、呈阶梯状，素有“五梁、三沙、二份滩”之称，南部为丘陵沟壑区，矿藏丰富；中部为库布其沙漠区，宜林宜牧；北部为黄河冲积平原，是国家商品粮基地和现代农业示范区。达拉特旗资源富集，煤炭资源探明储量100亿吨，预测储量322亿吨；芒硝储量居世界第一，石英砂品位为全国同类矿产之首，探明地下蕴藏有万吨级的砂岩型铀矿床；太阳能、风能开发利用潜力巨大，2017年被国家能源局确定为内蒙古唯一的光伏发电应用领跑基地。达拉特旗区位优势明显，是国家“一带一路”和“呼包鄂银榆”经济圈的重要节点。</w:t>
      </w:r>
    </w:p>
    <w:p w14:paraId="11FA7068">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近年来，达拉特旗在市委、市政府的坚强领导下，抢抓黄河流域生态保护和高质量发展、西部大开发等重大机遇，积极践行新发展理念，全面落实“生态优先、绿色发展”高质量发展要求，全力稳增长、调结构、促改革、惠民生、防风险，全旗呈现出经济平稳发展、改革有序推进、民生持续改善、社会和谐稳定的良好局面。先后获得国家卫生县城、第三批国家现代农业示范区、全国第二批农村改革试验区、全国“四好农村路”示范县、中国县域经济“旅游魅力县”“投资潜力县”、自治区文明城市等多项荣誉，是内蒙古自治区“扩权强县”试点、2019中国优质营商环境典范县。2021年，完成地区生产总值411亿元，同比增长9.8</w:t>
      </w:r>
      <w:r>
        <w:rPr>
          <w:rFonts w:ascii="仿宋_GB2312" w:eastAsia="仿宋_GB2312"/>
          <w:color w:val="000000"/>
          <w:sz w:val="28"/>
          <w:szCs w:val="21"/>
        </w:rPr>
        <w:drawing>
          <wp:inline distT="0" distB="0" distL="114300" distR="114300">
            <wp:extent cx="75565" cy="1358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5565" cy="135890"/>
                    </a:xfrm>
                    <a:prstGeom prst="rect">
                      <a:avLst/>
                    </a:prstGeom>
                    <a:noFill/>
                    <a:ln>
                      <a:noFill/>
                    </a:ln>
                  </pic:spPr>
                </pic:pic>
              </a:graphicData>
            </a:graphic>
          </wp:inline>
        </w:drawing>
      </w:r>
      <w:r>
        <w:rPr>
          <w:rFonts w:ascii="仿宋_GB2312" w:eastAsia="仿宋_GB2312"/>
          <w:color w:val="000000"/>
          <w:sz w:val="28"/>
          <w:szCs w:val="21"/>
        </w:rPr>
        <w:t>；城乡常住居民人均可支配收入达到48280元和22981元，分别增长7.1</w:t>
      </w:r>
      <w:r>
        <w:rPr>
          <w:rFonts w:ascii="仿宋_GB2312" w:eastAsia="仿宋_GB2312"/>
          <w:color w:val="000000"/>
          <w:sz w:val="28"/>
          <w:szCs w:val="21"/>
        </w:rPr>
        <w:drawing>
          <wp:inline distT="0" distB="0" distL="114300" distR="114300">
            <wp:extent cx="75565" cy="135890"/>
            <wp:effectExtent l="0" t="0" r="635" b="381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75565" cy="135890"/>
                    </a:xfrm>
                    <a:prstGeom prst="rect">
                      <a:avLst/>
                    </a:prstGeom>
                    <a:noFill/>
                    <a:ln>
                      <a:noFill/>
                    </a:ln>
                  </pic:spPr>
                </pic:pic>
              </a:graphicData>
            </a:graphic>
          </wp:inline>
        </w:drawing>
      </w:r>
      <w:r>
        <w:rPr>
          <w:rFonts w:ascii="仿宋_GB2312" w:eastAsia="仿宋_GB2312"/>
          <w:color w:val="000000"/>
          <w:sz w:val="28"/>
          <w:szCs w:val="21"/>
        </w:rPr>
        <w:t>和9.6</w:t>
      </w:r>
      <w:r>
        <w:rPr>
          <w:rFonts w:ascii="仿宋_GB2312" w:eastAsia="仿宋_GB2312"/>
          <w:color w:val="000000"/>
          <w:sz w:val="28"/>
          <w:szCs w:val="21"/>
        </w:rPr>
        <w:drawing>
          <wp:inline distT="0" distB="0" distL="114300" distR="114300">
            <wp:extent cx="75565" cy="135890"/>
            <wp:effectExtent l="0" t="0" r="635" b="381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6"/>
                    <a:stretch>
                      <a:fillRect/>
                    </a:stretch>
                  </pic:blipFill>
                  <pic:spPr>
                    <a:xfrm>
                      <a:off x="0" y="0"/>
                      <a:ext cx="75565" cy="135890"/>
                    </a:xfrm>
                    <a:prstGeom prst="rect">
                      <a:avLst/>
                    </a:prstGeom>
                    <a:noFill/>
                    <a:ln>
                      <a:noFill/>
                    </a:ln>
                  </pic:spPr>
                </pic:pic>
              </a:graphicData>
            </a:graphic>
          </wp:inline>
        </w:drawing>
      </w:r>
      <w:r>
        <w:rPr>
          <w:rFonts w:ascii="仿宋_GB2312" w:eastAsia="仿宋_GB2312"/>
          <w:color w:val="000000"/>
          <w:sz w:val="28"/>
          <w:szCs w:val="21"/>
        </w:rPr>
        <w:t>。</w:t>
      </w:r>
    </w:p>
    <w:p w14:paraId="5BF50E33">
      <w:pPr>
        <w:ind w:firstLine="560" w:firstLineChars="200"/>
        <w:outlineLvl w:val="1"/>
        <w:rPr>
          <w:rFonts w:hint="default" w:ascii="黑体" w:hAnsi="黑体" w:eastAsia="黑体" w:cs="黑体"/>
          <w:sz w:val="28"/>
          <w:szCs w:val="28"/>
        </w:rPr>
      </w:pPr>
      <w:bookmarkStart w:id="11" w:name="_Toc28184_WPSOffice_Level2"/>
      <w:r>
        <w:rPr>
          <w:rFonts w:ascii="黑体" w:hAnsi="黑体" w:eastAsia="黑体" w:cs="黑体"/>
          <w:sz w:val="28"/>
          <w:szCs w:val="28"/>
        </w:rPr>
        <w:t>（一）“十三五”期间主要工作成效</w:t>
      </w:r>
      <w:bookmarkEnd w:id="11"/>
    </w:p>
    <w:p w14:paraId="3ACD856D">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“十三五”期间，达拉特旗委、政府以习近平新时代中国特色社会主义思想为指导，认真贯彻落实</w:t>
      </w:r>
      <w:r>
        <w:rPr>
          <w:rFonts w:hint="default" w:ascii="仿宋_GB2312" w:eastAsia="仿宋_GB2312"/>
          <w:color w:val="000000"/>
          <w:sz w:val="28"/>
          <w:szCs w:val="21"/>
        </w:rPr>
        <w:t>习近平总书记关于应急管理、安全生产、防灾减灾救灾重要</w:t>
      </w:r>
      <w:bookmarkStart w:id="45" w:name="_GoBack"/>
      <w:bookmarkEnd w:id="45"/>
      <w:r>
        <w:rPr>
          <w:rFonts w:hint="eastAsia" w:ascii="仿宋_GB2312" w:eastAsia="仿宋_GB2312"/>
          <w:color w:val="000000"/>
          <w:sz w:val="28"/>
          <w:szCs w:val="21"/>
          <w:lang w:eastAsia="zh-CN"/>
        </w:rPr>
        <w:t>指示批示</w:t>
      </w:r>
      <w:r>
        <w:rPr>
          <w:rFonts w:hint="default" w:ascii="仿宋_GB2312" w:eastAsia="仿宋_GB2312"/>
          <w:color w:val="000000"/>
          <w:sz w:val="28"/>
          <w:szCs w:val="21"/>
        </w:rPr>
        <w:t>精神，牢固树立安全发展理念，</w:t>
      </w:r>
      <w:r>
        <w:rPr>
          <w:rFonts w:ascii="仿宋_GB2312" w:eastAsia="仿宋_GB2312"/>
          <w:color w:val="000000"/>
          <w:sz w:val="28"/>
          <w:szCs w:val="21"/>
        </w:rPr>
        <w:t>深入</w:t>
      </w:r>
      <w:r>
        <w:rPr>
          <w:rFonts w:hint="default" w:ascii="仿宋_GB2312" w:eastAsia="仿宋_GB2312"/>
          <w:color w:val="000000"/>
          <w:sz w:val="28"/>
          <w:szCs w:val="21"/>
        </w:rPr>
        <w:t>落实</w:t>
      </w:r>
      <w:r>
        <w:rPr>
          <w:rFonts w:ascii="仿宋_GB2312" w:eastAsia="仿宋_GB2312"/>
          <w:color w:val="000000"/>
          <w:sz w:val="28"/>
          <w:szCs w:val="21"/>
        </w:rPr>
        <w:t>国家</w:t>
      </w:r>
      <w:r>
        <w:rPr>
          <w:rFonts w:hint="default" w:ascii="仿宋_GB2312" w:eastAsia="仿宋_GB2312"/>
          <w:color w:val="000000"/>
          <w:sz w:val="28"/>
          <w:szCs w:val="21"/>
        </w:rPr>
        <w:t>、自治区</w:t>
      </w:r>
      <w:r>
        <w:rPr>
          <w:rFonts w:ascii="仿宋_GB2312" w:eastAsia="仿宋_GB2312"/>
          <w:color w:val="000000"/>
          <w:sz w:val="28"/>
          <w:szCs w:val="21"/>
        </w:rPr>
        <w:t>和</w:t>
      </w:r>
      <w:r>
        <w:rPr>
          <w:rFonts w:hint="eastAsia" w:ascii="仿宋_GB2312" w:eastAsia="仿宋_GB2312"/>
          <w:color w:val="000000"/>
          <w:sz w:val="28"/>
          <w:szCs w:val="21"/>
          <w:lang w:eastAsia="zh-CN"/>
        </w:rPr>
        <w:t>市委、市政府</w:t>
      </w:r>
      <w:r>
        <w:rPr>
          <w:rFonts w:ascii="仿宋_GB2312" w:eastAsia="仿宋_GB2312"/>
          <w:color w:val="000000"/>
          <w:sz w:val="28"/>
          <w:szCs w:val="21"/>
        </w:rPr>
        <w:t>的重大</w:t>
      </w:r>
      <w:r>
        <w:rPr>
          <w:rFonts w:hint="default" w:ascii="仿宋_GB2312" w:eastAsia="仿宋_GB2312"/>
          <w:color w:val="000000"/>
          <w:sz w:val="28"/>
          <w:szCs w:val="21"/>
        </w:rPr>
        <w:t>决策部署，</w:t>
      </w:r>
      <w:r>
        <w:rPr>
          <w:rFonts w:ascii="仿宋_GB2312" w:eastAsia="仿宋_GB2312"/>
          <w:color w:val="000000"/>
          <w:sz w:val="28"/>
          <w:szCs w:val="21"/>
        </w:rPr>
        <w:t>应急管理事业改革发展取得重要进展，</w:t>
      </w:r>
      <w:r>
        <w:rPr>
          <w:rFonts w:hint="default" w:ascii="仿宋_GB2312" w:eastAsia="仿宋_GB2312"/>
          <w:color w:val="000000"/>
          <w:sz w:val="28"/>
          <w:szCs w:val="21"/>
        </w:rPr>
        <w:t>安全生产形势持续稳定向好</w:t>
      </w:r>
      <w:r>
        <w:rPr>
          <w:rFonts w:ascii="仿宋_GB2312" w:eastAsia="仿宋_GB2312"/>
          <w:color w:val="000000"/>
          <w:sz w:val="28"/>
          <w:szCs w:val="21"/>
        </w:rPr>
        <w:t>，</w:t>
      </w:r>
      <w:r>
        <w:rPr>
          <w:rFonts w:hint="default" w:ascii="仿宋_GB2312" w:eastAsia="仿宋_GB2312"/>
          <w:color w:val="000000"/>
          <w:sz w:val="28"/>
          <w:szCs w:val="21"/>
        </w:rPr>
        <w:t>综合防灾减灾救灾</w:t>
      </w:r>
      <w:r>
        <w:rPr>
          <w:rFonts w:ascii="仿宋_GB2312" w:eastAsia="仿宋_GB2312"/>
          <w:color w:val="000000"/>
          <w:sz w:val="28"/>
          <w:szCs w:val="21"/>
        </w:rPr>
        <w:t>能力明显增强，</w:t>
      </w:r>
      <w:r>
        <w:rPr>
          <w:rFonts w:hint="default" w:ascii="仿宋_GB2312" w:eastAsia="仿宋_GB2312"/>
          <w:color w:val="000000"/>
          <w:sz w:val="28"/>
          <w:szCs w:val="21"/>
        </w:rPr>
        <w:t>公共安全保障更加有力，人民群众安全感和满意度得到有效提升。</w:t>
      </w:r>
    </w:p>
    <w:p w14:paraId="0446BC22">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1.应急管理体系建设日趋完善</w:t>
      </w:r>
    </w:p>
    <w:p w14:paraId="4EACFE86">
      <w:pPr>
        <w:spacing w:line="560" w:lineRule="exact"/>
        <w:ind w:left="140" w:firstLine="643"/>
        <w:jc w:val="both"/>
        <w:rPr>
          <w:rFonts w:hint="default" w:ascii="仿宋_GB2312" w:eastAsia="仿宋_GB2312"/>
          <w:color w:val="000000"/>
          <w:sz w:val="28"/>
          <w:szCs w:val="21"/>
        </w:rPr>
      </w:pPr>
      <w:r>
        <w:rPr>
          <w:rFonts w:ascii="仿宋_GB2312" w:eastAsia="仿宋_GB2312"/>
          <w:color w:val="000000"/>
          <w:sz w:val="28"/>
          <w:szCs w:val="21"/>
        </w:rPr>
        <w:t>一是应急管理机制体制初步构建。调整旗安全生产委员会、旗减灾委员会、旗防汛抗旱指挥部、旗森林草原防灭火指挥部、旗抗震救灾指挥部组成人员，形成“两委会+三指挥部”工作机制；优化全旗总体预案和指挥流程图，建立多部门会商联动和抢险救灾联席机制；理顺了旗、苏木镇街道、嘎查村社区三级应急指挥体系，形成上下联动、左右互通、齐抓共管的应急指挥工作格局。二是应急预案体系不断健全。应急管理局组织修订《全旗防汛应急预案》、《黄河达旗段防凌应急预案》等多项预案，全旗9个苏木镇人民政府和6个街道办事处共报送各类应急预案150个，内容涉及安全生产、防汛抗旱、森林草原防灭火、减灾和地震等方面，初步建立起“横向到边、纵向到底”的应急预案体系。三是应急救援力量建设日益完善。制订完善全旗应急救援队伍信息和应急救援物资台账“一本通”。强化应急救援队伍建设，全旗境内现有专业消防、森林草原扑火、企业消防、煤矿救援等应急救援队伍13支，总人数为377人。应急保障能力得到明显改善，现有具备水、电、路、排污、通讯等功能的应急避难场所5处，可容纳人数286000人。</w:t>
      </w:r>
    </w:p>
    <w:p w14:paraId="499A0DD3">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2.安全生产水平稳步提高</w:t>
      </w:r>
    </w:p>
    <w:p w14:paraId="32998463">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一是强化责任落实。</w:t>
      </w:r>
      <w:r>
        <w:rPr>
          <w:rFonts w:hint="default" w:ascii="仿宋_GB2312" w:eastAsia="仿宋_GB2312"/>
          <w:color w:val="000000"/>
          <w:sz w:val="28"/>
          <w:szCs w:val="21"/>
        </w:rPr>
        <w:t>围绕安全生产“四</w:t>
      </w:r>
      <w:r>
        <w:rPr>
          <w:rFonts w:ascii="仿宋_GB2312" w:eastAsia="仿宋_GB2312"/>
          <w:color w:val="000000"/>
          <w:sz w:val="28"/>
          <w:szCs w:val="21"/>
        </w:rPr>
        <w:t>方</w:t>
      </w:r>
      <w:r>
        <w:rPr>
          <w:rFonts w:hint="default" w:ascii="仿宋_GB2312" w:eastAsia="仿宋_GB2312"/>
          <w:color w:val="000000"/>
          <w:sz w:val="28"/>
          <w:szCs w:val="21"/>
        </w:rPr>
        <w:t>责任”落实，制定印发《旗委、政府、旗直有关部门和单位安全生产责任清单》《有关部门和单位安全生产工作职责暂行规定》等一系列文件，形成以清单制管理为抓手的安全生产责任精准落实体系。</w:t>
      </w:r>
      <w:r>
        <w:rPr>
          <w:rFonts w:ascii="仿宋_GB2312" w:eastAsia="仿宋_GB2312"/>
          <w:color w:val="000000"/>
          <w:sz w:val="28"/>
          <w:szCs w:val="21"/>
        </w:rPr>
        <w:t>出台</w:t>
      </w:r>
      <w:r>
        <w:rPr>
          <w:rFonts w:hint="default" w:ascii="仿宋_GB2312" w:eastAsia="仿宋_GB2312"/>
          <w:color w:val="000000"/>
          <w:sz w:val="28"/>
          <w:szCs w:val="21"/>
        </w:rPr>
        <w:t>《企业主要负责人带班制度》《直管行业领域隐患延期整改制度》等文件，采取企业履行主体责任考评、反馈告知制度、企业主要负责人安全生产述职制度、约谈制度等11方面举措，</w:t>
      </w:r>
      <w:r>
        <w:rPr>
          <w:rFonts w:ascii="仿宋_GB2312" w:eastAsia="仿宋_GB2312"/>
          <w:color w:val="000000"/>
          <w:sz w:val="28"/>
          <w:szCs w:val="21"/>
        </w:rPr>
        <w:t>夯</w:t>
      </w:r>
      <w:r>
        <w:rPr>
          <w:rFonts w:hint="default" w:ascii="仿宋_GB2312" w:eastAsia="仿宋_GB2312"/>
          <w:color w:val="000000"/>
          <w:sz w:val="28"/>
          <w:szCs w:val="21"/>
        </w:rPr>
        <w:t>实企业主体责任。</w:t>
      </w:r>
      <w:r>
        <w:rPr>
          <w:rFonts w:ascii="仿宋_GB2312" w:eastAsia="仿宋_GB2312"/>
          <w:color w:val="000000"/>
          <w:sz w:val="28"/>
          <w:szCs w:val="21"/>
        </w:rPr>
        <w:t>二是扎实推进三年专项整治行动。成立专项整治工作领导小组及办公室，组建工作专班，</w:t>
      </w:r>
      <w:r>
        <w:rPr>
          <w:rFonts w:hint="default" w:ascii="仿宋_GB2312" w:eastAsia="仿宋_GB2312"/>
          <w:color w:val="000000"/>
          <w:sz w:val="28"/>
          <w:szCs w:val="21"/>
        </w:rPr>
        <w:t>制定印发</w:t>
      </w:r>
      <w:r>
        <w:rPr>
          <w:rFonts w:ascii="仿宋_GB2312" w:eastAsia="仿宋_GB2312"/>
          <w:color w:val="000000"/>
          <w:sz w:val="28"/>
          <w:szCs w:val="21"/>
        </w:rPr>
        <w:t>“</w:t>
      </w:r>
      <w:r>
        <w:rPr>
          <w:rFonts w:hint="default" w:ascii="仿宋_GB2312" w:eastAsia="仿宋_GB2312"/>
          <w:color w:val="000000"/>
          <w:sz w:val="28"/>
          <w:szCs w:val="21"/>
        </w:rPr>
        <w:t>1+2+11</w:t>
      </w:r>
      <w:r>
        <w:rPr>
          <w:rFonts w:ascii="仿宋_GB2312" w:eastAsia="仿宋_GB2312"/>
          <w:color w:val="000000"/>
          <w:sz w:val="28"/>
          <w:szCs w:val="21"/>
        </w:rPr>
        <w:t>”</w:t>
      </w:r>
      <w:r>
        <w:rPr>
          <w:rFonts w:hint="default" w:ascii="仿宋_GB2312" w:eastAsia="仿宋_GB2312"/>
          <w:color w:val="000000"/>
          <w:sz w:val="28"/>
          <w:szCs w:val="21"/>
        </w:rPr>
        <w:t>方案，</w:t>
      </w:r>
      <w:r>
        <w:rPr>
          <w:rFonts w:ascii="仿宋_GB2312" w:eastAsia="仿宋_GB2312"/>
          <w:color w:val="000000"/>
          <w:sz w:val="28"/>
          <w:szCs w:val="21"/>
        </w:rPr>
        <w:t>出台工作例会、分析通报、媒体曝光、举报奖励、约谈问责等制度，在规定时间节点内有效推进各项工作落实。行动开展以来，共计检查生产经营单位4965家次，集中整治隐患14980项（一般隐患14959项、重大隐患21项），已整改完成14524项（一般隐患14503项、重大隐患21项），剩余456项整改中，整改率97%，责令停产整顿10家、行政处罚595起、罚款总金额494.117万元，警示约谈企业42家，联合惩戒8人。深化煤矿领域安全生产专项整治，有序组织吴四圪堵煤矿、唐公沟煤矿、通瑞煤矿及60万吨以下产能煤矿及资源枯竭及煤质低劣煤矿有序退出产能420万吨。按照“巩固一级，提升二级，促进三级”的工作要求，督促、引导辖区内煤矿进行安全生产标准化升级达标验收，全旗2座正常生产煤矿经国家考核验收达到一级标准，12座煤矿经自治区级考核验收达到二级标准，3座煤矿经市级考核验收达到三级，“十三五”末，全旗生产煤矿标准化达标率达100%。三是优化监管模式。在全自治区范围内率先引进第三方机构参与安全监管，构建“以第三方机构为技术支撑、推动企业落实主体责任”的监管模式。制定出台《达拉特旗应急管理局关于建立危险化学品、非煤矿山、冶金工贸等行业专家库的通知》，健全完善专家指导工作服务机制，优化专家队伍，建立专家库，为安全监管提供技术支撑。持续鼓励重点企业自行聘请第三方机构开展隐患排查整治。通过</w:t>
      </w:r>
      <w:r>
        <w:rPr>
          <w:rFonts w:hint="default" w:ascii="仿宋_GB2312" w:eastAsia="仿宋_GB2312"/>
          <w:color w:val="000000"/>
          <w:sz w:val="28"/>
          <w:szCs w:val="21"/>
        </w:rPr>
        <w:t>引进</w:t>
      </w:r>
      <w:r>
        <w:rPr>
          <w:rFonts w:ascii="仿宋_GB2312" w:eastAsia="仿宋_GB2312"/>
          <w:color w:val="000000"/>
          <w:sz w:val="28"/>
          <w:szCs w:val="21"/>
        </w:rPr>
        <w:t>第</w:t>
      </w:r>
      <w:r>
        <w:rPr>
          <w:rFonts w:hint="default" w:ascii="仿宋_GB2312" w:eastAsia="仿宋_GB2312"/>
          <w:color w:val="000000"/>
          <w:sz w:val="28"/>
          <w:szCs w:val="21"/>
        </w:rPr>
        <w:t>三方机构</w:t>
      </w:r>
      <w:r>
        <w:rPr>
          <w:rFonts w:ascii="仿宋_GB2312" w:eastAsia="仿宋_GB2312"/>
          <w:color w:val="000000"/>
          <w:sz w:val="28"/>
          <w:szCs w:val="21"/>
        </w:rPr>
        <w:t>服务</w:t>
      </w:r>
      <w:r>
        <w:rPr>
          <w:rFonts w:hint="default" w:ascii="仿宋_GB2312" w:eastAsia="仿宋_GB2312"/>
          <w:color w:val="000000"/>
          <w:sz w:val="28"/>
          <w:szCs w:val="21"/>
        </w:rPr>
        <w:t>，执法过程中的技术和专业短板</w:t>
      </w:r>
      <w:r>
        <w:rPr>
          <w:rFonts w:ascii="仿宋_GB2312" w:eastAsia="仿宋_GB2312"/>
          <w:color w:val="000000"/>
          <w:sz w:val="28"/>
          <w:szCs w:val="21"/>
        </w:rPr>
        <w:t>得到有效</w:t>
      </w:r>
      <w:r>
        <w:rPr>
          <w:rFonts w:hint="default" w:ascii="仿宋_GB2312" w:eastAsia="仿宋_GB2312"/>
          <w:color w:val="000000"/>
          <w:sz w:val="28"/>
          <w:szCs w:val="21"/>
        </w:rPr>
        <w:t>解决</w:t>
      </w:r>
      <w:r>
        <w:rPr>
          <w:rFonts w:ascii="仿宋_GB2312" w:eastAsia="仿宋_GB2312"/>
          <w:color w:val="000000"/>
          <w:sz w:val="28"/>
          <w:szCs w:val="21"/>
        </w:rPr>
        <w:t>，</w:t>
      </w:r>
      <w:r>
        <w:rPr>
          <w:rFonts w:hint="default" w:ascii="仿宋_GB2312" w:eastAsia="仿宋_GB2312"/>
          <w:color w:val="000000"/>
          <w:sz w:val="28"/>
          <w:szCs w:val="21"/>
        </w:rPr>
        <w:t>企业主体责任得到进一步强化，企业隐患总数呈逐年下降趋势</w:t>
      </w:r>
      <w:r>
        <w:rPr>
          <w:rFonts w:ascii="仿宋_GB2312" w:eastAsia="仿宋_GB2312"/>
          <w:color w:val="000000"/>
          <w:sz w:val="28"/>
          <w:szCs w:val="21"/>
        </w:rPr>
        <w:t>，2020年隐患总数较2016年减少79.6%。四是广泛开展宣传教育培训。多措并举全面推动新安法的学习宣传和贯彻落实，营造尊法学法守法用法的浓厚氛围，增强全旗安全生产法律意识。编印《习近平总书记关于应急管理、安全生产和防灾减灾救灾重要论述摘编》，向重点危化企业、工贸企业以及煤炭、建筑领域企业进行发放，提高企业主要负责人、分管领导的思想认识，强化安全发展意识。通过快手、视频号等新媒体平台制作《安全公开课》微视频，在达拉特发布、达拉特云、电视和广播等主流媒体融合制作《主播说安全》专栏节目，全面普及安全生产和应急自救知识，提升群众安全意识和识灾避险能力。</w:t>
      </w:r>
    </w:p>
    <w:p w14:paraId="175677D7">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3.防灾减灾救灾能力不断增强</w:t>
      </w:r>
    </w:p>
    <w:p w14:paraId="461A1D30">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一是加强灾害信息员队伍建设。建立健全苏木镇、街道、村灾害信息员管理系统，目前全旗1个苏木、8个镇、6个街道、132个行政（嘎查）村，共有灾情信息员354人，构建起旗、镇（街道）、村（社区）全覆盖的三级网格体系，打通了基层末端减灾工作“最后一公里”。二是启动第一次全国自然灾害风险普查工作。编制印发达拉特旗第一次全国自然灾害风险普查实施方案，风险普查涉及调查单位7个，截止2021年12月底，旗应急系统及交通、水利、林草、气象部门已全部完成调查任务。三是推进防震减灾工作。设立灾害信息员A、B岗，层层压紧压实防震减灾责任，形成“政府负责、部门联动、群众参与”的地震灾害三级检测预报网络和群测群防预警体系。对全旗易震区房屋加固工程进行统计录入。四是创建全国综合减灾示范社区。2020年，西园街道迎宾社区被评为“2020年度全国综合减灾示范社区”。</w:t>
      </w:r>
    </w:p>
    <w:p w14:paraId="0691D551">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4.数字化建设取得新进展</w:t>
      </w:r>
    </w:p>
    <w:p w14:paraId="023080BD">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一是成立“全旗推进数字城市和大数据建设工作领导小组”，制定出台《达拉特旗数字城市建设项目管理办法》等多项政策制度，不断加强数字基础设施建设，提升数字化治理和服务水平。二是建成社会治理网格化智慧平台，将辖区人、地、物、事、组织等基本要素信息全部纳入网格之中，形成“人在网中走、事在格中办、小事不出格、大事不出街、矛盾不上交”的社会治理新局面。三是建成达拉特旗智慧城市联动指挥中心及全旗安全生产监管应急指挥信息平台，全旗安全和生产情况监控体系更加完善。四是推进产业数字化转型，达拉特经济开发区大力推进智慧工厂、智慧园区建设，深度整合园区管理服务业务，形成企业服务、现代物流等特色应用。</w:t>
      </w:r>
    </w:p>
    <w:p w14:paraId="7CF8D5A7">
      <w:pPr>
        <w:ind w:firstLine="560" w:firstLineChars="200"/>
        <w:outlineLvl w:val="1"/>
        <w:rPr>
          <w:rFonts w:hint="default" w:ascii="黑体" w:hAnsi="黑体" w:eastAsia="黑体" w:cs="黑体"/>
          <w:sz w:val="28"/>
          <w:szCs w:val="28"/>
        </w:rPr>
      </w:pPr>
      <w:bookmarkStart w:id="12" w:name="_Toc29298_WPSOffice_Level2"/>
      <w:r>
        <w:rPr>
          <w:rFonts w:ascii="黑体" w:hAnsi="黑体" w:eastAsia="黑体" w:cs="黑体"/>
          <w:sz w:val="28"/>
          <w:szCs w:val="28"/>
        </w:rPr>
        <w:t>（二）面临的挑战</w:t>
      </w:r>
      <w:bookmarkEnd w:id="12"/>
    </w:p>
    <w:p w14:paraId="251861AC">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一是应急能力建设亟需加强。全旗“统”“分”结合的应急体系还不健全，应急管理体制机制不够完善，应急管理部门的统筹协调、牵头抓总职能有待进一步加强。基层应急管理基础仍然相对薄弱，嘎查村、街道办事处等基层应急领导机构和办事机构需完善。部分镇街、部门预案不细致、实用实战性不强，与实际处置“两张皮”。应急队伍、专家队伍、特种救援装备、应急物资储备与全旗应急处置需求还不匹配，抢险救灾能力不能适应新时代要求。</w:t>
      </w:r>
    </w:p>
    <w:p w14:paraId="78158D46">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二是企业本质安全水平仍需提升。达拉特旗现有煤矿、非煤矿山、危险化学品重大危险源、油气长输管线等行业和场所，安全生产风险“减存量、控增量”压力大，新产业、新业态、新领域安全风险不断涌现，应对安全生产形势变化的新办法、新措施不多，安全生产长效机制尚未完全建立。企业安全生产主体责任落实不到位。一些企业完全依靠政府监管，落实安全生产主体责任的主动性和自觉性不够，存在安全投入不到位，员工安全培训不到位，隐患排查治理不彻底等问题，企业事故防范能力有待进一步提升。</w:t>
      </w:r>
    </w:p>
    <w:p w14:paraId="3E79ABFC">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三是安全监管体制机制尚待进一步完善。以安全生产作为基本盘的应急管理改革虽已完成，但部门融合共享机制不健全，个别领域“都管、都不管”的问题还未从根本上解决。基层安全监管力量薄弱，安全执法能力有待提高，监管机制和方式有待进一步健全完善，打击安全生产非法违法行为以阶段性、运动式居多，未形成长效机制。</w:t>
      </w:r>
    </w:p>
    <w:p w14:paraId="162EBE05">
      <w:pPr>
        <w:autoSpaceDE/>
        <w:autoSpaceDN/>
        <w:snapToGrid w:val="0"/>
        <w:spacing w:line="580" w:lineRule="exact"/>
        <w:ind w:firstLine="560" w:firstLineChars="200"/>
        <w:jc w:val="both"/>
        <w:rPr>
          <w:rFonts w:hint="default" w:ascii="仿宋" w:hAnsi="仿宋" w:eastAsia="仿宋" w:cs="仿宋"/>
          <w:snapToGrid w:val="0"/>
          <w:color w:val="000000"/>
          <w:kern w:val="2"/>
          <w:sz w:val="28"/>
          <w:szCs w:val="28"/>
        </w:rPr>
      </w:pPr>
      <w:r>
        <w:rPr>
          <w:rFonts w:ascii="仿宋_GB2312" w:eastAsia="仿宋_GB2312"/>
          <w:color w:val="000000"/>
          <w:sz w:val="28"/>
          <w:szCs w:val="21"/>
        </w:rPr>
        <w:t>四是自然灾害防控形势依然严峻。达拉特旗境内地质复杂，气候稳定性差，干旱、暴雨、山洪、冰雹、雷电、霜冻等气象灾害种类多，发生频率高，对达拉特旗农牧业生产和人民生命财产安全构成严重的威胁。境内十大孔兑总长534.5公里，流域总面积5718平方公里，其中产流面积3775平方公里，自南向北穿越库布其沙漠后，泥沙含量急剧加大，每年向黄河输沙2700万吨以上，占全国总入黄泥沙的十分之一多，造成该段黄河河床逐年抬高形成悬河，凌汛期河水出岸时常发生，严重威胁黄河安澜及沿线群众生命财产安全。河道南北落差大，孔兑山洪频发，峰高沙大，下泄黄河常形成巨型沙坝，堵塞黄河河道，导致黄河流量锐减，水位暴涨。十大孔兑上游分布有199座淤地坝，其中有30座淤地坝下游有居民点和设施，如遇大洪水可能出现淤地坝漫顶溃坝等险情，对下游居民和设施造成很大危险。基层人员的灾害防控相关知识严重缺乏，专业技能水平低下，设备设施严重缺乏和落后，缺乏经费及物资保障等问题仍是困扰基层自然灾害预防救援的关键问题。</w:t>
      </w:r>
    </w:p>
    <w:p w14:paraId="79ED7180">
      <w:pPr>
        <w:ind w:firstLine="560" w:firstLineChars="200"/>
        <w:outlineLvl w:val="1"/>
        <w:rPr>
          <w:rFonts w:hint="default" w:ascii="黑体" w:hAnsi="黑体" w:eastAsia="黑体" w:cs="黑体"/>
          <w:sz w:val="28"/>
          <w:szCs w:val="28"/>
        </w:rPr>
      </w:pPr>
      <w:bookmarkStart w:id="13" w:name="_Toc25008_WPSOffice_Level2"/>
      <w:r>
        <w:rPr>
          <w:rFonts w:ascii="黑体" w:hAnsi="黑体" w:eastAsia="黑体" w:cs="黑体"/>
          <w:sz w:val="28"/>
          <w:szCs w:val="28"/>
        </w:rPr>
        <w:t>（三）发展机遇</w:t>
      </w:r>
      <w:bookmarkEnd w:id="13"/>
    </w:p>
    <w:p w14:paraId="0DC8205E">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一是党中央高度重视应急管理工作，坚持以人民为中心的发展思想，将应急管理作为国家治理体系和治理能力的重要组成部分，站在政治、全局和战略的高度，对统筹发展和安全、推进应急体系和应急能力建设、防范化解重大安全风险等工作，提出了一系列新思想新论断新要求，为应急管理事业改革发展指明了前进方向和路径，提供了根本遵循和理论指引。</w:t>
      </w:r>
    </w:p>
    <w:p w14:paraId="4848A17E">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二是国家推进黄河流域生态保护和高质量发展、黄河“几”字弯都市圈协同发展，自治区建设“两个屏障、两个基地、一个桥头堡”，鄂尔多斯提出“走好新路子、建设先行区”等重大战略和支持政策蕴含无限潜力，以数字化和碳达峰碳中和为牵引的经济社会发展重大变革为旗带来了难得机遇。当前全旗经济正在向高质量跨越发展进行转变，转变发展方式、优化经济结构、转换增长动力正处在攻关期，提质增效各项措施逐步落地，有利于科学规划产业布局，淘汰落后生产能力、技术、装备，形成更加有利于安全生产的发展方式，从根本上解决安全发展的深层次矛盾和问题。</w:t>
      </w:r>
    </w:p>
    <w:p w14:paraId="5F904C31">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三是科学技术创新发展为应急管理、安全生产和防灾减灾救灾事业发展提供了有力支撑。卫星遥感、物联网、云计算、大数据、人工智能、5G及区块链等高新技术的深度集成应用，促使生产工艺、技术、装备和产能加快升级改造，有利于提升风险管控、监测预警、监管执法能力，有利于提升科学化、专业化、智能化、精细化水平。</w:t>
      </w:r>
    </w:p>
    <w:p w14:paraId="594973C1">
      <w:pPr>
        <w:pStyle w:val="3"/>
        <w:numPr>
          <w:ilvl w:val="0"/>
          <w:numId w:val="1"/>
        </w:numPr>
        <w:adjustRightInd/>
        <w:spacing w:line="560" w:lineRule="exact"/>
        <w:jc w:val="both"/>
        <w:rPr>
          <w:rFonts w:ascii="黑体" w:hAnsi="黑体" w:eastAsia="黑体"/>
          <w:color w:val="000000"/>
          <w:sz w:val="32"/>
          <w:szCs w:val="32"/>
        </w:rPr>
      </w:pPr>
      <w:bookmarkStart w:id="14" w:name="_Toc29298_WPSOffice_Level1"/>
      <w:bookmarkStart w:id="15" w:name="_Toc58236247"/>
      <w:r>
        <w:rPr>
          <w:rFonts w:ascii="黑体" w:hAnsi="黑体" w:eastAsia="黑体"/>
          <w:color w:val="000000"/>
          <w:sz w:val="32"/>
          <w:szCs w:val="32"/>
        </w:rPr>
        <w:t>指导思想、基本原则和规划目标</w:t>
      </w:r>
      <w:bookmarkEnd w:id="14"/>
      <w:bookmarkEnd w:id="15"/>
    </w:p>
    <w:p w14:paraId="68FF1455">
      <w:pPr>
        <w:ind w:firstLine="280" w:firstLineChars="100"/>
        <w:outlineLvl w:val="1"/>
        <w:rPr>
          <w:rFonts w:hint="default" w:ascii="黑体" w:hAnsi="黑体" w:eastAsia="黑体" w:cs="黑体"/>
          <w:sz w:val="28"/>
          <w:szCs w:val="28"/>
        </w:rPr>
      </w:pPr>
      <w:bookmarkStart w:id="16" w:name="_Toc2180_WPSOffice_Level2"/>
      <w:r>
        <w:rPr>
          <w:rFonts w:ascii="黑体" w:hAnsi="黑体" w:eastAsia="黑体" w:cs="黑体"/>
          <w:sz w:val="28"/>
          <w:szCs w:val="28"/>
        </w:rPr>
        <w:t>（一）指导思想</w:t>
      </w:r>
      <w:bookmarkEnd w:id="16"/>
    </w:p>
    <w:p w14:paraId="4C8DABC8">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以习近平新时代中国特色社会主义思想为指导，深入贯彻党的二十大和十九届历次全会精神，全面落实习近平总书记关于应急管理、安全生产、防灾减灾救灾的重要论述，坚持稳中求进总基调，准确把握新发展阶段，全面贯彻新发展理念，加快构建新发展格局，坚持人民至上、生命至上，统筹发展和安全，以推进应急管理体系和能力现代化为主线，着力完善应急管理体制机制，全面加强风险防范、应急保障、资源配置、社会共治等能力建设，不断增强人民群众的获得感、幸福感、安全感，为建设平安达拉特，和谐达拉特、美丽达拉特保驾护航。</w:t>
      </w:r>
    </w:p>
    <w:p w14:paraId="48B88110">
      <w:pPr>
        <w:ind w:firstLine="280" w:firstLineChars="100"/>
        <w:outlineLvl w:val="1"/>
        <w:rPr>
          <w:rFonts w:hint="default" w:ascii="黑体" w:hAnsi="黑体" w:eastAsia="黑体" w:cs="黑体"/>
          <w:sz w:val="28"/>
          <w:szCs w:val="28"/>
        </w:rPr>
      </w:pPr>
      <w:bookmarkStart w:id="17" w:name="_Toc14863_WPSOffice_Level2"/>
      <w:r>
        <w:rPr>
          <w:rFonts w:ascii="黑体" w:hAnsi="黑体" w:eastAsia="黑体" w:cs="黑体"/>
          <w:sz w:val="28"/>
          <w:szCs w:val="28"/>
        </w:rPr>
        <w:t>（二）基本原则</w:t>
      </w:r>
      <w:bookmarkEnd w:id="17"/>
    </w:p>
    <w:p w14:paraId="5130DD26">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坚持党的领导。全面加强党对应急管理工作的集中统一领导，全面贯彻党的基本理论、基本路线、基本方略，充分发挥党总揽全局、协调各方的领导核心作用，把党的政治优势、组织优势和制度优势转化为应急管理事业发展的强大动力和坚强保障。</w:t>
      </w:r>
    </w:p>
    <w:p w14:paraId="1934AEB5">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坚持以人为本。坚持以人民为中心的发展思想，坚守生命安全红线，持续推进安全发展，把保护人民群众生命财产安全作为首要目标，全面提升国民安全素质和应急意识，最大限度降低各类灾害事故的危害和后果。</w:t>
      </w:r>
    </w:p>
    <w:p w14:paraId="029D98A0">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坚持预防为主。坚持以防为主、防抗救相结合，坚持源头治理，关口前移，健全灾害事故风险评估、隐患排查、监测预警、风险管控、应急处置全链条风险防控机制，全面提升风险防范化解能力，综合运用人防物防技防等手段，真正把问题解决在萌芽之时、成灾之前。</w:t>
      </w:r>
    </w:p>
    <w:p w14:paraId="366FA3B9">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坚持依法治理。把应急管理纳入法治化轨道，加快构建适应应急管理体制的法律法规和标准体系，坚持权责法定、依法应急，增强全社会法治意识，提高应急管理法治化、规范化水平，将制度优势转化为治理效能。</w:t>
      </w:r>
    </w:p>
    <w:p w14:paraId="4AB92516">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坚持创新驱动。深刻认识和准确把握外部环境的深刻变化和改革发展稳定面临的新情况新问题新挑战，充分发挥达拉特旗应急管理的特色和优势，借鉴国内外应急管理有益做法，着力推进应急管理体制机制创新。用发展的思路和办法解决痛点堵点难点，着力提高应急管理信息化、数字化、智能化水平，实现智慧应急。</w:t>
      </w:r>
    </w:p>
    <w:p w14:paraId="5AFF4088">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坚持社会共治。凝聚各方力量，构建社会共治格局，落实好各方责任，注重发挥市场机制作用。充分调动群众的积极性、主动性和创造性，拓展人民群众参与应急管理的有效途径，不断提高全社会安全意识，筑牢防灾减灾抗灾救灾的人民防线。</w:t>
      </w:r>
    </w:p>
    <w:p w14:paraId="0A03ABC7">
      <w:pPr>
        <w:ind w:firstLine="280" w:firstLineChars="100"/>
        <w:outlineLvl w:val="1"/>
        <w:rPr>
          <w:rFonts w:hint="default" w:ascii="黑体" w:hAnsi="黑体" w:eastAsia="黑体" w:cs="黑体"/>
          <w:sz w:val="28"/>
          <w:szCs w:val="28"/>
        </w:rPr>
      </w:pPr>
      <w:bookmarkStart w:id="18" w:name="_Toc26693_WPSOffice_Level2"/>
      <w:r>
        <w:rPr>
          <w:rFonts w:ascii="黑体" w:hAnsi="黑体" w:eastAsia="黑体" w:cs="黑体"/>
          <w:sz w:val="28"/>
          <w:szCs w:val="28"/>
        </w:rPr>
        <w:t>（三）规划目标</w:t>
      </w:r>
      <w:bookmarkEnd w:id="18"/>
    </w:p>
    <w:p w14:paraId="69549C40">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 xml:space="preserve">到2025年，全旗应急管理体系和能力现代化建设取得重大进展，应急管理体系进一步健全，应急管理能力和水平显著提升，基本形成统一指挥、专常兼备、反应灵敏、上下联动的应急管理体制，基本建成统一领导、权责一致、权威高效的应急能力体系。防灾减灾救灾体制机制更加健全，自然灾害防御能力明显提高。重大安全风险得到有效防范化解，较大及以上事故得到有效遏制，生产安全事故总量保持下降态势。 </w:t>
      </w:r>
    </w:p>
    <w:p w14:paraId="209A55E1">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展望2035年，应急管理体系和能力现代化基本实现，全旗安全生产、防灾减灾、应急救援基本实现信息化、智能化。全民安全生产意识普遍提升，安全生产主体责任全面落实，重大安全风险防控水平大幅提升，安全生产形势根本好转，自然灾害防御和巨灾应对能力显著增强。</w:t>
      </w:r>
    </w:p>
    <w:tbl>
      <w:tblPr>
        <w:tblStyle w:val="17"/>
        <w:tblW w:w="83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29"/>
        <w:gridCol w:w="928"/>
        <w:gridCol w:w="735"/>
        <w:gridCol w:w="700"/>
        <w:gridCol w:w="830"/>
        <w:gridCol w:w="790"/>
        <w:gridCol w:w="870"/>
        <w:gridCol w:w="741"/>
        <w:gridCol w:w="767"/>
        <w:gridCol w:w="1646"/>
      </w:tblGrid>
      <w:tr w14:paraId="046A9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4" w:hRule="atLeast"/>
          <w:tblHeader/>
          <w:jc w:val="center"/>
        </w:trPr>
        <w:tc>
          <w:tcPr>
            <w:tcW w:w="8336" w:type="dxa"/>
            <w:gridSpan w:val="10"/>
            <w:shd w:val="clear" w:color="auto" w:fill="FFFFFF"/>
            <w:tcMar>
              <w:top w:w="13" w:type="dxa"/>
              <w:left w:w="13" w:type="dxa"/>
              <w:bottom w:w="0" w:type="dxa"/>
              <w:right w:w="13" w:type="dxa"/>
            </w:tcMar>
            <w:vAlign w:val="center"/>
          </w:tcPr>
          <w:p w14:paraId="2B03C43A">
            <w:pPr>
              <w:spacing w:line="280" w:lineRule="exact"/>
              <w:jc w:val="center"/>
              <w:rPr>
                <w:rFonts w:hint="default" w:eastAsia="黑体"/>
                <w:color w:val="000000"/>
                <w:sz w:val="28"/>
              </w:rPr>
            </w:pPr>
            <w:r>
              <w:rPr>
                <w:rFonts w:eastAsia="黑体"/>
                <w:color w:val="000000"/>
                <w:sz w:val="28"/>
              </w:rPr>
              <w:t>专栏1</w:t>
            </w:r>
            <w:r>
              <w:rPr>
                <w:rFonts w:eastAsia="黑体"/>
                <w:color w:val="000000"/>
                <w:sz w:val="28"/>
              </w:rPr>
              <w:tab/>
            </w:r>
            <w:r>
              <w:rPr>
                <w:rFonts w:eastAsia="黑体"/>
                <w:color w:val="000000"/>
                <w:sz w:val="28"/>
              </w:rPr>
              <w:t>达拉特旗</w:t>
            </w:r>
            <w:r>
              <w:rPr>
                <w:rFonts w:ascii="仿宋_GB2312" w:eastAsia="仿宋_GB2312"/>
                <w:color w:val="000000"/>
                <w:sz w:val="32"/>
              </w:rPr>
              <w:t>“</w:t>
            </w:r>
            <w:r>
              <w:rPr>
                <w:rFonts w:eastAsia="黑体"/>
                <w:color w:val="000000"/>
                <w:sz w:val="28"/>
              </w:rPr>
              <w:t>十四五</w:t>
            </w:r>
            <w:r>
              <w:rPr>
                <w:rFonts w:ascii="仿宋_GB2312" w:eastAsia="仿宋_GB2312"/>
                <w:color w:val="000000"/>
                <w:sz w:val="32"/>
              </w:rPr>
              <w:t>”</w:t>
            </w:r>
            <w:r>
              <w:rPr>
                <w:rFonts w:eastAsia="黑体"/>
                <w:color w:val="000000"/>
                <w:sz w:val="28"/>
              </w:rPr>
              <w:t>时期应急管理事业发展主要目标</w:t>
            </w:r>
          </w:p>
        </w:tc>
      </w:tr>
      <w:tr w14:paraId="24A65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14" w:hRule="atLeast"/>
          <w:tblHeader/>
          <w:jc w:val="center"/>
        </w:trPr>
        <w:tc>
          <w:tcPr>
            <w:tcW w:w="329" w:type="dxa"/>
            <w:shd w:val="clear" w:color="auto" w:fill="FFFFFF"/>
            <w:tcMar>
              <w:top w:w="13" w:type="dxa"/>
              <w:left w:w="13" w:type="dxa"/>
              <w:bottom w:w="0" w:type="dxa"/>
              <w:right w:w="13" w:type="dxa"/>
            </w:tcMar>
            <w:vAlign w:val="center"/>
          </w:tcPr>
          <w:p w14:paraId="4E8C3499">
            <w:pPr>
              <w:spacing w:line="280" w:lineRule="exact"/>
              <w:jc w:val="center"/>
              <w:rPr>
                <w:rFonts w:hint="default" w:ascii="黑体" w:hAnsi="黑体" w:eastAsia="黑体"/>
                <w:sz w:val="28"/>
                <w:szCs w:val="28"/>
              </w:rPr>
            </w:pPr>
            <w:r>
              <w:rPr>
                <w:rFonts w:ascii="黑体" w:hAnsi="黑体" w:eastAsia="黑体"/>
                <w:sz w:val="28"/>
                <w:szCs w:val="28"/>
              </w:rPr>
              <w:t>序号</w:t>
            </w:r>
          </w:p>
        </w:tc>
        <w:tc>
          <w:tcPr>
            <w:tcW w:w="928" w:type="dxa"/>
            <w:shd w:val="clear" w:color="auto" w:fill="FFFFFF"/>
            <w:tcMar>
              <w:top w:w="13" w:type="dxa"/>
              <w:left w:w="13" w:type="dxa"/>
              <w:bottom w:w="0" w:type="dxa"/>
              <w:right w:w="13" w:type="dxa"/>
            </w:tcMar>
            <w:vAlign w:val="center"/>
          </w:tcPr>
          <w:p w14:paraId="2B00F44A">
            <w:pPr>
              <w:spacing w:line="280" w:lineRule="exact"/>
              <w:jc w:val="center"/>
              <w:rPr>
                <w:rFonts w:hint="default" w:ascii="黑体" w:hAnsi="黑体" w:eastAsia="黑体"/>
                <w:sz w:val="28"/>
                <w:szCs w:val="28"/>
              </w:rPr>
            </w:pPr>
            <w:r>
              <w:rPr>
                <w:rFonts w:ascii="黑体" w:hAnsi="黑体" w:eastAsia="黑体"/>
                <w:sz w:val="28"/>
                <w:szCs w:val="28"/>
              </w:rPr>
              <w:t>指标名称</w:t>
            </w:r>
          </w:p>
        </w:tc>
        <w:tc>
          <w:tcPr>
            <w:tcW w:w="735" w:type="dxa"/>
            <w:shd w:val="clear" w:color="auto" w:fill="FFFFFF"/>
            <w:vAlign w:val="center"/>
          </w:tcPr>
          <w:p w14:paraId="1C6776C9">
            <w:pPr>
              <w:spacing w:line="280" w:lineRule="exact"/>
              <w:jc w:val="center"/>
              <w:rPr>
                <w:rFonts w:hint="default" w:ascii="黑体" w:hAnsi="黑体" w:eastAsia="黑体"/>
                <w:sz w:val="28"/>
                <w:szCs w:val="28"/>
              </w:rPr>
            </w:pPr>
            <w:r>
              <w:rPr>
                <w:rFonts w:ascii="黑体" w:hAnsi="黑体" w:eastAsia="黑体"/>
                <w:sz w:val="28"/>
                <w:szCs w:val="28"/>
              </w:rPr>
              <w:t>2020年基数值</w:t>
            </w:r>
          </w:p>
        </w:tc>
        <w:tc>
          <w:tcPr>
            <w:tcW w:w="700" w:type="dxa"/>
            <w:shd w:val="clear" w:color="auto" w:fill="FFFFFF"/>
            <w:vAlign w:val="center"/>
          </w:tcPr>
          <w:p w14:paraId="4E649445">
            <w:pPr>
              <w:spacing w:line="280" w:lineRule="exact"/>
              <w:jc w:val="center"/>
              <w:rPr>
                <w:rFonts w:hint="default" w:ascii="黑体" w:hAnsi="黑体" w:eastAsia="黑体"/>
                <w:sz w:val="28"/>
                <w:szCs w:val="28"/>
              </w:rPr>
            </w:pPr>
            <w:r>
              <w:rPr>
                <w:rFonts w:ascii="黑体" w:hAnsi="黑体" w:eastAsia="黑体"/>
                <w:sz w:val="28"/>
                <w:szCs w:val="28"/>
              </w:rPr>
              <w:t>2025年目标绝对值</w:t>
            </w:r>
          </w:p>
        </w:tc>
        <w:tc>
          <w:tcPr>
            <w:tcW w:w="830" w:type="dxa"/>
            <w:shd w:val="clear" w:color="auto" w:fill="FFFFFF"/>
            <w:tcMar>
              <w:top w:w="13" w:type="dxa"/>
              <w:left w:w="13" w:type="dxa"/>
              <w:bottom w:w="0" w:type="dxa"/>
              <w:right w:w="13" w:type="dxa"/>
            </w:tcMar>
            <w:vAlign w:val="center"/>
          </w:tcPr>
          <w:p w14:paraId="48DB42A3">
            <w:pPr>
              <w:spacing w:line="280" w:lineRule="exact"/>
              <w:jc w:val="center"/>
              <w:rPr>
                <w:rFonts w:hint="default" w:ascii="黑体" w:hAnsi="黑体" w:eastAsia="黑体"/>
                <w:sz w:val="28"/>
                <w:szCs w:val="28"/>
              </w:rPr>
            </w:pPr>
            <w:r>
              <w:rPr>
                <w:rFonts w:ascii="黑体" w:hAnsi="黑体" w:eastAsia="黑体"/>
                <w:sz w:val="28"/>
                <w:szCs w:val="28"/>
              </w:rPr>
              <w:t>2025年目标值</w:t>
            </w:r>
          </w:p>
        </w:tc>
        <w:tc>
          <w:tcPr>
            <w:tcW w:w="790" w:type="dxa"/>
            <w:shd w:val="clear" w:color="auto" w:fill="FFFFFF"/>
            <w:tcMar>
              <w:top w:w="13" w:type="dxa"/>
              <w:left w:w="13" w:type="dxa"/>
              <w:bottom w:w="0" w:type="dxa"/>
              <w:right w:w="13" w:type="dxa"/>
            </w:tcMar>
            <w:vAlign w:val="center"/>
          </w:tcPr>
          <w:p w14:paraId="6A6D5ED3">
            <w:pPr>
              <w:spacing w:line="280" w:lineRule="exact"/>
              <w:jc w:val="center"/>
              <w:rPr>
                <w:rFonts w:hint="default" w:ascii="黑体" w:hAnsi="黑体" w:eastAsia="黑体"/>
                <w:sz w:val="28"/>
                <w:szCs w:val="28"/>
              </w:rPr>
            </w:pPr>
            <w:r>
              <w:rPr>
                <w:rFonts w:ascii="黑体" w:hAnsi="黑体" w:eastAsia="黑体"/>
                <w:sz w:val="28"/>
                <w:szCs w:val="28"/>
              </w:rPr>
              <w:t>国家</w:t>
            </w:r>
          </w:p>
          <w:p w14:paraId="217FC1A3">
            <w:pPr>
              <w:spacing w:line="280" w:lineRule="exact"/>
              <w:jc w:val="center"/>
              <w:rPr>
                <w:rFonts w:hint="default" w:ascii="黑体" w:hAnsi="黑体" w:eastAsia="黑体"/>
                <w:sz w:val="28"/>
                <w:szCs w:val="28"/>
              </w:rPr>
            </w:pPr>
            <w:r>
              <w:rPr>
                <w:rFonts w:ascii="黑体" w:hAnsi="黑体" w:eastAsia="黑体"/>
                <w:sz w:val="28"/>
                <w:szCs w:val="28"/>
              </w:rPr>
              <w:t>指标</w:t>
            </w:r>
          </w:p>
        </w:tc>
        <w:tc>
          <w:tcPr>
            <w:tcW w:w="870" w:type="dxa"/>
            <w:shd w:val="clear" w:color="auto" w:fill="FFFFFF"/>
            <w:tcMar>
              <w:top w:w="13" w:type="dxa"/>
              <w:left w:w="13" w:type="dxa"/>
              <w:bottom w:w="0" w:type="dxa"/>
              <w:right w:w="13" w:type="dxa"/>
            </w:tcMar>
            <w:vAlign w:val="center"/>
          </w:tcPr>
          <w:p w14:paraId="60D7BC5F">
            <w:pPr>
              <w:spacing w:line="280" w:lineRule="exact"/>
              <w:jc w:val="center"/>
              <w:rPr>
                <w:rFonts w:hint="default" w:ascii="黑体" w:hAnsi="黑体" w:eastAsia="黑体"/>
                <w:sz w:val="28"/>
                <w:szCs w:val="28"/>
              </w:rPr>
            </w:pPr>
            <w:r>
              <w:rPr>
                <w:rFonts w:ascii="黑体" w:hAnsi="黑体" w:eastAsia="黑体"/>
                <w:sz w:val="28"/>
                <w:szCs w:val="28"/>
              </w:rPr>
              <w:t>自治区</w:t>
            </w:r>
          </w:p>
          <w:p w14:paraId="7D3AA03D">
            <w:pPr>
              <w:spacing w:line="280" w:lineRule="exact"/>
              <w:jc w:val="center"/>
              <w:rPr>
                <w:rFonts w:hint="default" w:ascii="黑体" w:hAnsi="黑体" w:eastAsia="黑体"/>
                <w:sz w:val="28"/>
                <w:szCs w:val="28"/>
              </w:rPr>
            </w:pPr>
            <w:r>
              <w:rPr>
                <w:rFonts w:ascii="黑体" w:hAnsi="黑体" w:eastAsia="黑体"/>
                <w:sz w:val="28"/>
                <w:szCs w:val="28"/>
              </w:rPr>
              <w:t>指标</w:t>
            </w:r>
          </w:p>
        </w:tc>
        <w:tc>
          <w:tcPr>
            <w:tcW w:w="741" w:type="dxa"/>
            <w:shd w:val="clear" w:color="auto" w:fill="FFFFFF"/>
            <w:vAlign w:val="center"/>
          </w:tcPr>
          <w:p w14:paraId="515543A4">
            <w:pPr>
              <w:spacing w:line="280" w:lineRule="exact"/>
              <w:jc w:val="center"/>
              <w:rPr>
                <w:rFonts w:hint="default" w:ascii="黑体" w:hAnsi="黑体" w:eastAsia="黑体"/>
                <w:sz w:val="28"/>
                <w:szCs w:val="28"/>
              </w:rPr>
            </w:pPr>
            <w:r>
              <w:rPr>
                <w:rFonts w:ascii="黑体" w:hAnsi="黑体" w:eastAsia="黑体"/>
                <w:sz w:val="28"/>
                <w:szCs w:val="28"/>
              </w:rPr>
              <w:t>市指标</w:t>
            </w:r>
          </w:p>
        </w:tc>
        <w:tc>
          <w:tcPr>
            <w:tcW w:w="767" w:type="dxa"/>
            <w:shd w:val="clear" w:color="auto" w:fill="FFFFFF"/>
            <w:vAlign w:val="center"/>
          </w:tcPr>
          <w:p w14:paraId="73AF9F25">
            <w:pPr>
              <w:spacing w:line="280" w:lineRule="exact"/>
              <w:jc w:val="center"/>
              <w:rPr>
                <w:rFonts w:hint="default" w:ascii="黑体" w:hAnsi="黑体" w:eastAsia="黑体"/>
                <w:sz w:val="28"/>
                <w:szCs w:val="28"/>
              </w:rPr>
            </w:pPr>
            <w:r>
              <w:rPr>
                <w:rFonts w:ascii="黑体" w:hAnsi="黑体" w:eastAsia="黑体"/>
                <w:sz w:val="28"/>
                <w:szCs w:val="28"/>
              </w:rPr>
              <w:t>指标性质</w:t>
            </w:r>
          </w:p>
        </w:tc>
        <w:tc>
          <w:tcPr>
            <w:tcW w:w="1646" w:type="dxa"/>
            <w:shd w:val="clear" w:color="auto" w:fill="FFFFFF"/>
            <w:tcMar>
              <w:top w:w="13" w:type="dxa"/>
              <w:left w:w="13" w:type="dxa"/>
              <w:bottom w:w="0" w:type="dxa"/>
              <w:right w:w="13" w:type="dxa"/>
            </w:tcMar>
            <w:vAlign w:val="center"/>
          </w:tcPr>
          <w:p w14:paraId="4B946DF6">
            <w:pPr>
              <w:spacing w:line="280" w:lineRule="exact"/>
              <w:jc w:val="center"/>
              <w:rPr>
                <w:rFonts w:hint="default" w:ascii="黑体" w:hAnsi="黑体" w:eastAsia="黑体"/>
                <w:sz w:val="28"/>
                <w:szCs w:val="28"/>
              </w:rPr>
            </w:pPr>
            <w:r>
              <w:rPr>
                <w:rFonts w:ascii="黑体" w:hAnsi="黑体" w:eastAsia="黑体"/>
                <w:sz w:val="28"/>
                <w:szCs w:val="28"/>
              </w:rPr>
              <w:t>指标测算</w:t>
            </w:r>
          </w:p>
        </w:tc>
      </w:tr>
      <w:tr w14:paraId="1E5E45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65" w:hRule="atLeast"/>
          <w:jc w:val="center"/>
        </w:trPr>
        <w:tc>
          <w:tcPr>
            <w:tcW w:w="329" w:type="dxa"/>
            <w:shd w:val="clear" w:color="auto" w:fill="FFFFFF"/>
            <w:tcMar>
              <w:top w:w="13" w:type="dxa"/>
              <w:left w:w="13" w:type="dxa"/>
              <w:bottom w:w="0" w:type="dxa"/>
              <w:right w:w="13" w:type="dxa"/>
            </w:tcMar>
            <w:vAlign w:val="center"/>
          </w:tcPr>
          <w:p w14:paraId="0233301E">
            <w:pPr>
              <w:spacing w:line="320" w:lineRule="exact"/>
              <w:jc w:val="center"/>
              <w:rPr>
                <w:rFonts w:hint="default" w:eastAsia="仿宋_GB2312"/>
                <w:sz w:val="28"/>
                <w:szCs w:val="28"/>
              </w:rPr>
            </w:pPr>
            <w:r>
              <w:rPr>
                <w:rFonts w:eastAsia="仿宋_GB2312"/>
                <w:sz w:val="28"/>
                <w:szCs w:val="28"/>
              </w:rPr>
              <w:t>1</w:t>
            </w:r>
          </w:p>
        </w:tc>
        <w:tc>
          <w:tcPr>
            <w:tcW w:w="928" w:type="dxa"/>
            <w:shd w:val="clear" w:color="auto" w:fill="FFFFFF"/>
            <w:tcMar>
              <w:top w:w="13" w:type="dxa"/>
              <w:left w:w="13" w:type="dxa"/>
              <w:bottom w:w="0" w:type="dxa"/>
              <w:right w:w="13" w:type="dxa"/>
            </w:tcMar>
            <w:vAlign w:val="center"/>
          </w:tcPr>
          <w:p w14:paraId="7BCB5264">
            <w:pPr>
              <w:spacing w:line="320" w:lineRule="exact"/>
              <w:rPr>
                <w:rFonts w:hint="default" w:eastAsia="仿宋_GB2312"/>
                <w:sz w:val="28"/>
                <w:szCs w:val="28"/>
              </w:rPr>
            </w:pPr>
            <w:r>
              <w:rPr>
                <w:rFonts w:eastAsia="仿宋_GB2312"/>
                <w:sz w:val="28"/>
                <w:szCs w:val="28"/>
              </w:rPr>
              <w:t>生产安全事故死亡人数</w:t>
            </w:r>
          </w:p>
        </w:tc>
        <w:tc>
          <w:tcPr>
            <w:tcW w:w="735" w:type="dxa"/>
            <w:shd w:val="clear" w:color="auto" w:fill="FFFFFF"/>
            <w:vAlign w:val="center"/>
          </w:tcPr>
          <w:p w14:paraId="1F08BB9E">
            <w:pPr>
              <w:spacing w:line="320" w:lineRule="exact"/>
              <w:jc w:val="center"/>
              <w:rPr>
                <w:rFonts w:hint="default" w:eastAsia="仿宋_GB2312"/>
                <w:sz w:val="28"/>
                <w:szCs w:val="28"/>
              </w:rPr>
            </w:pPr>
            <w:r>
              <w:rPr>
                <w:rFonts w:eastAsia="仿宋_GB2312"/>
                <w:sz w:val="28"/>
                <w:szCs w:val="28"/>
              </w:rPr>
              <w:t>26</w:t>
            </w:r>
          </w:p>
        </w:tc>
        <w:tc>
          <w:tcPr>
            <w:tcW w:w="700" w:type="dxa"/>
            <w:shd w:val="clear" w:color="auto" w:fill="FFFFFF"/>
            <w:vAlign w:val="center"/>
          </w:tcPr>
          <w:p w14:paraId="0D73DD11">
            <w:pPr>
              <w:spacing w:line="320" w:lineRule="exact"/>
              <w:jc w:val="center"/>
              <w:rPr>
                <w:rFonts w:hint="default" w:eastAsia="仿宋_GB2312"/>
                <w:sz w:val="28"/>
                <w:szCs w:val="28"/>
              </w:rPr>
            </w:pPr>
            <w:r>
              <w:rPr>
                <w:rFonts w:eastAsia="仿宋_GB2312"/>
                <w:sz w:val="28"/>
                <w:szCs w:val="28"/>
              </w:rPr>
              <w:t>22</w:t>
            </w:r>
          </w:p>
        </w:tc>
        <w:tc>
          <w:tcPr>
            <w:tcW w:w="830" w:type="dxa"/>
            <w:shd w:val="clear" w:color="auto" w:fill="FFFFFF"/>
            <w:tcMar>
              <w:top w:w="13" w:type="dxa"/>
              <w:left w:w="13" w:type="dxa"/>
              <w:bottom w:w="0" w:type="dxa"/>
              <w:right w:w="13" w:type="dxa"/>
            </w:tcMar>
            <w:vAlign w:val="center"/>
          </w:tcPr>
          <w:p w14:paraId="20DF43A0">
            <w:pPr>
              <w:spacing w:line="320" w:lineRule="exact"/>
              <w:jc w:val="center"/>
              <w:rPr>
                <w:rFonts w:hint="default" w:eastAsia="仿宋_GB2312"/>
                <w:sz w:val="28"/>
                <w:szCs w:val="28"/>
              </w:rPr>
            </w:pPr>
            <w:r>
              <w:rPr>
                <w:rFonts w:eastAsia="仿宋_GB2312"/>
                <w:sz w:val="28"/>
                <w:szCs w:val="28"/>
              </w:rPr>
              <w:t>下降15%</w:t>
            </w:r>
          </w:p>
        </w:tc>
        <w:tc>
          <w:tcPr>
            <w:tcW w:w="790" w:type="dxa"/>
            <w:shd w:val="clear" w:color="auto" w:fill="FFFFFF"/>
            <w:tcMar>
              <w:top w:w="13" w:type="dxa"/>
              <w:left w:w="13" w:type="dxa"/>
              <w:bottom w:w="0" w:type="dxa"/>
              <w:right w:w="13" w:type="dxa"/>
            </w:tcMar>
            <w:vAlign w:val="center"/>
          </w:tcPr>
          <w:p w14:paraId="00C7EAC9">
            <w:pPr>
              <w:spacing w:line="320" w:lineRule="exact"/>
              <w:jc w:val="center"/>
              <w:rPr>
                <w:rFonts w:hint="default" w:eastAsia="仿宋_GB2312"/>
                <w:sz w:val="28"/>
                <w:szCs w:val="28"/>
              </w:rPr>
            </w:pPr>
            <w:r>
              <w:rPr>
                <w:rFonts w:eastAsia="仿宋_GB2312"/>
                <w:sz w:val="28"/>
                <w:szCs w:val="28"/>
              </w:rPr>
              <w:t>下降15%</w:t>
            </w:r>
          </w:p>
        </w:tc>
        <w:tc>
          <w:tcPr>
            <w:tcW w:w="870" w:type="dxa"/>
            <w:shd w:val="clear" w:color="auto" w:fill="FFFFFF"/>
            <w:tcMar>
              <w:top w:w="13" w:type="dxa"/>
              <w:left w:w="13" w:type="dxa"/>
              <w:bottom w:w="0" w:type="dxa"/>
              <w:right w:w="13" w:type="dxa"/>
            </w:tcMar>
            <w:vAlign w:val="center"/>
          </w:tcPr>
          <w:p w14:paraId="454F4914">
            <w:pPr>
              <w:spacing w:line="320" w:lineRule="exact"/>
              <w:jc w:val="center"/>
              <w:rPr>
                <w:rFonts w:hint="default" w:eastAsia="仿宋_GB2312"/>
                <w:sz w:val="28"/>
                <w:szCs w:val="28"/>
              </w:rPr>
            </w:pPr>
            <w:r>
              <w:rPr>
                <w:rFonts w:eastAsia="仿宋_GB2312"/>
                <w:sz w:val="28"/>
                <w:szCs w:val="28"/>
              </w:rPr>
              <w:t>下降15%</w:t>
            </w:r>
          </w:p>
        </w:tc>
        <w:tc>
          <w:tcPr>
            <w:tcW w:w="741" w:type="dxa"/>
            <w:shd w:val="clear" w:color="auto" w:fill="FFFFFF"/>
            <w:vAlign w:val="center"/>
          </w:tcPr>
          <w:p w14:paraId="7C553ECA">
            <w:pPr>
              <w:spacing w:line="320" w:lineRule="exact"/>
              <w:jc w:val="center"/>
              <w:rPr>
                <w:rFonts w:hint="default" w:eastAsia="仿宋_GB2312"/>
                <w:sz w:val="28"/>
                <w:szCs w:val="28"/>
              </w:rPr>
            </w:pPr>
            <w:r>
              <w:rPr>
                <w:rFonts w:eastAsia="仿宋_GB2312"/>
                <w:sz w:val="28"/>
                <w:szCs w:val="28"/>
              </w:rPr>
              <w:t>下降15%</w:t>
            </w:r>
          </w:p>
        </w:tc>
        <w:tc>
          <w:tcPr>
            <w:tcW w:w="767" w:type="dxa"/>
            <w:shd w:val="clear" w:color="auto" w:fill="FFFFFF"/>
            <w:vAlign w:val="center"/>
          </w:tcPr>
          <w:p w14:paraId="06AE8A53">
            <w:pPr>
              <w:snapToGrid w:val="0"/>
              <w:jc w:val="center"/>
              <w:rPr>
                <w:rFonts w:hint="default" w:eastAsia="仿宋_GB2312"/>
                <w:sz w:val="28"/>
                <w:szCs w:val="28"/>
              </w:rPr>
            </w:pPr>
            <w:r>
              <w:rPr>
                <w:rFonts w:eastAsia="仿宋_GB2312"/>
                <w:sz w:val="28"/>
                <w:szCs w:val="28"/>
              </w:rPr>
              <w:t>约束性</w:t>
            </w:r>
          </w:p>
        </w:tc>
        <w:tc>
          <w:tcPr>
            <w:tcW w:w="1646" w:type="dxa"/>
            <w:shd w:val="clear" w:color="auto" w:fill="FFFFFF"/>
            <w:tcMar>
              <w:top w:w="13" w:type="dxa"/>
              <w:left w:w="13" w:type="dxa"/>
              <w:bottom w:w="0" w:type="dxa"/>
              <w:right w:w="13" w:type="dxa"/>
            </w:tcMar>
            <w:vAlign w:val="center"/>
          </w:tcPr>
          <w:p w14:paraId="321E3AFF">
            <w:pPr>
              <w:spacing w:line="320" w:lineRule="exact"/>
              <w:jc w:val="both"/>
              <w:rPr>
                <w:rFonts w:hint="default" w:eastAsia="仿宋_GB2312"/>
                <w:sz w:val="28"/>
                <w:szCs w:val="28"/>
              </w:rPr>
            </w:pPr>
            <w:r>
              <w:rPr>
                <w:rFonts w:eastAsia="仿宋_GB2312"/>
                <w:sz w:val="28"/>
                <w:szCs w:val="28"/>
              </w:rPr>
              <w:t>2025年目标绝对值=2020年基数值*（1-15%）=26*85%=22人</w:t>
            </w:r>
          </w:p>
        </w:tc>
      </w:tr>
      <w:tr w14:paraId="1E26D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67" w:hRule="atLeast"/>
          <w:jc w:val="center"/>
        </w:trPr>
        <w:tc>
          <w:tcPr>
            <w:tcW w:w="329" w:type="dxa"/>
            <w:shd w:val="clear" w:color="auto" w:fill="FFFFFF"/>
            <w:tcMar>
              <w:top w:w="13" w:type="dxa"/>
              <w:left w:w="13" w:type="dxa"/>
              <w:bottom w:w="0" w:type="dxa"/>
              <w:right w:w="13" w:type="dxa"/>
            </w:tcMar>
            <w:vAlign w:val="center"/>
          </w:tcPr>
          <w:p w14:paraId="41D28BCD">
            <w:pPr>
              <w:spacing w:line="320" w:lineRule="exact"/>
              <w:jc w:val="center"/>
              <w:rPr>
                <w:rFonts w:hint="default" w:eastAsia="仿宋_GB2312"/>
                <w:sz w:val="28"/>
                <w:szCs w:val="28"/>
              </w:rPr>
            </w:pPr>
            <w:r>
              <w:rPr>
                <w:rFonts w:eastAsia="仿宋_GB2312"/>
                <w:sz w:val="28"/>
                <w:szCs w:val="28"/>
              </w:rPr>
              <w:t>2</w:t>
            </w:r>
          </w:p>
        </w:tc>
        <w:tc>
          <w:tcPr>
            <w:tcW w:w="928" w:type="dxa"/>
            <w:shd w:val="clear" w:color="auto" w:fill="FFFFFF"/>
            <w:tcMar>
              <w:top w:w="13" w:type="dxa"/>
              <w:left w:w="13" w:type="dxa"/>
              <w:bottom w:w="0" w:type="dxa"/>
              <w:right w:w="13" w:type="dxa"/>
            </w:tcMar>
            <w:vAlign w:val="center"/>
          </w:tcPr>
          <w:p w14:paraId="2298B619">
            <w:pPr>
              <w:spacing w:line="320" w:lineRule="exact"/>
              <w:rPr>
                <w:rFonts w:hint="default" w:eastAsia="仿宋_GB2312"/>
                <w:sz w:val="28"/>
                <w:szCs w:val="28"/>
              </w:rPr>
            </w:pPr>
            <w:r>
              <w:rPr>
                <w:rFonts w:eastAsia="仿宋_GB2312"/>
                <w:sz w:val="28"/>
                <w:szCs w:val="28"/>
              </w:rPr>
              <w:t>亿元国内生产总值生产安全事故死亡率</w:t>
            </w:r>
          </w:p>
        </w:tc>
        <w:tc>
          <w:tcPr>
            <w:tcW w:w="735" w:type="dxa"/>
            <w:shd w:val="clear" w:color="auto" w:fill="FFFFFF"/>
            <w:vAlign w:val="center"/>
          </w:tcPr>
          <w:p w14:paraId="02600B99">
            <w:pPr>
              <w:spacing w:line="320" w:lineRule="exact"/>
              <w:jc w:val="center"/>
              <w:rPr>
                <w:rFonts w:hint="default" w:eastAsia="仿宋_GB2312"/>
                <w:sz w:val="28"/>
                <w:szCs w:val="28"/>
              </w:rPr>
            </w:pPr>
            <w:r>
              <w:rPr>
                <w:rFonts w:eastAsia="仿宋_GB2312"/>
                <w:sz w:val="28"/>
                <w:szCs w:val="28"/>
              </w:rPr>
              <w:t>0.081</w:t>
            </w:r>
          </w:p>
        </w:tc>
        <w:tc>
          <w:tcPr>
            <w:tcW w:w="700" w:type="dxa"/>
            <w:shd w:val="clear" w:color="auto" w:fill="FFFFFF"/>
            <w:vAlign w:val="center"/>
          </w:tcPr>
          <w:p w14:paraId="5881596A">
            <w:pPr>
              <w:spacing w:line="320" w:lineRule="exact"/>
              <w:jc w:val="center"/>
              <w:rPr>
                <w:rFonts w:hint="default" w:eastAsia="仿宋_GB2312"/>
                <w:sz w:val="28"/>
                <w:szCs w:val="28"/>
              </w:rPr>
            </w:pPr>
            <w:r>
              <w:rPr>
                <w:rFonts w:eastAsia="仿宋_GB2312"/>
                <w:sz w:val="28"/>
                <w:szCs w:val="28"/>
              </w:rPr>
              <w:t>0.060</w:t>
            </w:r>
          </w:p>
        </w:tc>
        <w:tc>
          <w:tcPr>
            <w:tcW w:w="830" w:type="dxa"/>
            <w:shd w:val="clear" w:color="auto" w:fill="FFFFFF"/>
            <w:tcMar>
              <w:top w:w="13" w:type="dxa"/>
              <w:left w:w="13" w:type="dxa"/>
              <w:bottom w:w="0" w:type="dxa"/>
              <w:right w:w="13" w:type="dxa"/>
            </w:tcMar>
            <w:vAlign w:val="center"/>
          </w:tcPr>
          <w:p w14:paraId="06DC5FD8">
            <w:pPr>
              <w:spacing w:line="320" w:lineRule="exact"/>
              <w:jc w:val="center"/>
              <w:rPr>
                <w:rFonts w:hint="default" w:eastAsia="仿宋_GB2312"/>
                <w:sz w:val="28"/>
                <w:szCs w:val="28"/>
              </w:rPr>
            </w:pPr>
            <w:r>
              <w:rPr>
                <w:rFonts w:eastAsia="仿宋_GB2312"/>
                <w:sz w:val="28"/>
                <w:szCs w:val="28"/>
              </w:rPr>
              <w:t>下降26%</w:t>
            </w:r>
          </w:p>
        </w:tc>
        <w:tc>
          <w:tcPr>
            <w:tcW w:w="790" w:type="dxa"/>
            <w:shd w:val="clear" w:color="auto" w:fill="FFFFFF"/>
            <w:tcMar>
              <w:top w:w="13" w:type="dxa"/>
              <w:left w:w="13" w:type="dxa"/>
              <w:bottom w:w="0" w:type="dxa"/>
              <w:right w:w="13" w:type="dxa"/>
            </w:tcMar>
            <w:vAlign w:val="center"/>
          </w:tcPr>
          <w:p w14:paraId="0E5397D1">
            <w:pPr>
              <w:spacing w:line="320" w:lineRule="exact"/>
              <w:jc w:val="center"/>
              <w:rPr>
                <w:rFonts w:hint="default" w:eastAsia="仿宋_GB2312"/>
                <w:sz w:val="28"/>
                <w:szCs w:val="28"/>
              </w:rPr>
            </w:pPr>
            <w:r>
              <w:rPr>
                <w:rFonts w:eastAsia="仿宋_GB2312"/>
                <w:sz w:val="28"/>
                <w:szCs w:val="28"/>
              </w:rPr>
              <w:t>下降33%</w:t>
            </w:r>
          </w:p>
        </w:tc>
        <w:tc>
          <w:tcPr>
            <w:tcW w:w="870" w:type="dxa"/>
            <w:shd w:val="clear" w:color="auto" w:fill="FFFFFF"/>
            <w:tcMar>
              <w:top w:w="13" w:type="dxa"/>
              <w:left w:w="13" w:type="dxa"/>
              <w:bottom w:w="0" w:type="dxa"/>
              <w:right w:w="13" w:type="dxa"/>
            </w:tcMar>
            <w:vAlign w:val="center"/>
          </w:tcPr>
          <w:p w14:paraId="053FBE2F">
            <w:pPr>
              <w:spacing w:line="320" w:lineRule="exact"/>
              <w:jc w:val="center"/>
              <w:rPr>
                <w:rFonts w:hint="default" w:eastAsia="仿宋_GB2312"/>
                <w:sz w:val="28"/>
                <w:szCs w:val="28"/>
              </w:rPr>
            </w:pPr>
            <w:r>
              <w:rPr>
                <w:rFonts w:eastAsia="仿宋_GB2312"/>
                <w:sz w:val="28"/>
                <w:szCs w:val="28"/>
              </w:rPr>
              <w:t>下降26%</w:t>
            </w:r>
          </w:p>
        </w:tc>
        <w:tc>
          <w:tcPr>
            <w:tcW w:w="741" w:type="dxa"/>
            <w:shd w:val="clear" w:color="auto" w:fill="FFFFFF"/>
            <w:vAlign w:val="center"/>
          </w:tcPr>
          <w:p w14:paraId="1CD91027">
            <w:pPr>
              <w:spacing w:line="320" w:lineRule="exact"/>
              <w:jc w:val="center"/>
              <w:rPr>
                <w:rFonts w:hint="default" w:eastAsia="仿宋_GB2312"/>
                <w:sz w:val="28"/>
                <w:szCs w:val="28"/>
              </w:rPr>
            </w:pPr>
            <w:r>
              <w:rPr>
                <w:rFonts w:eastAsia="仿宋_GB2312"/>
                <w:sz w:val="28"/>
                <w:szCs w:val="28"/>
              </w:rPr>
              <w:t>下降26%</w:t>
            </w:r>
          </w:p>
        </w:tc>
        <w:tc>
          <w:tcPr>
            <w:tcW w:w="767" w:type="dxa"/>
            <w:shd w:val="clear" w:color="auto" w:fill="FFFFFF"/>
            <w:vAlign w:val="center"/>
          </w:tcPr>
          <w:p w14:paraId="3BCD66AF">
            <w:pPr>
              <w:snapToGrid w:val="0"/>
              <w:jc w:val="center"/>
              <w:rPr>
                <w:rFonts w:hint="default" w:eastAsia="仿宋_GB2312"/>
                <w:sz w:val="28"/>
                <w:szCs w:val="28"/>
              </w:rPr>
            </w:pPr>
            <w:r>
              <w:rPr>
                <w:rFonts w:eastAsia="仿宋_GB2312"/>
                <w:sz w:val="28"/>
                <w:szCs w:val="28"/>
              </w:rPr>
              <w:t>约束性</w:t>
            </w:r>
          </w:p>
        </w:tc>
        <w:tc>
          <w:tcPr>
            <w:tcW w:w="1646" w:type="dxa"/>
            <w:shd w:val="clear" w:color="auto" w:fill="FFFFFF"/>
            <w:tcMar>
              <w:top w:w="13" w:type="dxa"/>
              <w:left w:w="13" w:type="dxa"/>
              <w:bottom w:w="0" w:type="dxa"/>
              <w:right w:w="13" w:type="dxa"/>
            </w:tcMar>
            <w:vAlign w:val="center"/>
          </w:tcPr>
          <w:p w14:paraId="184717A0">
            <w:pPr>
              <w:spacing w:line="320" w:lineRule="exact"/>
              <w:jc w:val="both"/>
              <w:rPr>
                <w:rFonts w:hint="default" w:eastAsia="仿宋_GB2312"/>
                <w:sz w:val="28"/>
                <w:szCs w:val="28"/>
              </w:rPr>
            </w:pPr>
            <w:r>
              <w:rPr>
                <w:rFonts w:eastAsia="仿宋_GB2312"/>
                <w:sz w:val="28"/>
                <w:szCs w:val="28"/>
              </w:rPr>
              <w:t>2025年目标绝对值=2020年基数值*（1-26%）=0.081*74%=0.060</w:t>
            </w:r>
          </w:p>
        </w:tc>
      </w:tr>
      <w:tr w14:paraId="79931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58" w:hRule="atLeast"/>
          <w:jc w:val="center"/>
        </w:trPr>
        <w:tc>
          <w:tcPr>
            <w:tcW w:w="329" w:type="dxa"/>
            <w:shd w:val="clear" w:color="auto" w:fill="FFFFFF"/>
            <w:tcMar>
              <w:top w:w="13" w:type="dxa"/>
              <w:left w:w="13" w:type="dxa"/>
              <w:bottom w:w="0" w:type="dxa"/>
              <w:right w:w="13" w:type="dxa"/>
            </w:tcMar>
            <w:vAlign w:val="center"/>
          </w:tcPr>
          <w:p w14:paraId="1A2FC48E">
            <w:pPr>
              <w:spacing w:line="320" w:lineRule="exact"/>
              <w:jc w:val="center"/>
              <w:rPr>
                <w:rFonts w:hint="default" w:eastAsia="仿宋_GB2312"/>
                <w:sz w:val="28"/>
                <w:szCs w:val="28"/>
              </w:rPr>
            </w:pPr>
            <w:r>
              <w:rPr>
                <w:rFonts w:eastAsia="仿宋_GB2312"/>
                <w:sz w:val="28"/>
                <w:szCs w:val="28"/>
              </w:rPr>
              <w:t>3</w:t>
            </w:r>
          </w:p>
        </w:tc>
        <w:tc>
          <w:tcPr>
            <w:tcW w:w="928" w:type="dxa"/>
            <w:shd w:val="clear" w:color="auto" w:fill="FFFFFF"/>
            <w:tcMar>
              <w:top w:w="13" w:type="dxa"/>
              <w:left w:w="13" w:type="dxa"/>
              <w:bottom w:w="0" w:type="dxa"/>
              <w:right w:w="13" w:type="dxa"/>
            </w:tcMar>
            <w:vAlign w:val="center"/>
          </w:tcPr>
          <w:p w14:paraId="0579DE68">
            <w:pPr>
              <w:spacing w:line="320" w:lineRule="exact"/>
              <w:rPr>
                <w:rFonts w:hint="default" w:eastAsia="仿宋_GB2312"/>
                <w:sz w:val="28"/>
                <w:szCs w:val="28"/>
              </w:rPr>
            </w:pPr>
            <w:r>
              <w:rPr>
                <w:rFonts w:eastAsia="仿宋_GB2312"/>
                <w:sz w:val="28"/>
                <w:szCs w:val="28"/>
              </w:rPr>
              <w:t>工矿商贸就业人员十万人生产安全事故死亡率</w:t>
            </w:r>
          </w:p>
        </w:tc>
        <w:tc>
          <w:tcPr>
            <w:tcW w:w="735" w:type="dxa"/>
            <w:shd w:val="clear" w:color="auto" w:fill="FFFFFF"/>
            <w:vAlign w:val="center"/>
          </w:tcPr>
          <w:p w14:paraId="5037BBC8">
            <w:pPr>
              <w:spacing w:line="320" w:lineRule="exact"/>
              <w:jc w:val="center"/>
              <w:rPr>
                <w:rFonts w:hint="default" w:eastAsia="仿宋_GB2312"/>
                <w:sz w:val="28"/>
                <w:szCs w:val="28"/>
              </w:rPr>
            </w:pPr>
            <w:r>
              <w:rPr>
                <w:rFonts w:eastAsia="仿宋_GB2312"/>
                <w:sz w:val="28"/>
                <w:szCs w:val="28"/>
              </w:rPr>
              <w:t>——</w:t>
            </w:r>
          </w:p>
        </w:tc>
        <w:tc>
          <w:tcPr>
            <w:tcW w:w="700" w:type="dxa"/>
            <w:shd w:val="clear" w:color="auto" w:fill="FFFFFF"/>
            <w:vAlign w:val="center"/>
          </w:tcPr>
          <w:p w14:paraId="553BC523">
            <w:pPr>
              <w:spacing w:line="320" w:lineRule="exact"/>
              <w:jc w:val="center"/>
              <w:rPr>
                <w:rFonts w:hint="default" w:eastAsia="仿宋_GB2312"/>
                <w:sz w:val="28"/>
                <w:szCs w:val="28"/>
              </w:rPr>
            </w:pPr>
            <w:r>
              <w:rPr>
                <w:rFonts w:eastAsia="仿宋_GB2312"/>
                <w:sz w:val="28"/>
                <w:szCs w:val="28"/>
              </w:rPr>
              <w:t>1.65</w:t>
            </w:r>
          </w:p>
        </w:tc>
        <w:tc>
          <w:tcPr>
            <w:tcW w:w="830" w:type="dxa"/>
            <w:shd w:val="clear" w:color="auto" w:fill="FFFFFF"/>
            <w:tcMar>
              <w:top w:w="13" w:type="dxa"/>
              <w:left w:w="13" w:type="dxa"/>
              <w:bottom w:w="0" w:type="dxa"/>
              <w:right w:w="13" w:type="dxa"/>
            </w:tcMar>
            <w:vAlign w:val="center"/>
          </w:tcPr>
          <w:p w14:paraId="6C0CE43B">
            <w:pPr>
              <w:spacing w:line="320" w:lineRule="exact"/>
              <w:jc w:val="center"/>
              <w:rPr>
                <w:rFonts w:hint="default" w:eastAsia="仿宋_GB2312"/>
                <w:sz w:val="28"/>
                <w:szCs w:val="28"/>
              </w:rPr>
            </w:pPr>
            <w:r>
              <w:rPr>
                <w:rFonts w:eastAsia="仿宋_GB2312"/>
                <w:sz w:val="28"/>
                <w:szCs w:val="28"/>
              </w:rPr>
              <w:t>下降13%</w:t>
            </w:r>
          </w:p>
        </w:tc>
        <w:tc>
          <w:tcPr>
            <w:tcW w:w="790" w:type="dxa"/>
            <w:shd w:val="clear" w:color="auto" w:fill="FFFFFF"/>
            <w:tcMar>
              <w:top w:w="13" w:type="dxa"/>
              <w:left w:w="13" w:type="dxa"/>
              <w:bottom w:w="0" w:type="dxa"/>
              <w:right w:w="13" w:type="dxa"/>
            </w:tcMar>
            <w:vAlign w:val="center"/>
          </w:tcPr>
          <w:p w14:paraId="4B28B659">
            <w:pPr>
              <w:spacing w:line="320" w:lineRule="exact"/>
              <w:jc w:val="center"/>
              <w:rPr>
                <w:rFonts w:hint="default" w:eastAsia="仿宋_GB2312"/>
                <w:sz w:val="28"/>
                <w:szCs w:val="28"/>
              </w:rPr>
            </w:pPr>
            <w:r>
              <w:rPr>
                <w:rFonts w:eastAsia="仿宋_GB2312"/>
                <w:sz w:val="28"/>
                <w:szCs w:val="28"/>
              </w:rPr>
              <w:t>下降20%</w:t>
            </w:r>
          </w:p>
        </w:tc>
        <w:tc>
          <w:tcPr>
            <w:tcW w:w="870" w:type="dxa"/>
            <w:shd w:val="clear" w:color="auto" w:fill="FFFFFF"/>
            <w:tcMar>
              <w:top w:w="13" w:type="dxa"/>
              <w:left w:w="13" w:type="dxa"/>
              <w:bottom w:w="0" w:type="dxa"/>
              <w:right w:w="13" w:type="dxa"/>
            </w:tcMar>
            <w:vAlign w:val="center"/>
          </w:tcPr>
          <w:p w14:paraId="668CC51D">
            <w:pPr>
              <w:spacing w:line="320" w:lineRule="exact"/>
              <w:jc w:val="center"/>
              <w:rPr>
                <w:rFonts w:hint="default" w:eastAsia="仿宋_GB2312"/>
                <w:sz w:val="28"/>
                <w:szCs w:val="28"/>
              </w:rPr>
            </w:pPr>
            <w:r>
              <w:rPr>
                <w:rFonts w:eastAsia="仿宋_GB2312"/>
                <w:sz w:val="28"/>
                <w:szCs w:val="28"/>
              </w:rPr>
              <w:t>下降11%</w:t>
            </w:r>
          </w:p>
        </w:tc>
        <w:tc>
          <w:tcPr>
            <w:tcW w:w="741" w:type="dxa"/>
            <w:shd w:val="clear" w:color="auto" w:fill="FFFFFF"/>
            <w:vAlign w:val="center"/>
          </w:tcPr>
          <w:p w14:paraId="37ED100A">
            <w:pPr>
              <w:spacing w:line="320" w:lineRule="exact"/>
              <w:jc w:val="center"/>
              <w:rPr>
                <w:rFonts w:hint="default" w:eastAsia="仿宋_GB2312"/>
                <w:sz w:val="28"/>
                <w:szCs w:val="28"/>
              </w:rPr>
            </w:pPr>
            <w:r>
              <w:rPr>
                <w:rFonts w:eastAsia="仿宋_GB2312"/>
                <w:sz w:val="28"/>
                <w:szCs w:val="28"/>
              </w:rPr>
              <w:t>下降13%</w:t>
            </w:r>
          </w:p>
        </w:tc>
        <w:tc>
          <w:tcPr>
            <w:tcW w:w="767" w:type="dxa"/>
            <w:shd w:val="clear" w:color="auto" w:fill="FFFFFF"/>
            <w:vAlign w:val="center"/>
          </w:tcPr>
          <w:p w14:paraId="612E52C0">
            <w:pPr>
              <w:snapToGrid w:val="0"/>
              <w:jc w:val="center"/>
              <w:rPr>
                <w:rFonts w:hint="default" w:eastAsia="仿宋_GB2312"/>
                <w:sz w:val="28"/>
                <w:szCs w:val="28"/>
              </w:rPr>
            </w:pPr>
            <w:r>
              <w:rPr>
                <w:rFonts w:eastAsia="仿宋_GB2312"/>
                <w:sz w:val="28"/>
                <w:szCs w:val="28"/>
              </w:rPr>
              <w:t>约束性</w:t>
            </w:r>
          </w:p>
        </w:tc>
        <w:tc>
          <w:tcPr>
            <w:tcW w:w="1646" w:type="dxa"/>
            <w:shd w:val="clear" w:color="auto" w:fill="FFFFFF"/>
            <w:tcMar>
              <w:top w:w="13" w:type="dxa"/>
              <w:left w:w="13" w:type="dxa"/>
              <w:bottom w:w="0" w:type="dxa"/>
              <w:right w:w="13" w:type="dxa"/>
            </w:tcMar>
            <w:vAlign w:val="center"/>
          </w:tcPr>
          <w:p w14:paraId="42A407AD">
            <w:pPr>
              <w:spacing w:line="320" w:lineRule="exact"/>
              <w:jc w:val="center"/>
              <w:rPr>
                <w:rFonts w:hint="default" w:eastAsia="仿宋_GB2312"/>
                <w:sz w:val="28"/>
                <w:szCs w:val="28"/>
              </w:rPr>
            </w:pPr>
            <w:r>
              <w:rPr>
                <w:rFonts w:eastAsia="仿宋_GB2312"/>
                <w:sz w:val="28"/>
                <w:szCs w:val="28"/>
              </w:rPr>
              <w:t>——</w:t>
            </w:r>
          </w:p>
        </w:tc>
      </w:tr>
      <w:tr w14:paraId="3F08B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26" w:hRule="atLeast"/>
          <w:jc w:val="center"/>
        </w:trPr>
        <w:tc>
          <w:tcPr>
            <w:tcW w:w="329" w:type="dxa"/>
            <w:shd w:val="clear" w:color="auto" w:fill="FFFFFF"/>
            <w:tcMar>
              <w:top w:w="13" w:type="dxa"/>
              <w:left w:w="13" w:type="dxa"/>
              <w:bottom w:w="0" w:type="dxa"/>
              <w:right w:w="13" w:type="dxa"/>
            </w:tcMar>
            <w:vAlign w:val="center"/>
          </w:tcPr>
          <w:p w14:paraId="218A1E31">
            <w:pPr>
              <w:spacing w:line="320" w:lineRule="exact"/>
              <w:jc w:val="center"/>
              <w:rPr>
                <w:rFonts w:hint="default" w:eastAsia="仿宋_GB2312"/>
                <w:sz w:val="28"/>
                <w:szCs w:val="28"/>
              </w:rPr>
            </w:pPr>
            <w:r>
              <w:rPr>
                <w:rFonts w:eastAsia="仿宋_GB2312"/>
                <w:sz w:val="28"/>
                <w:szCs w:val="28"/>
              </w:rPr>
              <w:t>4</w:t>
            </w:r>
          </w:p>
        </w:tc>
        <w:tc>
          <w:tcPr>
            <w:tcW w:w="928" w:type="dxa"/>
            <w:shd w:val="clear" w:color="auto" w:fill="FFFFFF"/>
            <w:tcMar>
              <w:top w:w="13" w:type="dxa"/>
              <w:left w:w="13" w:type="dxa"/>
              <w:bottom w:w="0" w:type="dxa"/>
              <w:right w:w="13" w:type="dxa"/>
            </w:tcMar>
            <w:vAlign w:val="center"/>
          </w:tcPr>
          <w:p w14:paraId="3498C494">
            <w:pPr>
              <w:spacing w:line="320" w:lineRule="exact"/>
              <w:rPr>
                <w:rFonts w:hint="default" w:eastAsia="仿宋_GB2312"/>
                <w:sz w:val="28"/>
                <w:szCs w:val="28"/>
              </w:rPr>
            </w:pPr>
            <w:r>
              <w:rPr>
                <w:rFonts w:eastAsia="仿宋_GB2312"/>
                <w:sz w:val="28"/>
                <w:szCs w:val="28"/>
              </w:rPr>
              <w:t>运营车辆万车死亡率</w:t>
            </w:r>
          </w:p>
        </w:tc>
        <w:tc>
          <w:tcPr>
            <w:tcW w:w="735" w:type="dxa"/>
            <w:shd w:val="clear" w:color="auto" w:fill="FFFFFF"/>
            <w:vAlign w:val="center"/>
          </w:tcPr>
          <w:p w14:paraId="6E302706">
            <w:pPr>
              <w:spacing w:line="320" w:lineRule="exact"/>
              <w:jc w:val="center"/>
              <w:rPr>
                <w:rFonts w:hint="default" w:eastAsia="仿宋_GB2312"/>
                <w:sz w:val="28"/>
                <w:szCs w:val="28"/>
              </w:rPr>
            </w:pPr>
            <w:r>
              <w:rPr>
                <w:rFonts w:eastAsia="仿宋_GB2312"/>
                <w:sz w:val="28"/>
                <w:szCs w:val="28"/>
              </w:rPr>
              <w:t>0.0005</w:t>
            </w:r>
          </w:p>
        </w:tc>
        <w:tc>
          <w:tcPr>
            <w:tcW w:w="700" w:type="dxa"/>
            <w:shd w:val="clear" w:color="auto" w:fill="FFFFFF"/>
            <w:vAlign w:val="center"/>
          </w:tcPr>
          <w:p w14:paraId="1C4FD52F">
            <w:pPr>
              <w:spacing w:line="320" w:lineRule="exact"/>
              <w:jc w:val="center"/>
              <w:rPr>
                <w:rFonts w:hint="default" w:eastAsia="仿宋_GB2312"/>
                <w:sz w:val="28"/>
                <w:szCs w:val="28"/>
              </w:rPr>
            </w:pPr>
            <w:r>
              <w:rPr>
                <w:rFonts w:eastAsia="仿宋_GB2312"/>
                <w:sz w:val="28"/>
                <w:szCs w:val="28"/>
              </w:rPr>
              <w:t>0.00045</w:t>
            </w:r>
          </w:p>
        </w:tc>
        <w:tc>
          <w:tcPr>
            <w:tcW w:w="830" w:type="dxa"/>
            <w:shd w:val="clear" w:color="auto" w:fill="FFFFFF"/>
            <w:tcMar>
              <w:top w:w="13" w:type="dxa"/>
              <w:left w:w="13" w:type="dxa"/>
              <w:bottom w:w="0" w:type="dxa"/>
              <w:right w:w="13" w:type="dxa"/>
            </w:tcMar>
            <w:vAlign w:val="center"/>
          </w:tcPr>
          <w:p w14:paraId="1B469205">
            <w:pPr>
              <w:spacing w:line="320" w:lineRule="exact"/>
              <w:jc w:val="center"/>
              <w:rPr>
                <w:rFonts w:hint="default" w:eastAsia="仿宋_GB2312"/>
                <w:sz w:val="28"/>
                <w:szCs w:val="28"/>
              </w:rPr>
            </w:pPr>
            <w:r>
              <w:rPr>
                <w:rFonts w:eastAsia="仿宋_GB2312"/>
                <w:sz w:val="28"/>
                <w:szCs w:val="28"/>
              </w:rPr>
              <w:t>下降10%</w:t>
            </w:r>
          </w:p>
        </w:tc>
        <w:tc>
          <w:tcPr>
            <w:tcW w:w="790" w:type="dxa"/>
            <w:shd w:val="clear" w:color="auto" w:fill="FFFFFF"/>
            <w:tcMar>
              <w:top w:w="13" w:type="dxa"/>
              <w:left w:w="13" w:type="dxa"/>
              <w:bottom w:w="0" w:type="dxa"/>
              <w:right w:w="13" w:type="dxa"/>
            </w:tcMar>
            <w:vAlign w:val="center"/>
          </w:tcPr>
          <w:p w14:paraId="271EFE62">
            <w:pPr>
              <w:spacing w:line="320" w:lineRule="exact"/>
              <w:jc w:val="center"/>
              <w:rPr>
                <w:rFonts w:hint="default" w:eastAsia="仿宋_GB2312"/>
                <w:sz w:val="28"/>
                <w:szCs w:val="28"/>
              </w:rPr>
            </w:pPr>
            <w:r>
              <w:rPr>
                <w:rFonts w:eastAsia="仿宋_GB2312"/>
                <w:sz w:val="28"/>
                <w:szCs w:val="28"/>
              </w:rPr>
              <w:t>下降10%</w:t>
            </w:r>
          </w:p>
        </w:tc>
        <w:tc>
          <w:tcPr>
            <w:tcW w:w="870" w:type="dxa"/>
            <w:shd w:val="clear" w:color="auto" w:fill="FFFFFF"/>
            <w:tcMar>
              <w:top w:w="13" w:type="dxa"/>
              <w:left w:w="13" w:type="dxa"/>
              <w:bottom w:w="0" w:type="dxa"/>
              <w:right w:w="13" w:type="dxa"/>
            </w:tcMar>
            <w:vAlign w:val="center"/>
          </w:tcPr>
          <w:p w14:paraId="02F99591">
            <w:pPr>
              <w:spacing w:line="320" w:lineRule="exact"/>
              <w:jc w:val="center"/>
              <w:rPr>
                <w:rFonts w:hint="default" w:eastAsia="仿宋_GB2312"/>
                <w:sz w:val="28"/>
                <w:szCs w:val="28"/>
              </w:rPr>
            </w:pPr>
            <w:r>
              <w:rPr>
                <w:rFonts w:eastAsia="仿宋_GB2312"/>
                <w:sz w:val="28"/>
                <w:szCs w:val="28"/>
              </w:rPr>
              <w:t>下降10%</w:t>
            </w:r>
          </w:p>
        </w:tc>
        <w:tc>
          <w:tcPr>
            <w:tcW w:w="741" w:type="dxa"/>
            <w:shd w:val="clear" w:color="auto" w:fill="FFFFFF"/>
            <w:vAlign w:val="center"/>
          </w:tcPr>
          <w:p w14:paraId="4E70738A">
            <w:pPr>
              <w:spacing w:line="320" w:lineRule="exact"/>
              <w:jc w:val="center"/>
              <w:rPr>
                <w:rFonts w:hint="default" w:eastAsia="仿宋_GB2312"/>
                <w:sz w:val="28"/>
                <w:szCs w:val="28"/>
              </w:rPr>
            </w:pPr>
            <w:r>
              <w:rPr>
                <w:rFonts w:eastAsia="仿宋_GB2312"/>
                <w:sz w:val="28"/>
                <w:szCs w:val="28"/>
              </w:rPr>
              <w:t>下降10%</w:t>
            </w:r>
          </w:p>
        </w:tc>
        <w:tc>
          <w:tcPr>
            <w:tcW w:w="767" w:type="dxa"/>
            <w:shd w:val="clear" w:color="auto" w:fill="FFFFFF"/>
            <w:vAlign w:val="center"/>
          </w:tcPr>
          <w:p w14:paraId="2636428E">
            <w:pPr>
              <w:snapToGrid w:val="0"/>
              <w:jc w:val="center"/>
              <w:rPr>
                <w:rFonts w:hint="default" w:eastAsia="仿宋_GB2312"/>
                <w:sz w:val="28"/>
                <w:szCs w:val="28"/>
              </w:rPr>
            </w:pPr>
            <w:r>
              <w:rPr>
                <w:rFonts w:eastAsia="仿宋_GB2312"/>
                <w:sz w:val="28"/>
                <w:szCs w:val="28"/>
              </w:rPr>
              <w:t>约束性</w:t>
            </w:r>
          </w:p>
        </w:tc>
        <w:tc>
          <w:tcPr>
            <w:tcW w:w="1646" w:type="dxa"/>
            <w:shd w:val="clear" w:color="auto" w:fill="FFFFFF"/>
            <w:tcMar>
              <w:top w:w="13" w:type="dxa"/>
              <w:left w:w="13" w:type="dxa"/>
              <w:bottom w:w="0" w:type="dxa"/>
              <w:right w:w="13" w:type="dxa"/>
            </w:tcMar>
            <w:vAlign w:val="center"/>
          </w:tcPr>
          <w:p w14:paraId="2018FA8C">
            <w:pPr>
              <w:spacing w:line="320" w:lineRule="exact"/>
              <w:jc w:val="both"/>
              <w:rPr>
                <w:rFonts w:hint="default" w:eastAsia="仿宋_GB2312"/>
                <w:sz w:val="28"/>
                <w:szCs w:val="28"/>
              </w:rPr>
            </w:pPr>
            <w:r>
              <w:rPr>
                <w:rFonts w:eastAsia="仿宋_GB2312"/>
                <w:sz w:val="28"/>
                <w:szCs w:val="28"/>
              </w:rPr>
              <w:t>2025年目标绝对值=2020年基数值*（1-10%）=0.0005*90%=0.00045</w:t>
            </w:r>
          </w:p>
        </w:tc>
      </w:tr>
      <w:tr w14:paraId="0C089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61" w:hRule="atLeast"/>
          <w:jc w:val="center"/>
        </w:trPr>
        <w:tc>
          <w:tcPr>
            <w:tcW w:w="329" w:type="dxa"/>
            <w:shd w:val="clear" w:color="auto" w:fill="FFFFFF"/>
            <w:tcMar>
              <w:top w:w="13" w:type="dxa"/>
              <w:left w:w="13" w:type="dxa"/>
              <w:bottom w:w="0" w:type="dxa"/>
              <w:right w:w="13" w:type="dxa"/>
            </w:tcMar>
            <w:vAlign w:val="center"/>
          </w:tcPr>
          <w:p w14:paraId="4DA4A4D0">
            <w:pPr>
              <w:spacing w:line="320" w:lineRule="exact"/>
              <w:jc w:val="center"/>
              <w:rPr>
                <w:rFonts w:hint="default" w:eastAsia="仿宋_GB2312"/>
                <w:sz w:val="28"/>
                <w:szCs w:val="28"/>
              </w:rPr>
            </w:pPr>
            <w:r>
              <w:rPr>
                <w:rFonts w:eastAsia="仿宋_GB2312"/>
                <w:sz w:val="28"/>
                <w:szCs w:val="28"/>
              </w:rPr>
              <w:t>5</w:t>
            </w:r>
          </w:p>
        </w:tc>
        <w:tc>
          <w:tcPr>
            <w:tcW w:w="928" w:type="dxa"/>
            <w:shd w:val="clear" w:color="auto" w:fill="FFFFFF"/>
            <w:tcMar>
              <w:top w:w="13" w:type="dxa"/>
              <w:left w:w="13" w:type="dxa"/>
              <w:bottom w:w="0" w:type="dxa"/>
              <w:right w:w="13" w:type="dxa"/>
            </w:tcMar>
            <w:vAlign w:val="center"/>
          </w:tcPr>
          <w:p w14:paraId="7609DD40">
            <w:pPr>
              <w:spacing w:line="320" w:lineRule="exact"/>
              <w:rPr>
                <w:rFonts w:hint="default" w:eastAsia="仿宋_GB2312"/>
                <w:sz w:val="28"/>
                <w:szCs w:val="28"/>
              </w:rPr>
            </w:pPr>
            <w:r>
              <w:rPr>
                <w:rFonts w:eastAsia="仿宋_GB2312"/>
                <w:sz w:val="28"/>
                <w:szCs w:val="28"/>
              </w:rPr>
              <w:t>煤矿百万吨死亡率</w:t>
            </w:r>
          </w:p>
        </w:tc>
        <w:tc>
          <w:tcPr>
            <w:tcW w:w="735" w:type="dxa"/>
            <w:shd w:val="clear" w:color="auto" w:fill="FFFFFF"/>
            <w:vAlign w:val="center"/>
          </w:tcPr>
          <w:p w14:paraId="303E2746">
            <w:pPr>
              <w:spacing w:line="320" w:lineRule="exact"/>
              <w:jc w:val="center"/>
              <w:rPr>
                <w:rFonts w:hint="default" w:eastAsia="仿宋_GB2312"/>
                <w:sz w:val="28"/>
                <w:szCs w:val="28"/>
              </w:rPr>
            </w:pPr>
            <w:r>
              <w:rPr>
                <w:rFonts w:eastAsia="仿宋_GB2312"/>
                <w:sz w:val="28"/>
                <w:szCs w:val="28"/>
              </w:rPr>
              <w:t>0.0002</w:t>
            </w:r>
          </w:p>
        </w:tc>
        <w:tc>
          <w:tcPr>
            <w:tcW w:w="700" w:type="dxa"/>
            <w:shd w:val="clear" w:color="auto" w:fill="FFFFFF"/>
            <w:vAlign w:val="center"/>
          </w:tcPr>
          <w:p w14:paraId="310750F0">
            <w:pPr>
              <w:spacing w:line="320" w:lineRule="exact"/>
              <w:jc w:val="center"/>
              <w:rPr>
                <w:rFonts w:hint="default" w:eastAsia="仿宋_GB2312"/>
                <w:sz w:val="28"/>
                <w:szCs w:val="28"/>
              </w:rPr>
            </w:pPr>
            <w:r>
              <w:rPr>
                <w:rFonts w:eastAsia="仿宋_GB2312"/>
                <w:sz w:val="28"/>
                <w:szCs w:val="28"/>
              </w:rPr>
              <w:t>0.00018</w:t>
            </w:r>
          </w:p>
        </w:tc>
        <w:tc>
          <w:tcPr>
            <w:tcW w:w="830" w:type="dxa"/>
            <w:shd w:val="clear" w:color="auto" w:fill="FFFFFF"/>
            <w:tcMar>
              <w:top w:w="13" w:type="dxa"/>
              <w:left w:w="13" w:type="dxa"/>
              <w:bottom w:w="0" w:type="dxa"/>
              <w:right w:w="13" w:type="dxa"/>
            </w:tcMar>
            <w:vAlign w:val="center"/>
          </w:tcPr>
          <w:p w14:paraId="4CDFAAE4">
            <w:pPr>
              <w:spacing w:line="320" w:lineRule="exact"/>
              <w:jc w:val="center"/>
              <w:rPr>
                <w:rFonts w:hint="default" w:eastAsia="仿宋_GB2312"/>
                <w:sz w:val="28"/>
                <w:szCs w:val="28"/>
              </w:rPr>
            </w:pPr>
            <w:r>
              <w:rPr>
                <w:rFonts w:eastAsia="仿宋_GB2312"/>
                <w:sz w:val="28"/>
                <w:szCs w:val="28"/>
              </w:rPr>
              <w:t>控制在0.01以下</w:t>
            </w:r>
          </w:p>
        </w:tc>
        <w:tc>
          <w:tcPr>
            <w:tcW w:w="790" w:type="dxa"/>
            <w:shd w:val="clear" w:color="auto" w:fill="FFFFFF"/>
            <w:tcMar>
              <w:top w:w="13" w:type="dxa"/>
              <w:left w:w="13" w:type="dxa"/>
              <w:bottom w:w="0" w:type="dxa"/>
              <w:right w:w="13" w:type="dxa"/>
            </w:tcMar>
            <w:vAlign w:val="center"/>
          </w:tcPr>
          <w:p w14:paraId="73F7EA8E">
            <w:pPr>
              <w:spacing w:line="320" w:lineRule="exact"/>
              <w:jc w:val="center"/>
              <w:rPr>
                <w:rFonts w:hint="default" w:eastAsia="仿宋_GB2312"/>
                <w:sz w:val="28"/>
                <w:szCs w:val="28"/>
              </w:rPr>
            </w:pPr>
            <w:r>
              <w:rPr>
                <w:rFonts w:eastAsia="仿宋_GB2312"/>
                <w:sz w:val="28"/>
                <w:szCs w:val="28"/>
              </w:rPr>
              <w:t>下降10%</w:t>
            </w:r>
          </w:p>
        </w:tc>
        <w:tc>
          <w:tcPr>
            <w:tcW w:w="870" w:type="dxa"/>
            <w:shd w:val="clear" w:color="auto" w:fill="FFFFFF"/>
            <w:tcMar>
              <w:top w:w="13" w:type="dxa"/>
              <w:left w:w="13" w:type="dxa"/>
              <w:bottom w:w="0" w:type="dxa"/>
              <w:right w:w="13" w:type="dxa"/>
            </w:tcMar>
            <w:vAlign w:val="center"/>
          </w:tcPr>
          <w:p w14:paraId="147F1FE5">
            <w:pPr>
              <w:spacing w:line="320" w:lineRule="exact"/>
              <w:jc w:val="center"/>
              <w:rPr>
                <w:rFonts w:hint="default" w:eastAsia="仿宋_GB2312"/>
                <w:sz w:val="28"/>
                <w:szCs w:val="28"/>
              </w:rPr>
            </w:pPr>
            <w:r>
              <w:rPr>
                <w:rFonts w:eastAsia="仿宋_GB2312"/>
                <w:sz w:val="28"/>
                <w:szCs w:val="28"/>
              </w:rPr>
              <w:t>下降10%</w:t>
            </w:r>
          </w:p>
        </w:tc>
        <w:tc>
          <w:tcPr>
            <w:tcW w:w="741" w:type="dxa"/>
            <w:shd w:val="clear" w:color="auto" w:fill="FFFFFF"/>
            <w:vAlign w:val="center"/>
          </w:tcPr>
          <w:p w14:paraId="4077E13B">
            <w:pPr>
              <w:spacing w:line="320" w:lineRule="exact"/>
              <w:jc w:val="center"/>
              <w:rPr>
                <w:rFonts w:hint="default" w:eastAsia="仿宋_GB2312"/>
                <w:sz w:val="28"/>
                <w:szCs w:val="28"/>
              </w:rPr>
            </w:pPr>
            <w:r>
              <w:rPr>
                <w:rFonts w:eastAsia="仿宋_GB2312"/>
                <w:sz w:val="28"/>
                <w:szCs w:val="28"/>
              </w:rPr>
              <w:t>控制在0.01以下</w:t>
            </w:r>
          </w:p>
        </w:tc>
        <w:tc>
          <w:tcPr>
            <w:tcW w:w="767" w:type="dxa"/>
            <w:shd w:val="clear" w:color="auto" w:fill="FFFFFF"/>
            <w:vAlign w:val="center"/>
          </w:tcPr>
          <w:p w14:paraId="1B8F5415">
            <w:pPr>
              <w:snapToGrid w:val="0"/>
              <w:jc w:val="center"/>
              <w:rPr>
                <w:rFonts w:hint="default" w:eastAsia="仿宋_GB2312"/>
                <w:sz w:val="28"/>
                <w:szCs w:val="28"/>
              </w:rPr>
            </w:pPr>
            <w:r>
              <w:rPr>
                <w:rFonts w:eastAsia="仿宋_GB2312"/>
                <w:sz w:val="28"/>
                <w:szCs w:val="28"/>
              </w:rPr>
              <w:t>约束性</w:t>
            </w:r>
          </w:p>
        </w:tc>
        <w:tc>
          <w:tcPr>
            <w:tcW w:w="1646" w:type="dxa"/>
            <w:shd w:val="clear" w:color="auto" w:fill="FFFFFF"/>
            <w:tcMar>
              <w:top w:w="13" w:type="dxa"/>
              <w:left w:w="13" w:type="dxa"/>
              <w:bottom w:w="0" w:type="dxa"/>
              <w:right w:w="13" w:type="dxa"/>
            </w:tcMar>
            <w:vAlign w:val="center"/>
          </w:tcPr>
          <w:p w14:paraId="2209A6BA">
            <w:pPr>
              <w:spacing w:line="320" w:lineRule="exact"/>
              <w:jc w:val="both"/>
              <w:rPr>
                <w:rFonts w:hint="default" w:eastAsia="仿宋_GB2312"/>
                <w:sz w:val="28"/>
                <w:szCs w:val="28"/>
              </w:rPr>
            </w:pPr>
            <w:r>
              <w:rPr>
                <w:rFonts w:eastAsia="仿宋_GB2312"/>
                <w:sz w:val="28"/>
                <w:szCs w:val="28"/>
              </w:rPr>
              <w:t>2025年目标绝对值=2020年基数值*（1-10%）=0.0002*90%=0.00018</w:t>
            </w:r>
          </w:p>
        </w:tc>
      </w:tr>
      <w:tr w14:paraId="6F250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45" w:hRule="atLeast"/>
          <w:jc w:val="center"/>
        </w:trPr>
        <w:tc>
          <w:tcPr>
            <w:tcW w:w="329" w:type="dxa"/>
            <w:shd w:val="clear" w:color="auto" w:fill="FFFFFF"/>
            <w:tcMar>
              <w:top w:w="13" w:type="dxa"/>
              <w:left w:w="13" w:type="dxa"/>
              <w:bottom w:w="0" w:type="dxa"/>
              <w:right w:w="13" w:type="dxa"/>
            </w:tcMar>
            <w:vAlign w:val="center"/>
          </w:tcPr>
          <w:p w14:paraId="2A5A8651">
            <w:pPr>
              <w:spacing w:line="320" w:lineRule="exact"/>
              <w:jc w:val="center"/>
              <w:rPr>
                <w:rFonts w:hint="default" w:eastAsia="仿宋_GB2312"/>
                <w:sz w:val="28"/>
                <w:szCs w:val="28"/>
              </w:rPr>
            </w:pPr>
            <w:r>
              <w:rPr>
                <w:rFonts w:eastAsia="仿宋_GB2312"/>
                <w:sz w:val="28"/>
                <w:szCs w:val="28"/>
              </w:rPr>
              <w:t>6</w:t>
            </w:r>
          </w:p>
        </w:tc>
        <w:tc>
          <w:tcPr>
            <w:tcW w:w="928" w:type="dxa"/>
            <w:shd w:val="clear" w:color="auto" w:fill="FFFFFF"/>
            <w:tcMar>
              <w:top w:w="13" w:type="dxa"/>
              <w:left w:w="13" w:type="dxa"/>
              <w:bottom w:w="0" w:type="dxa"/>
              <w:right w:w="13" w:type="dxa"/>
            </w:tcMar>
            <w:vAlign w:val="center"/>
          </w:tcPr>
          <w:p w14:paraId="3FAF5FFC">
            <w:pPr>
              <w:spacing w:line="320" w:lineRule="exact"/>
              <w:rPr>
                <w:rFonts w:hint="default" w:eastAsia="仿宋_GB2312"/>
                <w:sz w:val="28"/>
                <w:szCs w:val="28"/>
              </w:rPr>
            </w:pPr>
            <w:r>
              <w:rPr>
                <w:rFonts w:eastAsia="仿宋_GB2312"/>
                <w:sz w:val="28"/>
                <w:szCs w:val="28"/>
              </w:rPr>
              <w:t>年均因自然灾害直接经济损失占区域生产总值比例</w:t>
            </w:r>
          </w:p>
        </w:tc>
        <w:tc>
          <w:tcPr>
            <w:tcW w:w="735" w:type="dxa"/>
            <w:shd w:val="clear" w:color="auto" w:fill="FFFFFF"/>
            <w:vAlign w:val="center"/>
          </w:tcPr>
          <w:p w14:paraId="5F07EFB0">
            <w:pPr>
              <w:spacing w:line="320" w:lineRule="exact"/>
              <w:jc w:val="center"/>
              <w:rPr>
                <w:rFonts w:hint="default" w:eastAsia="仿宋_GB2312"/>
                <w:sz w:val="28"/>
                <w:szCs w:val="28"/>
              </w:rPr>
            </w:pPr>
            <w:r>
              <w:rPr>
                <w:rFonts w:eastAsia="仿宋_GB2312"/>
                <w:sz w:val="28"/>
                <w:szCs w:val="28"/>
              </w:rPr>
              <w:t>0.08%</w:t>
            </w:r>
            <w:r>
              <w:rPr>
                <w:rFonts w:eastAsia="仿宋_GB2312"/>
                <w:sz w:val="28"/>
                <w:szCs w:val="28"/>
                <w:vertAlign w:val="superscript"/>
              </w:rPr>
              <w:t>※</w:t>
            </w:r>
          </w:p>
        </w:tc>
        <w:tc>
          <w:tcPr>
            <w:tcW w:w="700" w:type="dxa"/>
            <w:shd w:val="clear" w:color="auto" w:fill="FFFFFF"/>
            <w:vAlign w:val="center"/>
          </w:tcPr>
          <w:p w14:paraId="29414EA9">
            <w:pPr>
              <w:spacing w:line="320" w:lineRule="exact"/>
              <w:jc w:val="center"/>
              <w:rPr>
                <w:rFonts w:hint="default" w:eastAsia="仿宋_GB2312"/>
                <w:sz w:val="28"/>
                <w:szCs w:val="28"/>
              </w:rPr>
            </w:pPr>
            <w:r>
              <w:rPr>
                <w:rFonts w:eastAsia="仿宋_GB2312"/>
                <w:sz w:val="28"/>
                <w:szCs w:val="28"/>
              </w:rPr>
              <w:t>——</w:t>
            </w:r>
          </w:p>
        </w:tc>
        <w:tc>
          <w:tcPr>
            <w:tcW w:w="830" w:type="dxa"/>
            <w:shd w:val="clear" w:color="auto" w:fill="FFFFFF"/>
            <w:tcMar>
              <w:top w:w="13" w:type="dxa"/>
              <w:left w:w="13" w:type="dxa"/>
              <w:bottom w:w="0" w:type="dxa"/>
              <w:right w:w="13" w:type="dxa"/>
            </w:tcMar>
            <w:vAlign w:val="center"/>
          </w:tcPr>
          <w:p w14:paraId="188F24AE">
            <w:pPr>
              <w:spacing w:line="320" w:lineRule="exact"/>
              <w:jc w:val="center"/>
              <w:rPr>
                <w:rFonts w:hint="default" w:eastAsia="仿宋_GB2312"/>
                <w:sz w:val="28"/>
                <w:szCs w:val="28"/>
              </w:rPr>
            </w:pPr>
            <w:r>
              <w:rPr>
                <w:rFonts w:eastAsia="仿宋_GB2312"/>
                <w:sz w:val="28"/>
                <w:szCs w:val="28"/>
              </w:rPr>
              <w:t>≤0.7%</w:t>
            </w:r>
            <w:r>
              <w:rPr>
                <w:rFonts w:eastAsia="仿宋_GB2312"/>
                <w:sz w:val="28"/>
                <w:szCs w:val="28"/>
                <w:vertAlign w:val="superscript"/>
              </w:rPr>
              <w:t>※</w:t>
            </w:r>
          </w:p>
        </w:tc>
        <w:tc>
          <w:tcPr>
            <w:tcW w:w="790" w:type="dxa"/>
            <w:shd w:val="clear" w:color="auto" w:fill="FFFFFF"/>
            <w:tcMar>
              <w:top w:w="13" w:type="dxa"/>
              <w:left w:w="13" w:type="dxa"/>
              <w:bottom w:w="0" w:type="dxa"/>
              <w:right w:w="13" w:type="dxa"/>
            </w:tcMar>
            <w:vAlign w:val="center"/>
          </w:tcPr>
          <w:p w14:paraId="09E8A588">
            <w:pPr>
              <w:spacing w:line="320" w:lineRule="exact"/>
              <w:jc w:val="center"/>
              <w:rPr>
                <w:rFonts w:hint="default" w:eastAsia="仿宋_GB2312"/>
                <w:sz w:val="28"/>
                <w:szCs w:val="28"/>
              </w:rPr>
            </w:pPr>
            <w:r>
              <w:rPr>
                <w:rFonts w:eastAsia="仿宋_GB2312"/>
                <w:sz w:val="28"/>
                <w:szCs w:val="28"/>
              </w:rPr>
              <w:t>＜1%</w:t>
            </w:r>
          </w:p>
        </w:tc>
        <w:tc>
          <w:tcPr>
            <w:tcW w:w="870" w:type="dxa"/>
            <w:shd w:val="clear" w:color="auto" w:fill="FFFFFF"/>
            <w:tcMar>
              <w:top w:w="13" w:type="dxa"/>
              <w:left w:w="13" w:type="dxa"/>
              <w:bottom w:w="0" w:type="dxa"/>
              <w:right w:w="13" w:type="dxa"/>
            </w:tcMar>
            <w:vAlign w:val="center"/>
          </w:tcPr>
          <w:p w14:paraId="4C2A75B9">
            <w:pPr>
              <w:spacing w:line="320" w:lineRule="exact"/>
              <w:jc w:val="center"/>
              <w:rPr>
                <w:rFonts w:hint="default" w:eastAsia="仿宋_GB2312"/>
                <w:sz w:val="28"/>
                <w:szCs w:val="28"/>
              </w:rPr>
            </w:pPr>
            <w:r>
              <w:rPr>
                <w:rFonts w:eastAsia="仿宋_GB2312"/>
                <w:sz w:val="28"/>
                <w:szCs w:val="28"/>
              </w:rPr>
              <w:t>≤0.7%</w:t>
            </w:r>
            <w:r>
              <w:rPr>
                <w:rFonts w:eastAsia="仿宋_GB2312"/>
                <w:sz w:val="28"/>
                <w:szCs w:val="28"/>
                <w:vertAlign w:val="superscript"/>
              </w:rPr>
              <w:t>※</w:t>
            </w:r>
          </w:p>
        </w:tc>
        <w:tc>
          <w:tcPr>
            <w:tcW w:w="741" w:type="dxa"/>
            <w:shd w:val="clear" w:color="auto" w:fill="FFFFFF"/>
            <w:vAlign w:val="center"/>
          </w:tcPr>
          <w:p w14:paraId="13EDA48A">
            <w:pPr>
              <w:spacing w:line="320" w:lineRule="exact"/>
              <w:jc w:val="center"/>
              <w:rPr>
                <w:rFonts w:hint="default" w:eastAsia="仿宋_GB2312"/>
                <w:sz w:val="28"/>
                <w:szCs w:val="28"/>
              </w:rPr>
            </w:pPr>
            <w:r>
              <w:rPr>
                <w:rFonts w:eastAsia="仿宋_GB2312"/>
                <w:sz w:val="28"/>
                <w:szCs w:val="28"/>
              </w:rPr>
              <w:t>≤0.7%</w:t>
            </w:r>
            <w:r>
              <w:rPr>
                <w:rFonts w:eastAsia="仿宋_GB2312"/>
                <w:sz w:val="28"/>
                <w:szCs w:val="28"/>
                <w:vertAlign w:val="superscript"/>
              </w:rPr>
              <w:t>※</w:t>
            </w:r>
          </w:p>
        </w:tc>
        <w:tc>
          <w:tcPr>
            <w:tcW w:w="767" w:type="dxa"/>
            <w:shd w:val="clear" w:color="auto" w:fill="FFFFFF"/>
            <w:vAlign w:val="center"/>
          </w:tcPr>
          <w:p w14:paraId="3039D25A">
            <w:pPr>
              <w:widowControl/>
              <w:autoSpaceDE/>
              <w:autoSpaceDN/>
              <w:spacing w:line="400" w:lineRule="exact"/>
              <w:jc w:val="center"/>
              <w:rPr>
                <w:rFonts w:hint="default" w:eastAsia="仿宋_GB2312"/>
                <w:sz w:val="28"/>
                <w:szCs w:val="28"/>
              </w:rPr>
            </w:pPr>
            <w:r>
              <w:rPr>
                <w:rFonts w:eastAsia="仿宋_GB2312"/>
                <w:sz w:val="28"/>
                <w:szCs w:val="28"/>
              </w:rPr>
              <w:t>预期性</w:t>
            </w:r>
          </w:p>
        </w:tc>
        <w:tc>
          <w:tcPr>
            <w:tcW w:w="1646" w:type="dxa"/>
            <w:shd w:val="clear" w:color="auto" w:fill="FFFFFF"/>
            <w:tcMar>
              <w:top w:w="13" w:type="dxa"/>
              <w:left w:w="13" w:type="dxa"/>
              <w:bottom w:w="0" w:type="dxa"/>
              <w:right w:w="13" w:type="dxa"/>
            </w:tcMar>
            <w:vAlign w:val="center"/>
          </w:tcPr>
          <w:p w14:paraId="10761C11">
            <w:pPr>
              <w:snapToGrid w:val="0"/>
              <w:jc w:val="both"/>
              <w:rPr>
                <w:rFonts w:hint="default" w:eastAsia="仿宋_GB2312"/>
                <w:sz w:val="28"/>
                <w:szCs w:val="28"/>
              </w:rPr>
            </w:pPr>
            <w:r>
              <w:rPr>
                <w:rFonts w:eastAsia="仿宋_GB2312"/>
                <w:sz w:val="28"/>
                <w:szCs w:val="28"/>
              </w:rPr>
              <w:t>国家指标为＜1%，自治区指标为≤0.7%※，市指标为≤0.7%※，考虑到自然灾害的不确定性和地域性，本项指标与市保持一致。</w:t>
            </w:r>
          </w:p>
        </w:tc>
      </w:tr>
      <w:tr w14:paraId="09F1DC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45" w:hRule="atLeast"/>
          <w:jc w:val="center"/>
        </w:trPr>
        <w:tc>
          <w:tcPr>
            <w:tcW w:w="329" w:type="dxa"/>
            <w:shd w:val="clear" w:color="auto" w:fill="FFFFFF"/>
            <w:tcMar>
              <w:top w:w="13" w:type="dxa"/>
              <w:left w:w="13" w:type="dxa"/>
              <w:bottom w:w="0" w:type="dxa"/>
              <w:right w:w="13" w:type="dxa"/>
            </w:tcMar>
            <w:vAlign w:val="center"/>
          </w:tcPr>
          <w:p w14:paraId="3168D3C7">
            <w:pPr>
              <w:spacing w:line="320" w:lineRule="exact"/>
              <w:jc w:val="center"/>
              <w:rPr>
                <w:rFonts w:hint="default" w:eastAsia="仿宋_GB2312"/>
                <w:sz w:val="28"/>
                <w:szCs w:val="28"/>
              </w:rPr>
            </w:pPr>
            <w:r>
              <w:rPr>
                <w:rFonts w:eastAsia="仿宋_GB2312"/>
                <w:sz w:val="28"/>
                <w:szCs w:val="28"/>
              </w:rPr>
              <w:t>7</w:t>
            </w:r>
          </w:p>
        </w:tc>
        <w:tc>
          <w:tcPr>
            <w:tcW w:w="928" w:type="dxa"/>
            <w:shd w:val="clear" w:color="auto" w:fill="FFFFFF"/>
            <w:tcMar>
              <w:top w:w="13" w:type="dxa"/>
              <w:left w:w="13" w:type="dxa"/>
              <w:bottom w:w="0" w:type="dxa"/>
              <w:right w:w="13" w:type="dxa"/>
            </w:tcMar>
            <w:vAlign w:val="center"/>
          </w:tcPr>
          <w:p w14:paraId="5E46947B">
            <w:pPr>
              <w:spacing w:line="320" w:lineRule="exact"/>
              <w:rPr>
                <w:rFonts w:hint="default" w:eastAsia="仿宋_GB2312"/>
                <w:sz w:val="28"/>
                <w:szCs w:val="28"/>
              </w:rPr>
            </w:pPr>
            <w:r>
              <w:rPr>
                <w:rFonts w:eastAsia="仿宋_GB2312"/>
                <w:sz w:val="28"/>
                <w:szCs w:val="28"/>
              </w:rPr>
              <w:t>年均每十万人受灾人次</w:t>
            </w:r>
          </w:p>
        </w:tc>
        <w:tc>
          <w:tcPr>
            <w:tcW w:w="735" w:type="dxa"/>
            <w:shd w:val="clear" w:color="auto" w:fill="FFFFFF"/>
            <w:vAlign w:val="center"/>
          </w:tcPr>
          <w:p w14:paraId="1BAF9ABB">
            <w:pPr>
              <w:spacing w:line="320" w:lineRule="exact"/>
              <w:jc w:val="center"/>
              <w:rPr>
                <w:rFonts w:hint="default" w:eastAsia="仿宋_GB2312"/>
                <w:sz w:val="28"/>
                <w:szCs w:val="28"/>
              </w:rPr>
            </w:pPr>
            <w:r>
              <w:rPr>
                <w:rFonts w:eastAsia="仿宋_GB2312"/>
                <w:sz w:val="28"/>
                <w:szCs w:val="28"/>
              </w:rPr>
              <w:t>9290</w:t>
            </w:r>
          </w:p>
        </w:tc>
        <w:tc>
          <w:tcPr>
            <w:tcW w:w="700" w:type="dxa"/>
            <w:shd w:val="clear" w:color="auto" w:fill="FFFFFF"/>
            <w:vAlign w:val="center"/>
          </w:tcPr>
          <w:p w14:paraId="0F410AC1">
            <w:pPr>
              <w:spacing w:line="320" w:lineRule="exact"/>
              <w:jc w:val="center"/>
              <w:rPr>
                <w:rFonts w:hint="default" w:eastAsia="仿宋_GB2312"/>
                <w:sz w:val="28"/>
                <w:szCs w:val="28"/>
              </w:rPr>
            </w:pPr>
            <w:r>
              <w:rPr>
                <w:rFonts w:eastAsia="仿宋_GB2312"/>
                <w:sz w:val="28"/>
                <w:szCs w:val="28"/>
              </w:rPr>
              <w:t>——</w:t>
            </w:r>
          </w:p>
        </w:tc>
        <w:tc>
          <w:tcPr>
            <w:tcW w:w="830" w:type="dxa"/>
            <w:shd w:val="clear" w:color="auto" w:fill="FFFFFF"/>
            <w:tcMar>
              <w:top w:w="13" w:type="dxa"/>
              <w:left w:w="13" w:type="dxa"/>
              <w:bottom w:w="0" w:type="dxa"/>
              <w:right w:w="13" w:type="dxa"/>
            </w:tcMar>
            <w:vAlign w:val="center"/>
          </w:tcPr>
          <w:p w14:paraId="70BEE752">
            <w:pPr>
              <w:spacing w:line="320" w:lineRule="exact"/>
              <w:jc w:val="center"/>
              <w:rPr>
                <w:rFonts w:hint="default" w:eastAsia="仿宋_GB2312"/>
                <w:sz w:val="28"/>
                <w:szCs w:val="28"/>
              </w:rPr>
            </w:pPr>
            <w:r>
              <w:rPr>
                <w:rFonts w:eastAsia="仿宋_GB2312"/>
                <w:sz w:val="28"/>
                <w:szCs w:val="28"/>
              </w:rPr>
              <w:t>≤19000</w:t>
            </w:r>
            <w:r>
              <w:rPr>
                <w:rFonts w:eastAsia="仿宋_GB2312"/>
                <w:sz w:val="28"/>
                <w:szCs w:val="28"/>
                <w:vertAlign w:val="superscript"/>
              </w:rPr>
              <w:t>※</w:t>
            </w:r>
          </w:p>
        </w:tc>
        <w:tc>
          <w:tcPr>
            <w:tcW w:w="790" w:type="dxa"/>
            <w:shd w:val="clear" w:color="auto" w:fill="FFFFFF"/>
            <w:tcMar>
              <w:top w:w="13" w:type="dxa"/>
              <w:left w:w="13" w:type="dxa"/>
              <w:bottom w:w="0" w:type="dxa"/>
              <w:right w:w="13" w:type="dxa"/>
            </w:tcMar>
            <w:vAlign w:val="center"/>
          </w:tcPr>
          <w:p w14:paraId="5F62628F">
            <w:pPr>
              <w:spacing w:line="320" w:lineRule="exact"/>
              <w:jc w:val="center"/>
              <w:rPr>
                <w:rFonts w:hint="default" w:eastAsia="仿宋_GB2312"/>
                <w:sz w:val="28"/>
                <w:szCs w:val="28"/>
              </w:rPr>
            </w:pPr>
            <w:r>
              <w:rPr>
                <w:rFonts w:eastAsia="仿宋_GB2312"/>
                <w:sz w:val="28"/>
                <w:szCs w:val="28"/>
              </w:rPr>
              <w:t>＜15000</w:t>
            </w:r>
          </w:p>
        </w:tc>
        <w:tc>
          <w:tcPr>
            <w:tcW w:w="870" w:type="dxa"/>
            <w:shd w:val="clear" w:color="auto" w:fill="FFFFFF"/>
            <w:tcMar>
              <w:top w:w="13" w:type="dxa"/>
              <w:left w:w="13" w:type="dxa"/>
              <w:bottom w:w="0" w:type="dxa"/>
              <w:right w:w="13" w:type="dxa"/>
            </w:tcMar>
            <w:vAlign w:val="center"/>
          </w:tcPr>
          <w:p w14:paraId="621691D3">
            <w:pPr>
              <w:spacing w:line="320" w:lineRule="exact"/>
              <w:jc w:val="center"/>
              <w:rPr>
                <w:rFonts w:hint="default" w:eastAsia="仿宋_GB2312"/>
                <w:sz w:val="28"/>
                <w:szCs w:val="28"/>
              </w:rPr>
            </w:pPr>
            <w:r>
              <w:rPr>
                <w:rFonts w:eastAsia="仿宋_GB2312"/>
                <w:sz w:val="28"/>
                <w:szCs w:val="28"/>
              </w:rPr>
              <w:t>≤19000</w:t>
            </w:r>
            <w:r>
              <w:rPr>
                <w:rFonts w:eastAsia="仿宋_GB2312"/>
                <w:sz w:val="28"/>
                <w:szCs w:val="28"/>
                <w:vertAlign w:val="superscript"/>
              </w:rPr>
              <w:t>※</w:t>
            </w:r>
          </w:p>
        </w:tc>
        <w:tc>
          <w:tcPr>
            <w:tcW w:w="741" w:type="dxa"/>
            <w:shd w:val="clear" w:color="auto" w:fill="FFFFFF"/>
            <w:vAlign w:val="center"/>
          </w:tcPr>
          <w:p w14:paraId="1479A7D0">
            <w:pPr>
              <w:spacing w:line="320" w:lineRule="exact"/>
              <w:jc w:val="center"/>
              <w:rPr>
                <w:rFonts w:hint="default" w:eastAsia="仿宋_GB2312"/>
                <w:sz w:val="28"/>
                <w:szCs w:val="28"/>
              </w:rPr>
            </w:pPr>
            <w:r>
              <w:rPr>
                <w:rFonts w:eastAsia="仿宋_GB2312"/>
                <w:sz w:val="28"/>
                <w:szCs w:val="28"/>
              </w:rPr>
              <w:t>≤19000</w:t>
            </w:r>
            <w:r>
              <w:rPr>
                <w:rFonts w:eastAsia="仿宋_GB2312"/>
                <w:sz w:val="28"/>
                <w:szCs w:val="28"/>
                <w:vertAlign w:val="superscript"/>
              </w:rPr>
              <w:t>※</w:t>
            </w:r>
          </w:p>
        </w:tc>
        <w:tc>
          <w:tcPr>
            <w:tcW w:w="767" w:type="dxa"/>
            <w:shd w:val="clear" w:color="auto" w:fill="FFFFFF"/>
            <w:vAlign w:val="center"/>
          </w:tcPr>
          <w:p w14:paraId="1D168C3D">
            <w:pPr>
              <w:widowControl/>
              <w:autoSpaceDE/>
              <w:autoSpaceDN/>
              <w:spacing w:line="400" w:lineRule="exact"/>
              <w:jc w:val="center"/>
              <w:rPr>
                <w:rFonts w:hint="default" w:eastAsia="仿宋_GB2312"/>
                <w:sz w:val="28"/>
                <w:szCs w:val="28"/>
              </w:rPr>
            </w:pPr>
            <w:r>
              <w:rPr>
                <w:rFonts w:eastAsia="仿宋_GB2312"/>
                <w:sz w:val="28"/>
                <w:szCs w:val="28"/>
              </w:rPr>
              <w:t>预期性</w:t>
            </w:r>
          </w:p>
        </w:tc>
        <w:tc>
          <w:tcPr>
            <w:tcW w:w="1646" w:type="dxa"/>
            <w:shd w:val="clear" w:color="auto" w:fill="FFFFFF"/>
            <w:tcMar>
              <w:top w:w="13" w:type="dxa"/>
              <w:left w:w="13" w:type="dxa"/>
              <w:bottom w:w="0" w:type="dxa"/>
              <w:right w:w="13" w:type="dxa"/>
            </w:tcMar>
          </w:tcPr>
          <w:p w14:paraId="0FD8C1C2">
            <w:pPr>
              <w:snapToGrid w:val="0"/>
              <w:jc w:val="both"/>
              <w:rPr>
                <w:rFonts w:hint="default" w:eastAsia="仿宋_GB2312"/>
                <w:sz w:val="28"/>
                <w:szCs w:val="28"/>
              </w:rPr>
            </w:pPr>
            <w:r>
              <w:rPr>
                <w:rFonts w:eastAsia="仿宋_GB2312"/>
                <w:sz w:val="28"/>
                <w:szCs w:val="28"/>
              </w:rPr>
              <w:t>国家指标为＜15000，自治区指标为≤19000※，市指标为≤19000※，考虑到自然灾害的不确定性和地域性，本项指标与市保持一致。</w:t>
            </w:r>
          </w:p>
        </w:tc>
      </w:tr>
      <w:tr w14:paraId="7B663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0" w:hRule="atLeast"/>
          <w:jc w:val="center"/>
        </w:trPr>
        <w:tc>
          <w:tcPr>
            <w:tcW w:w="329" w:type="dxa"/>
            <w:shd w:val="clear" w:color="auto" w:fill="FFFFFF"/>
            <w:tcMar>
              <w:top w:w="13" w:type="dxa"/>
              <w:left w:w="13" w:type="dxa"/>
              <w:bottom w:w="0" w:type="dxa"/>
              <w:right w:w="13" w:type="dxa"/>
            </w:tcMar>
            <w:vAlign w:val="center"/>
          </w:tcPr>
          <w:p w14:paraId="78D0006A">
            <w:pPr>
              <w:spacing w:line="320" w:lineRule="exact"/>
              <w:jc w:val="center"/>
              <w:rPr>
                <w:rFonts w:hint="default" w:eastAsia="仿宋_GB2312"/>
                <w:sz w:val="28"/>
                <w:szCs w:val="28"/>
              </w:rPr>
            </w:pPr>
            <w:r>
              <w:rPr>
                <w:rFonts w:eastAsia="仿宋_GB2312"/>
                <w:sz w:val="28"/>
                <w:szCs w:val="28"/>
              </w:rPr>
              <w:t>8</w:t>
            </w:r>
          </w:p>
        </w:tc>
        <w:tc>
          <w:tcPr>
            <w:tcW w:w="928" w:type="dxa"/>
            <w:shd w:val="clear" w:color="auto" w:fill="FFFFFF"/>
            <w:tcMar>
              <w:top w:w="13" w:type="dxa"/>
              <w:left w:w="13" w:type="dxa"/>
              <w:bottom w:w="0" w:type="dxa"/>
              <w:right w:w="13" w:type="dxa"/>
            </w:tcMar>
            <w:vAlign w:val="center"/>
          </w:tcPr>
          <w:p w14:paraId="7C2836F9">
            <w:pPr>
              <w:spacing w:line="320" w:lineRule="exact"/>
              <w:rPr>
                <w:rFonts w:hint="default" w:eastAsia="仿宋_GB2312"/>
                <w:sz w:val="28"/>
                <w:szCs w:val="28"/>
              </w:rPr>
            </w:pPr>
            <w:r>
              <w:rPr>
                <w:rFonts w:eastAsia="仿宋_GB2312"/>
                <w:sz w:val="28"/>
                <w:szCs w:val="28"/>
              </w:rPr>
              <w:t>旗区级以上应急管理部门专业人才占比</w:t>
            </w:r>
          </w:p>
        </w:tc>
        <w:tc>
          <w:tcPr>
            <w:tcW w:w="735" w:type="dxa"/>
            <w:shd w:val="clear" w:color="auto" w:fill="FFFFFF"/>
            <w:vAlign w:val="center"/>
          </w:tcPr>
          <w:p w14:paraId="1DAA5067">
            <w:pPr>
              <w:spacing w:line="320" w:lineRule="exact"/>
              <w:jc w:val="center"/>
              <w:rPr>
                <w:rFonts w:hint="default" w:eastAsia="仿宋_GB2312"/>
                <w:sz w:val="28"/>
                <w:szCs w:val="28"/>
              </w:rPr>
            </w:pPr>
            <w:r>
              <w:rPr>
                <w:rFonts w:eastAsia="仿宋_GB2312"/>
                <w:sz w:val="28"/>
                <w:szCs w:val="28"/>
              </w:rPr>
              <w:t>21%</w:t>
            </w:r>
          </w:p>
        </w:tc>
        <w:tc>
          <w:tcPr>
            <w:tcW w:w="700" w:type="dxa"/>
            <w:shd w:val="clear" w:color="auto" w:fill="FFFFFF"/>
            <w:vAlign w:val="center"/>
          </w:tcPr>
          <w:p w14:paraId="0D2400AC">
            <w:pPr>
              <w:spacing w:line="320" w:lineRule="exact"/>
              <w:jc w:val="center"/>
              <w:rPr>
                <w:rFonts w:hint="default" w:eastAsia="仿宋_GB2312"/>
                <w:sz w:val="28"/>
                <w:szCs w:val="28"/>
              </w:rPr>
            </w:pPr>
            <w:r>
              <w:rPr>
                <w:rFonts w:eastAsia="仿宋_GB2312"/>
                <w:sz w:val="28"/>
                <w:szCs w:val="28"/>
              </w:rPr>
              <w:t>——</w:t>
            </w:r>
          </w:p>
        </w:tc>
        <w:tc>
          <w:tcPr>
            <w:tcW w:w="830" w:type="dxa"/>
            <w:shd w:val="clear" w:color="auto" w:fill="FFFFFF"/>
            <w:tcMar>
              <w:top w:w="13" w:type="dxa"/>
              <w:left w:w="13" w:type="dxa"/>
              <w:bottom w:w="0" w:type="dxa"/>
              <w:right w:w="13" w:type="dxa"/>
            </w:tcMar>
            <w:vAlign w:val="center"/>
          </w:tcPr>
          <w:p w14:paraId="2A58204E">
            <w:pPr>
              <w:spacing w:line="320" w:lineRule="exact"/>
              <w:jc w:val="center"/>
              <w:rPr>
                <w:rFonts w:hint="default" w:eastAsia="仿宋_GB2312"/>
                <w:sz w:val="28"/>
                <w:szCs w:val="28"/>
              </w:rPr>
            </w:pPr>
            <w:r>
              <w:rPr>
                <w:rFonts w:eastAsia="仿宋_GB2312"/>
                <w:sz w:val="28"/>
                <w:szCs w:val="28"/>
              </w:rPr>
              <w:t>≥60%</w:t>
            </w:r>
          </w:p>
        </w:tc>
        <w:tc>
          <w:tcPr>
            <w:tcW w:w="790" w:type="dxa"/>
            <w:shd w:val="clear" w:color="auto" w:fill="FFFFFF"/>
            <w:tcMar>
              <w:top w:w="13" w:type="dxa"/>
              <w:left w:w="13" w:type="dxa"/>
              <w:bottom w:w="0" w:type="dxa"/>
              <w:right w:w="13" w:type="dxa"/>
            </w:tcMar>
            <w:vAlign w:val="center"/>
          </w:tcPr>
          <w:p w14:paraId="48765245">
            <w:pPr>
              <w:spacing w:line="320" w:lineRule="exact"/>
              <w:jc w:val="center"/>
              <w:rPr>
                <w:rFonts w:hint="default" w:eastAsia="仿宋_GB2312"/>
                <w:sz w:val="28"/>
                <w:szCs w:val="28"/>
              </w:rPr>
            </w:pPr>
            <w:r>
              <w:rPr>
                <w:rFonts w:eastAsia="仿宋_GB2312"/>
                <w:sz w:val="28"/>
                <w:szCs w:val="28"/>
              </w:rPr>
              <w:t>——</w:t>
            </w:r>
          </w:p>
        </w:tc>
        <w:tc>
          <w:tcPr>
            <w:tcW w:w="870" w:type="dxa"/>
            <w:shd w:val="clear" w:color="auto" w:fill="FFFFFF"/>
            <w:tcMar>
              <w:top w:w="13" w:type="dxa"/>
              <w:left w:w="13" w:type="dxa"/>
              <w:bottom w:w="0" w:type="dxa"/>
              <w:right w:w="13" w:type="dxa"/>
            </w:tcMar>
            <w:vAlign w:val="center"/>
          </w:tcPr>
          <w:p w14:paraId="5BF984EF">
            <w:pPr>
              <w:spacing w:line="320" w:lineRule="exact"/>
              <w:jc w:val="center"/>
              <w:rPr>
                <w:rFonts w:hint="default" w:eastAsia="仿宋_GB2312"/>
                <w:sz w:val="28"/>
                <w:szCs w:val="28"/>
              </w:rPr>
            </w:pPr>
            <w:r>
              <w:rPr>
                <w:rFonts w:eastAsia="仿宋_GB2312"/>
                <w:sz w:val="28"/>
                <w:szCs w:val="28"/>
              </w:rPr>
              <w:t>≥60%</w:t>
            </w:r>
          </w:p>
        </w:tc>
        <w:tc>
          <w:tcPr>
            <w:tcW w:w="741" w:type="dxa"/>
            <w:shd w:val="clear" w:color="auto" w:fill="FFFFFF"/>
            <w:vAlign w:val="center"/>
          </w:tcPr>
          <w:p w14:paraId="7C817B78">
            <w:pPr>
              <w:spacing w:line="320" w:lineRule="exact"/>
              <w:jc w:val="center"/>
              <w:rPr>
                <w:rFonts w:hint="default" w:eastAsia="仿宋_GB2312"/>
                <w:sz w:val="28"/>
                <w:szCs w:val="28"/>
              </w:rPr>
            </w:pPr>
            <w:r>
              <w:rPr>
                <w:rFonts w:eastAsia="仿宋_GB2312"/>
                <w:sz w:val="28"/>
                <w:szCs w:val="28"/>
              </w:rPr>
              <w:t>≥60%</w:t>
            </w:r>
          </w:p>
        </w:tc>
        <w:tc>
          <w:tcPr>
            <w:tcW w:w="767" w:type="dxa"/>
            <w:shd w:val="clear" w:color="auto" w:fill="FFFFFF"/>
            <w:vAlign w:val="center"/>
          </w:tcPr>
          <w:p w14:paraId="3A6A9DF2">
            <w:pPr>
              <w:snapToGrid w:val="0"/>
              <w:jc w:val="center"/>
              <w:rPr>
                <w:rFonts w:hint="default" w:eastAsia="仿宋_GB2312"/>
                <w:sz w:val="28"/>
                <w:szCs w:val="28"/>
              </w:rPr>
            </w:pPr>
            <w:r>
              <w:rPr>
                <w:rFonts w:eastAsia="仿宋_GB2312"/>
                <w:sz w:val="28"/>
                <w:szCs w:val="28"/>
              </w:rPr>
              <w:t>预期性</w:t>
            </w:r>
          </w:p>
        </w:tc>
        <w:tc>
          <w:tcPr>
            <w:tcW w:w="1646" w:type="dxa"/>
            <w:shd w:val="clear" w:color="auto" w:fill="FFFFFF"/>
            <w:tcMar>
              <w:top w:w="13" w:type="dxa"/>
              <w:left w:w="13" w:type="dxa"/>
              <w:bottom w:w="0" w:type="dxa"/>
              <w:right w:w="13" w:type="dxa"/>
            </w:tcMar>
            <w:vAlign w:val="center"/>
          </w:tcPr>
          <w:p w14:paraId="53809003">
            <w:pPr>
              <w:snapToGrid w:val="0"/>
              <w:jc w:val="both"/>
              <w:rPr>
                <w:rFonts w:hint="default" w:eastAsia="仿宋_GB2312"/>
                <w:sz w:val="28"/>
                <w:szCs w:val="28"/>
              </w:rPr>
            </w:pPr>
            <w:r>
              <w:rPr>
                <w:rFonts w:eastAsia="仿宋_GB2312"/>
                <w:sz w:val="28"/>
                <w:szCs w:val="28"/>
              </w:rPr>
              <w:t>2020年全旗应急管理部门在编57人，专业人员12人，占比21%。按照目前在编人数计算，2025年占比60%以上，专业人员数量将提升至34人以上。</w:t>
            </w:r>
          </w:p>
        </w:tc>
      </w:tr>
      <w:tr w14:paraId="34528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41" w:hRule="atLeast"/>
          <w:jc w:val="center"/>
        </w:trPr>
        <w:tc>
          <w:tcPr>
            <w:tcW w:w="329" w:type="dxa"/>
            <w:shd w:val="clear" w:color="auto" w:fill="FFFFFF"/>
            <w:tcMar>
              <w:top w:w="13" w:type="dxa"/>
              <w:left w:w="13" w:type="dxa"/>
              <w:bottom w:w="0" w:type="dxa"/>
              <w:right w:w="13" w:type="dxa"/>
            </w:tcMar>
            <w:vAlign w:val="center"/>
          </w:tcPr>
          <w:p w14:paraId="6A3C09CB">
            <w:pPr>
              <w:spacing w:line="320" w:lineRule="exact"/>
              <w:jc w:val="center"/>
              <w:rPr>
                <w:rFonts w:hint="default" w:eastAsia="仿宋_GB2312"/>
                <w:sz w:val="28"/>
                <w:szCs w:val="28"/>
              </w:rPr>
            </w:pPr>
            <w:r>
              <w:rPr>
                <w:rFonts w:eastAsia="仿宋_GB2312"/>
                <w:sz w:val="28"/>
                <w:szCs w:val="28"/>
              </w:rPr>
              <w:t>9</w:t>
            </w:r>
          </w:p>
        </w:tc>
        <w:tc>
          <w:tcPr>
            <w:tcW w:w="928" w:type="dxa"/>
            <w:shd w:val="clear" w:color="auto" w:fill="FFFFFF"/>
            <w:tcMar>
              <w:top w:w="13" w:type="dxa"/>
              <w:left w:w="13" w:type="dxa"/>
              <w:bottom w:w="0" w:type="dxa"/>
              <w:right w:w="13" w:type="dxa"/>
            </w:tcMar>
            <w:vAlign w:val="center"/>
          </w:tcPr>
          <w:p w14:paraId="6457FAD2">
            <w:pPr>
              <w:spacing w:line="320" w:lineRule="exact"/>
              <w:rPr>
                <w:rFonts w:hint="default" w:eastAsia="仿宋_GB2312"/>
                <w:sz w:val="28"/>
                <w:szCs w:val="28"/>
              </w:rPr>
            </w:pPr>
            <w:r>
              <w:rPr>
                <w:rFonts w:eastAsia="仿宋_GB2312"/>
                <w:sz w:val="28"/>
                <w:szCs w:val="28"/>
              </w:rPr>
              <w:t>综合性消防救援人员占全市总人口的比例</w:t>
            </w:r>
          </w:p>
        </w:tc>
        <w:tc>
          <w:tcPr>
            <w:tcW w:w="735" w:type="dxa"/>
            <w:shd w:val="clear" w:color="auto" w:fill="FFFFFF"/>
            <w:vAlign w:val="center"/>
          </w:tcPr>
          <w:p w14:paraId="1CF23287">
            <w:pPr>
              <w:spacing w:line="320" w:lineRule="exact"/>
              <w:jc w:val="center"/>
              <w:rPr>
                <w:rFonts w:hint="default" w:eastAsia="仿宋_GB2312"/>
                <w:sz w:val="28"/>
                <w:szCs w:val="28"/>
              </w:rPr>
            </w:pPr>
            <w:r>
              <w:rPr>
                <w:rFonts w:eastAsia="仿宋_GB2312"/>
                <w:sz w:val="28"/>
                <w:szCs w:val="28"/>
              </w:rPr>
              <w:t>0.070‰</w:t>
            </w:r>
          </w:p>
        </w:tc>
        <w:tc>
          <w:tcPr>
            <w:tcW w:w="700" w:type="dxa"/>
            <w:shd w:val="clear" w:color="auto" w:fill="FFFFFF"/>
            <w:vAlign w:val="center"/>
          </w:tcPr>
          <w:p w14:paraId="3E2352F4">
            <w:pPr>
              <w:spacing w:line="320" w:lineRule="exact"/>
              <w:jc w:val="center"/>
              <w:rPr>
                <w:rFonts w:hint="default" w:eastAsia="仿宋_GB2312"/>
                <w:sz w:val="28"/>
                <w:szCs w:val="28"/>
              </w:rPr>
            </w:pPr>
            <w:r>
              <w:rPr>
                <w:rFonts w:eastAsia="仿宋_GB2312"/>
                <w:sz w:val="28"/>
                <w:szCs w:val="28"/>
              </w:rPr>
              <w:t>——</w:t>
            </w:r>
          </w:p>
        </w:tc>
        <w:tc>
          <w:tcPr>
            <w:tcW w:w="830" w:type="dxa"/>
            <w:shd w:val="clear" w:color="auto" w:fill="FFFFFF"/>
            <w:tcMar>
              <w:top w:w="13" w:type="dxa"/>
              <w:left w:w="13" w:type="dxa"/>
              <w:bottom w:w="0" w:type="dxa"/>
              <w:right w:w="13" w:type="dxa"/>
            </w:tcMar>
            <w:vAlign w:val="center"/>
          </w:tcPr>
          <w:p w14:paraId="44FC894B">
            <w:pPr>
              <w:spacing w:line="320" w:lineRule="exact"/>
              <w:jc w:val="center"/>
              <w:rPr>
                <w:rFonts w:hint="default" w:eastAsia="仿宋_GB2312"/>
                <w:sz w:val="28"/>
                <w:szCs w:val="28"/>
              </w:rPr>
            </w:pPr>
            <w:r>
              <w:rPr>
                <w:rFonts w:eastAsia="仿宋_GB2312"/>
                <w:sz w:val="28"/>
                <w:szCs w:val="28"/>
              </w:rPr>
              <w:t>0.6‰</w:t>
            </w:r>
          </w:p>
        </w:tc>
        <w:tc>
          <w:tcPr>
            <w:tcW w:w="790" w:type="dxa"/>
            <w:shd w:val="clear" w:color="auto" w:fill="FFFFFF"/>
            <w:tcMar>
              <w:top w:w="13" w:type="dxa"/>
              <w:left w:w="13" w:type="dxa"/>
              <w:bottom w:w="0" w:type="dxa"/>
              <w:right w:w="13" w:type="dxa"/>
            </w:tcMar>
            <w:vAlign w:val="center"/>
          </w:tcPr>
          <w:p w14:paraId="71272D32">
            <w:pPr>
              <w:spacing w:line="320" w:lineRule="exact"/>
              <w:jc w:val="center"/>
              <w:rPr>
                <w:rFonts w:hint="default" w:eastAsia="仿宋_GB2312"/>
                <w:sz w:val="28"/>
                <w:szCs w:val="28"/>
              </w:rPr>
            </w:pPr>
            <w:r>
              <w:rPr>
                <w:rFonts w:eastAsia="仿宋_GB2312"/>
                <w:sz w:val="28"/>
                <w:szCs w:val="28"/>
              </w:rPr>
              <w:t>0.4‰</w:t>
            </w:r>
          </w:p>
        </w:tc>
        <w:tc>
          <w:tcPr>
            <w:tcW w:w="870" w:type="dxa"/>
            <w:shd w:val="clear" w:color="auto" w:fill="FFFFFF"/>
            <w:tcMar>
              <w:top w:w="13" w:type="dxa"/>
              <w:left w:w="13" w:type="dxa"/>
              <w:bottom w:w="0" w:type="dxa"/>
              <w:right w:w="13" w:type="dxa"/>
            </w:tcMar>
            <w:vAlign w:val="center"/>
          </w:tcPr>
          <w:p w14:paraId="439EC635">
            <w:pPr>
              <w:spacing w:line="320" w:lineRule="exact"/>
              <w:jc w:val="center"/>
              <w:rPr>
                <w:rFonts w:hint="default" w:eastAsia="仿宋_GB2312"/>
                <w:sz w:val="28"/>
                <w:szCs w:val="28"/>
              </w:rPr>
            </w:pPr>
            <w:r>
              <w:rPr>
                <w:rFonts w:eastAsia="仿宋_GB2312"/>
                <w:sz w:val="28"/>
                <w:szCs w:val="28"/>
              </w:rPr>
              <w:t>0.5‰</w:t>
            </w:r>
          </w:p>
        </w:tc>
        <w:tc>
          <w:tcPr>
            <w:tcW w:w="741" w:type="dxa"/>
            <w:shd w:val="clear" w:color="auto" w:fill="FFFFFF"/>
            <w:vAlign w:val="center"/>
          </w:tcPr>
          <w:p w14:paraId="00660375">
            <w:pPr>
              <w:spacing w:line="320" w:lineRule="exact"/>
              <w:jc w:val="center"/>
              <w:rPr>
                <w:rFonts w:hint="default" w:eastAsia="仿宋_GB2312"/>
                <w:sz w:val="28"/>
                <w:szCs w:val="28"/>
              </w:rPr>
            </w:pPr>
            <w:r>
              <w:rPr>
                <w:rFonts w:eastAsia="仿宋_GB2312"/>
                <w:sz w:val="28"/>
                <w:szCs w:val="28"/>
              </w:rPr>
              <w:t>0.6‰</w:t>
            </w:r>
          </w:p>
        </w:tc>
        <w:tc>
          <w:tcPr>
            <w:tcW w:w="767" w:type="dxa"/>
            <w:shd w:val="clear" w:color="auto" w:fill="FFFFFF"/>
            <w:vAlign w:val="center"/>
          </w:tcPr>
          <w:p w14:paraId="01E2A9F8">
            <w:pPr>
              <w:snapToGrid w:val="0"/>
              <w:jc w:val="center"/>
              <w:rPr>
                <w:rFonts w:hint="default" w:eastAsia="仿宋_GB2312"/>
                <w:sz w:val="28"/>
                <w:szCs w:val="28"/>
              </w:rPr>
            </w:pPr>
            <w:r>
              <w:rPr>
                <w:rFonts w:eastAsia="仿宋_GB2312"/>
                <w:sz w:val="28"/>
                <w:szCs w:val="28"/>
              </w:rPr>
              <w:t>预期性</w:t>
            </w:r>
          </w:p>
        </w:tc>
        <w:tc>
          <w:tcPr>
            <w:tcW w:w="1646" w:type="dxa"/>
            <w:shd w:val="clear" w:color="auto" w:fill="FFFFFF"/>
            <w:tcMar>
              <w:top w:w="13" w:type="dxa"/>
              <w:left w:w="13" w:type="dxa"/>
              <w:bottom w:w="0" w:type="dxa"/>
              <w:right w:w="13" w:type="dxa"/>
            </w:tcMar>
            <w:vAlign w:val="center"/>
          </w:tcPr>
          <w:p w14:paraId="00B67565">
            <w:pPr>
              <w:snapToGrid w:val="0"/>
              <w:jc w:val="both"/>
              <w:rPr>
                <w:rFonts w:hint="default" w:eastAsia="仿宋_GB2312"/>
                <w:sz w:val="28"/>
                <w:szCs w:val="28"/>
              </w:rPr>
            </w:pPr>
            <w:r>
              <w:rPr>
                <w:rFonts w:eastAsia="仿宋_GB2312"/>
                <w:sz w:val="28"/>
                <w:szCs w:val="28"/>
              </w:rPr>
              <w:t>2020年为：0.070‰。（26人，2020年统计人口372034人）</w:t>
            </w:r>
          </w:p>
          <w:p w14:paraId="7EB67D2A">
            <w:pPr>
              <w:snapToGrid w:val="0"/>
              <w:jc w:val="both"/>
              <w:rPr>
                <w:rFonts w:hint="default" w:eastAsia="仿宋_GB2312"/>
                <w:sz w:val="28"/>
                <w:szCs w:val="28"/>
              </w:rPr>
            </w:pPr>
            <w:r>
              <w:rPr>
                <w:rFonts w:eastAsia="仿宋_GB2312"/>
                <w:sz w:val="28"/>
                <w:szCs w:val="28"/>
              </w:rPr>
              <w:t>按照2020年统计人口数量计算：2025年预计将增至223人。372034*0.6‰=223人</w:t>
            </w:r>
          </w:p>
        </w:tc>
      </w:tr>
      <w:tr w14:paraId="16F5C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8" w:hRule="atLeast"/>
          <w:jc w:val="center"/>
        </w:trPr>
        <w:tc>
          <w:tcPr>
            <w:tcW w:w="329" w:type="dxa"/>
            <w:shd w:val="clear" w:color="auto" w:fill="FFFFFF"/>
            <w:tcMar>
              <w:top w:w="13" w:type="dxa"/>
              <w:left w:w="13" w:type="dxa"/>
              <w:bottom w:w="0" w:type="dxa"/>
              <w:right w:w="13" w:type="dxa"/>
            </w:tcMar>
            <w:vAlign w:val="center"/>
          </w:tcPr>
          <w:p w14:paraId="56C0BD6D">
            <w:pPr>
              <w:spacing w:line="320" w:lineRule="exact"/>
              <w:jc w:val="center"/>
              <w:rPr>
                <w:rFonts w:hint="default" w:eastAsia="仿宋_GB2312"/>
                <w:sz w:val="28"/>
                <w:szCs w:val="28"/>
              </w:rPr>
            </w:pPr>
            <w:r>
              <w:rPr>
                <w:rFonts w:eastAsia="仿宋_GB2312"/>
                <w:sz w:val="28"/>
                <w:szCs w:val="28"/>
              </w:rPr>
              <w:t>10</w:t>
            </w:r>
          </w:p>
        </w:tc>
        <w:tc>
          <w:tcPr>
            <w:tcW w:w="928" w:type="dxa"/>
            <w:shd w:val="clear" w:color="auto" w:fill="FFFFFF"/>
            <w:tcMar>
              <w:top w:w="13" w:type="dxa"/>
              <w:left w:w="13" w:type="dxa"/>
              <w:bottom w:w="0" w:type="dxa"/>
              <w:right w:w="13" w:type="dxa"/>
            </w:tcMar>
            <w:vAlign w:val="center"/>
          </w:tcPr>
          <w:p w14:paraId="4E516628">
            <w:pPr>
              <w:spacing w:line="320" w:lineRule="exact"/>
              <w:rPr>
                <w:rFonts w:hint="default" w:eastAsia="仿宋_GB2312"/>
                <w:sz w:val="28"/>
                <w:szCs w:val="28"/>
              </w:rPr>
            </w:pPr>
            <w:r>
              <w:rPr>
                <w:rFonts w:eastAsia="仿宋_GB2312"/>
                <w:sz w:val="28"/>
                <w:szCs w:val="28"/>
              </w:rPr>
              <w:t>灾害事故发生后受灾人员基本生活得到有效救助时间</w:t>
            </w:r>
          </w:p>
        </w:tc>
        <w:tc>
          <w:tcPr>
            <w:tcW w:w="735" w:type="dxa"/>
            <w:shd w:val="clear" w:color="auto" w:fill="FFFFFF"/>
            <w:vAlign w:val="center"/>
          </w:tcPr>
          <w:p w14:paraId="5648B868">
            <w:pPr>
              <w:spacing w:line="320" w:lineRule="exact"/>
              <w:jc w:val="center"/>
              <w:rPr>
                <w:rFonts w:hint="default" w:eastAsia="仿宋_GB2312"/>
                <w:sz w:val="28"/>
                <w:szCs w:val="28"/>
              </w:rPr>
            </w:pPr>
            <w:r>
              <w:rPr>
                <w:rFonts w:eastAsia="仿宋_GB2312"/>
                <w:sz w:val="28"/>
                <w:szCs w:val="28"/>
              </w:rPr>
              <w:t>——</w:t>
            </w:r>
          </w:p>
        </w:tc>
        <w:tc>
          <w:tcPr>
            <w:tcW w:w="700" w:type="dxa"/>
            <w:shd w:val="clear" w:color="auto" w:fill="FFFFFF"/>
            <w:vAlign w:val="center"/>
          </w:tcPr>
          <w:p w14:paraId="64CC3688">
            <w:pPr>
              <w:spacing w:line="320" w:lineRule="exact"/>
              <w:jc w:val="center"/>
              <w:rPr>
                <w:rFonts w:hint="default" w:eastAsia="仿宋_GB2312"/>
                <w:sz w:val="28"/>
                <w:szCs w:val="28"/>
              </w:rPr>
            </w:pPr>
            <w:r>
              <w:rPr>
                <w:rFonts w:eastAsia="仿宋_GB2312"/>
                <w:sz w:val="28"/>
                <w:szCs w:val="28"/>
              </w:rPr>
              <w:t>——</w:t>
            </w:r>
          </w:p>
        </w:tc>
        <w:tc>
          <w:tcPr>
            <w:tcW w:w="830" w:type="dxa"/>
            <w:shd w:val="clear" w:color="auto" w:fill="FFFFFF"/>
            <w:tcMar>
              <w:top w:w="13" w:type="dxa"/>
              <w:left w:w="13" w:type="dxa"/>
              <w:bottom w:w="0" w:type="dxa"/>
              <w:right w:w="13" w:type="dxa"/>
            </w:tcMar>
            <w:vAlign w:val="center"/>
          </w:tcPr>
          <w:p w14:paraId="32CBC82C">
            <w:pPr>
              <w:spacing w:line="320" w:lineRule="exact"/>
              <w:jc w:val="center"/>
              <w:rPr>
                <w:rFonts w:hint="default" w:eastAsia="仿宋_GB2312"/>
                <w:sz w:val="28"/>
                <w:szCs w:val="28"/>
              </w:rPr>
            </w:pPr>
            <w:r>
              <w:rPr>
                <w:rFonts w:eastAsia="仿宋_GB2312"/>
                <w:sz w:val="28"/>
                <w:szCs w:val="28"/>
              </w:rPr>
              <w:t>≤10小时</w:t>
            </w:r>
          </w:p>
        </w:tc>
        <w:tc>
          <w:tcPr>
            <w:tcW w:w="790" w:type="dxa"/>
            <w:shd w:val="clear" w:color="auto" w:fill="FFFFFF"/>
            <w:tcMar>
              <w:top w:w="13" w:type="dxa"/>
              <w:left w:w="13" w:type="dxa"/>
              <w:bottom w:w="0" w:type="dxa"/>
              <w:right w:w="13" w:type="dxa"/>
            </w:tcMar>
            <w:vAlign w:val="center"/>
          </w:tcPr>
          <w:p w14:paraId="60492726">
            <w:pPr>
              <w:spacing w:line="320" w:lineRule="exact"/>
              <w:jc w:val="center"/>
              <w:rPr>
                <w:rFonts w:hint="default" w:eastAsia="仿宋_GB2312"/>
                <w:sz w:val="28"/>
                <w:szCs w:val="28"/>
              </w:rPr>
            </w:pPr>
            <w:r>
              <w:rPr>
                <w:rFonts w:eastAsia="仿宋_GB2312"/>
                <w:sz w:val="28"/>
                <w:szCs w:val="28"/>
              </w:rPr>
              <w:t>≤10小时</w:t>
            </w:r>
          </w:p>
        </w:tc>
        <w:tc>
          <w:tcPr>
            <w:tcW w:w="870" w:type="dxa"/>
            <w:shd w:val="clear" w:color="auto" w:fill="FFFFFF"/>
            <w:tcMar>
              <w:top w:w="13" w:type="dxa"/>
              <w:left w:w="13" w:type="dxa"/>
              <w:bottom w:w="0" w:type="dxa"/>
              <w:right w:w="13" w:type="dxa"/>
            </w:tcMar>
            <w:vAlign w:val="center"/>
          </w:tcPr>
          <w:p w14:paraId="34B7FBD9">
            <w:pPr>
              <w:spacing w:line="320" w:lineRule="exact"/>
              <w:jc w:val="center"/>
              <w:rPr>
                <w:rFonts w:hint="default" w:eastAsia="仿宋_GB2312"/>
                <w:sz w:val="28"/>
                <w:szCs w:val="28"/>
              </w:rPr>
            </w:pPr>
            <w:r>
              <w:rPr>
                <w:rFonts w:eastAsia="仿宋_GB2312"/>
                <w:sz w:val="28"/>
                <w:szCs w:val="28"/>
              </w:rPr>
              <w:t xml:space="preserve">≤10小时 </w:t>
            </w:r>
          </w:p>
        </w:tc>
        <w:tc>
          <w:tcPr>
            <w:tcW w:w="741" w:type="dxa"/>
            <w:shd w:val="clear" w:color="auto" w:fill="FFFFFF"/>
            <w:vAlign w:val="center"/>
          </w:tcPr>
          <w:p w14:paraId="41C7BA51">
            <w:pPr>
              <w:spacing w:line="320" w:lineRule="exact"/>
              <w:jc w:val="center"/>
              <w:rPr>
                <w:rFonts w:hint="default" w:eastAsia="仿宋_GB2312"/>
                <w:sz w:val="28"/>
                <w:szCs w:val="28"/>
              </w:rPr>
            </w:pPr>
            <w:r>
              <w:rPr>
                <w:rFonts w:eastAsia="仿宋_GB2312"/>
                <w:sz w:val="28"/>
                <w:szCs w:val="28"/>
              </w:rPr>
              <w:t>≤10小时</w:t>
            </w:r>
          </w:p>
        </w:tc>
        <w:tc>
          <w:tcPr>
            <w:tcW w:w="767" w:type="dxa"/>
            <w:shd w:val="clear" w:color="auto" w:fill="FFFFFF"/>
            <w:vAlign w:val="center"/>
          </w:tcPr>
          <w:p w14:paraId="0D857DF7">
            <w:pPr>
              <w:snapToGrid w:val="0"/>
              <w:jc w:val="center"/>
              <w:rPr>
                <w:rFonts w:hint="default" w:eastAsia="仿宋_GB2312"/>
                <w:sz w:val="28"/>
                <w:szCs w:val="28"/>
              </w:rPr>
            </w:pPr>
            <w:r>
              <w:rPr>
                <w:rFonts w:eastAsia="仿宋_GB2312"/>
                <w:sz w:val="28"/>
                <w:szCs w:val="28"/>
              </w:rPr>
              <w:t>预期性</w:t>
            </w:r>
          </w:p>
        </w:tc>
        <w:tc>
          <w:tcPr>
            <w:tcW w:w="1646" w:type="dxa"/>
            <w:shd w:val="clear" w:color="auto" w:fill="FFFFFF"/>
            <w:tcMar>
              <w:top w:w="13" w:type="dxa"/>
              <w:left w:w="13" w:type="dxa"/>
              <w:bottom w:w="0" w:type="dxa"/>
              <w:right w:w="13" w:type="dxa"/>
            </w:tcMar>
            <w:vAlign w:val="center"/>
          </w:tcPr>
          <w:p w14:paraId="6DE7EE92">
            <w:pPr>
              <w:snapToGrid w:val="0"/>
              <w:jc w:val="both"/>
              <w:rPr>
                <w:rFonts w:hint="default" w:eastAsia="仿宋_GB2312"/>
                <w:sz w:val="28"/>
                <w:szCs w:val="28"/>
              </w:rPr>
            </w:pPr>
            <w:r>
              <w:rPr>
                <w:rFonts w:eastAsia="仿宋_GB2312"/>
                <w:sz w:val="28"/>
                <w:szCs w:val="28"/>
              </w:rPr>
              <w:t>国家、自治区和市均规划为10小时以内，本旗与其保持一致。</w:t>
            </w:r>
          </w:p>
        </w:tc>
      </w:tr>
      <w:tr w14:paraId="17A1FF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8" w:hRule="atLeast"/>
          <w:jc w:val="center"/>
        </w:trPr>
        <w:tc>
          <w:tcPr>
            <w:tcW w:w="329" w:type="dxa"/>
            <w:shd w:val="clear" w:color="auto" w:fill="FFFFFF"/>
            <w:tcMar>
              <w:top w:w="13" w:type="dxa"/>
              <w:left w:w="13" w:type="dxa"/>
              <w:bottom w:w="0" w:type="dxa"/>
              <w:right w:w="13" w:type="dxa"/>
            </w:tcMar>
            <w:vAlign w:val="center"/>
          </w:tcPr>
          <w:p w14:paraId="5E3FF423">
            <w:pPr>
              <w:spacing w:line="320" w:lineRule="exact"/>
              <w:jc w:val="center"/>
              <w:rPr>
                <w:rFonts w:hint="default" w:eastAsia="仿宋_GB2312"/>
                <w:sz w:val="28"/>
                <w:szCs w:val="28"/>
              </w:rPr>
            </w:pPr>
            <w:r>
              <w:rPr>
                <w:rFonts w:eastAsia="仿宋_GB2312"/>
                <w:sz w:val="28"/>
                <w:szCs w:val="28"/>
              </w:rPr>
              <w:t>11</w:t>
            </w:r>
          </w:p>
        </w:tc>
        <w:tc>
          <w:tcPr>
            <w:tcW w:w="928" w:type="dxa"/>
            <w:shd w:val="clear" w:color="auto" w:fill="FFFFFF"/>
            <w:tcMar>
              <w:top w:w="13" w:type="dxa"/>
              <w:left w:w="13" w:type="dxa"/>
              <w:bottom w:w="0" w:type="dxa"/>
              <w:right w:w="13" w:type="dxa"/>
            </w:tcMar>
            <w:vAlign w:val="center"/>
          </w:tcPr>
          <w:p w14:paraId="733B92F3">
            <w:pPr>
              <w:spacing w:line="320" w:lineRule="exact"/>
              <w:rPr>
                <w:rFonts w:hint="default" w:eastAsia="仿宋_GB2312"/>
                <w:sz w:val="28"/>
                <w:szCs w:val="28"/>
              </w:rPr>
            </w:pPr>
            <w:r>
              <w:rPr>
                <w:rFonts w:eastAsia="仿宋_GB2312"/>
                <w:sz w:val="28"/>
                <w:szCs w:val="28"/>
              </w:rPr>
              <w:t>应急救援航空力量到达重大灾害事故风险地域时间</w:t>
            </w:r>
          </w:p>
        </w:tc>
        <w:tc>
          <w:tcPr>
            <w:tcW w:w="735" w:type="dxa"/>
            <w:shd w:val="clear" w:color="auto" w:fill="FFFFFF"/>
            <w:vAlign w:val="center"/>
          </w:tcPr>
          <w:p w14:paraId="4AA10240">
            <w:pPr>
              <w:spacing w:line="320" w:lineRule="exact"/>
              <w:jc w:val="center"/>
              <w:rPr>
                <w:rFonts w:hint="default" w:eastAsia="仿宋_GB2312"/>
                <w:sz w:val="28"/>
                <w:szCs w:val="28"/>
              </w:rPr>
            </w:pPr>
            <w:r>
              <w:rPr>
                <w:rFonts w:eastAsia="仿宋_GB2312"/>
                <w:sz w:val="28"/>
                <w:szCs w:val="28"/>
              </w:rPr>
              <w:t>——</w:t>
            </w:r>
          </w:p>
        </w:tc>
        <w:tc>
          <w:tcPr>
            <w:tcW w:w="700" w:type="dxa"/>
            <w:shd w:val="clear" w:color="auto" w:fill="FFFFFF"/>
            <w:vAlign w:val="center"/>
          </w:tcPr>
          <w:p w14:paraId="2C8D7735">
            <w:pPr>
              <w:spacing w:line="320" w:lineRule="exact"/>
              <w:jc w:val="center"/>
              <w:rPr>
                <w:rFonts w:hint="default" w:eastAsia="仿宋_GB2312"/>
                <w:sz w:val="28"/>
                <w:szCs w:val="28"/>
              </w:rPr>
            </w:pPr>
            <w:r>
              <w:rPr>
                <w:rFonts w:eastAsia="仿宋_GB2312"/>
                <w:sz w:val="28"/>
                <w:szCs w:val="28"/>
              </w:rPr>
              <w:t>——</w:t>
            </w:r>
          </w:p>
        </w:tc>
        <w:tc>
          <w:tcPr>
            <w:tcW w:w="830" w:type="dxa"/>
            <w:shd w:val="clear" w:color="auto" w:fill="FFFFFF"/>
            <w:tcMar>
              <w:top w:w="13" w:type="dxa"/>
              <w:left w:w="13" w:type="dxa"/>
              <w:bottom w:w="0" w:type="dxa"/>
              <w:right w:w="13" w:type="dxa"/>
            </w:tcMar>
            <w:vAlign w:val="center"/>
          </w:tcPr>
          <w:p w14:paraId="3ECA890D">
            <w:pPr>
              <w:spacing w:line="320" w:lineRule="exact"/>
              <w:jc w:val="center"/>
              <w:rPr>
                <w:rFonts w:hint="default" w:eastAsia="仿宋_GB2312"/>
                <w:sz w:val="28"/>
                <w:szCs w:val="28"/>
              </w:rPr>
            </w:pPr>
            <w:r>
              <w:rPr>
                <w:rFonts w:eastAsia="仿宋_GB2312"/>
                <w:sz w:val="28"/>
                <w:szCs w:val="28"/>
              </w:rPr>
              <w:t>≤2小时</w:t>
            </w:r>
          </w:p>
        </w:tc>
        <w:tc>
          <w:tcPr>
            <w:tcW w:w="790" w:type="dxa"/>
            <w:shd w:val="clear" w:color="auto" w:fill="FFFFFF"/>
            <w:tcMar>
              <w:top w:w="13" w:type="dxa"/>
              <w:left w:w="13" w:type="dxa"/>
              <w:bottom w:w="0" w:type="dxa"/>
              <w:right w:w="13" w:type="dxa"/>
            </w:tcMar>
            <w:vAlign w:val="center"/>
          </w:tcPr>
          <w:p w14:paraId="6AEC92F3">
            <w:pPr>
              <w:spacing w:line="320" w:lineRule="exact"/>
              <w:jc w:val="center"/>
              <w:rPr>
                <w:rFonts w:hint="default" w:eastAsia="仿宋_GB2312"/>
                <w:sz w:val="28"/>
                <w:szCs w:val="28"/>
              </w:rPr>
            </w:pPr>
            <w:r>
              <w:rPr>
                <w:rFonts w:eastAsia="仿宋_GB2312"/>
                <w:sz w:val="28"/>
                <w:szCs w:val="28"/>
              </w:rPr>
              <w:t>——</w:t>
            </w:r>
          </w:p>
        </w:tc>
        <w:tc>
          <w:tcPr>
            <w:tcW w:w="870" w:type="dxa"/>
            <w:shd w:val="clear" w:color="auto" w:fill="FFFFFF"/>
            <w:tcMar>
              <w:top w:w="13" w:type="dxa"/>
              <w:left w:w="13" w:type="dxa"/>
              <w:bottom w:w="0" w:type="dxa"/>
              <w:right w:w="13" w:type="dxa"/>
            </w:tcMar>
            <w:vAlign w:val="center"/>
          </w:tcPr>
          <w:p w14:paraId="0AA82D00">
            <w:pPr>
              <w:spacing w:line="320" w:lineRule="exact"/>
              <w:jc w:val="center"/>
              <w:rPr>
                <w:rFonts w:hint="default" w:eastAsia="仿宋_GB2312"/>
                <w:sz w:val="28"/>
                <w:szCs w:val="28"/>
              </w:rPr>
            </w:pPr>
            <w:r>
              <w:rPr>
                <w:rFonts w:eastAsia="仿宋_GB2312"/>
                <w:sz w:val="28"/>
                <w:szCs w:val="28"/>
              </w:rPr>
              <w:t>≤2小时</w:t>
            </w:r>
          </w:p>
        </w:tc>
        <w:tc>
          <w:tcPr>
            <w:tcW w:w="741" w:type="dxa"/>
            <w:shd w:val="clear" w:color="auto" w:fill="FFFFFF"/>
            <w:vAlign w:val="center"/>
          </w:tcPr>
          <w:p w14:paraId="7BF0A8CE">
            <w:pPr>
              <w:spacing w:line="320" w:lineRule="exact"/>
              <w:jc w:val="center"/>
              <w:rPr>
                <w:rFonts w:hint="default" w:eastAsia="仿宋_GB2312"/>
                <w:sz w:val="28"/>
                <w:szCs w:val="28"/>
              </w:rPr>
            </w:pPr>
            <w:r>
              <w:rPr>
                <w:rFonts w:eastAsia="仿宋_GB2312"/>
                <w:sz w:val="28"/>
                <w:szCs w:val="28"/>
              </w:rPr>
              <w:t>≤2小时</w:t>
            </w:r>
          </w:p>
        </w:tc>
        <w:tc>
          <w:tcPr>
            <w:tcW w:w="767" w:type="dxa"/>
            <w:shd w:val="clear" w:color="auto" w:fill="FFFFFF"/>
            <w:vAlign w:val="center"/>
          </w:tcPr>
          <w:p w14:paraId="02FCC1C3">
            <w:pPr>
              <w:snapToGrid w:val="0"/>
              <w:jc w:val="center"/>
              <w:rPr>
                <w:rFonts w:hint="default" w:eastAsia="仿宋_GB2312"/>
                <w:sz w:val="28"/>
                <w:szCs w:val="28"/>
              </w:rPr>
            </w:pPr>
            <w:r>
              <w:rPr>
                <w:rFonts w:eastAsia="仿宋_GB2312"/>
                <w:sz w:val="28"/>
                <w:szCs w:val="28"/>
              </w:rPr>
              <w:t>预期性</w:t>
            </w:r>
          </w:p>
        </w:tc>
        <w:tc>
          <w:tcPr>
            <w:tcW w:w="1646" w:type="dxa"/>
            <w:shd w:val="clear" w:color="auto" w:fill="FFFFFF"/>
            <w:tcMar>
              <w:top w:w="13" w:type="dxa"/>
              <w:left w:w="13" w:type="dxa"/>
              <w:bottom w:w="0" w:type="dxa"/>
              <w:right w:w="13" w:type="dxa"/>
            </w:tcMar>
            <w:vAlign w:val="center"/>
          </w:tcPr>
          <w:p w14:paraId="1E5B5EB8">
            <w:pPr>
              <w:snapToGrid w:val="0"/>
              <w:jc w:val="both"/>
              <w:rPr>
                <w:rFonts w:hint="default" w:eastAsia="仿宋_GB2312"/>
                <w:sz w:val="28"/>
                <w:szCs w:val="28"/>
              </w:rPr>
            </w:pPr>
            <w:r>
              <w:rPr>
                <w:rFonts w:eastAsia="仿宋_GB2312"/>
                <w:sz w:val="28"/>
                <w:szCs w:val="28"/>
              </w:rPr>
              <w:t>自治区和市均规划为2小时以内，本旗与其保持一致。</w:t>
            </w:r>
          </w:p>
        </w:tc>
      </w:tr>
      <w:tr w14:paraId="67832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3" w:hRule="atLeast"/>
          <w:jc w:val="center"/>
        </w:trPr>
        <w:tc>
          <w:tcPr>
            <w:tcW w:w="6690" w:type="dxa"/>
            <w:gridSpan w:val="9"/>
            <w:shd w:val="clear" w:color="auto" w:fill="FFFFFF"/>
            <w:tcMar>
              <w:top w:w="13" w:type="dxa"/>
              <w:left w:w="13" w:type="dxa"/>
              <w:bottom w:w="0" w:type="dxa"/>
              <w:right w:w="13" w:type="dxa"/>
            </w:tcMar>
            <w:vAlign w:val="center"/>
          </w:tcPr>
          <w:p w14:paraId="46A81DE6">
            <w:pPr>
              <w:snapToGrid w:val="0"/>
              <w:rPr>
                <w:rFonts w:hint="default" w:eastAsia="仿宋_GB2312"/>
                <w:sz w:val="28"/>
                <w:szCs w:val="28"/>
              </w:rPr>
            </w:pPr>
            <w:r>
              <w:rPr>
                <w:rFonts w:eastAsia="仿宋_GB2312"/>
                <w:sz w:val="28"/>
                <w:szCs w:val="28"/>
              </w:rPr>
              <w:t>注：带※指标为五年平均数，其余为期末达到数。</w:t>
            </w:r>
          </w:p>
        </w:tc>
        <w:tc>
          <w:tcPr>
            <w:tcW w:w="1646" w:type="dxa"/>
            <w:shd w:val="clear" w:color="auto" w:fill="FFFFFF"/>
            <w:tcMar>
              <w:top w:w="13" w:type="dxa"/>
              <w:left w:w="13" w:type="dxa"/>
              <w:bottom w:w="0" w:type="dxa"/>
              <w:right w:w="13" w:type="dxa"/>
            </w:tcMar>
            <w:vAlign w:val="center"/>
          </w:tcPr>
          <w:p w14:paraId="0393BD5A">
            <w:pPr>
              <w:snapToGrid w:val="0"/>
              <w:rPr>
                <w:rFonts w:hint="default" w:eastAsia="仿宋_GB2312"/>
                <w:sz w:val="28"/>
                <w:szCs w:val="28"/>
              </w:rPr>
            </w:pPr>
          </w:p>
        </w:tc>
      </w:tr>
    </w:tbl>
    <w:p w14:paraId="3E20F667">
      <w:pPr>
        <w:pStyle w:val="22"/>
        <w:ind w:firstLine="0"/>
        <w:rPr>
          <w:rFonts w:hint="default"/>
        </w:rPr>
      </w:pPr>
    </w:p>
    <w:p w14:paraId="5C99786A">
      <w:pPr>
        <w:pStyle w:val="3"/>
        <w:numPr>
          <w:ilvl w:val="0"/>
          <w:numId w:val="1"/>
        </w:numPr>
        <w:adjustRightInd/>
        <w:spacing w:line="560" w:lineRule="exact"/>
        <w:jc w:val="both"/>
        <w:rPr>
          <w:rFonts w:ascii="黑体" w:hAnsi="黑体" w:eastAsia="黑体"/>
          <w:color w:val="000000"/>
          <w:sz w:val="32"/>
          <w:szCs w:val="32"/>
        </w:rPr>
      </w:pPr>
      <w:bookmarkStart w:id="19" w:name="_Toc25008_WPSOffice_Level1"/>
      <w:r>
        <w:rPr>
          <w:rFonts w:hint="eastAsia" w:ascii="黑体" w:hAnsi="黑体" w:eastAsia="黑体"/>
          <w:color w:val="000000"/>
          <w:sz w:val="32"/>
          <w:szCs w:val="32"/>
        </w:rPr>
        <w:t>主要任务</w:t>
      </w:r>
      <w:bookmarkEnd w:id="19"/>
    </w:p>
    <w:p w14:paraId="41E4D0D0">
      <w:pPr>
        <w:pStyle w:val="14"/>
        <w:widowControl/>
        <w:shd w:val="clear" w:color="auto" w:fill="FFFFFF"/>
        <w:spacing w:beforeAutospacing="0" w:afterAutospacing="0" w:line="300" w:lineRule="atLeast"/>
        <w:ind w:left="420"/>
        <w:jc w:val="both"/>
        <w:outlineLvl w:val="1"/>
        <w:rPr>
          <w:rFonts w:hint="default" w:ascii="黑体" w:hAnsi="黑体" w:eastAsia="黑体" w:cs="黑体"/>
          <w:color w:val="333333"/>
          <w:sz w:val="28"/>
          <w:szCs w:val="28"/>
          <w:shd w:val="clear" w:color="auto" w:fill="FFFFFF"/>
        </w:rPr>
      </w:pPr>
      <w:bookmarkStart w:id="20" w:name="_Toc58236261"/>
      <w:bookmarkStart w:id="21" w:name="_Toc13903_WPSOffice_Level2"/>
      <w:r>
        <w:rPr>
          <w:rFonts w:ascii="黑体" w:hAnsi="黑体" w:eastAsia="黑体" w:cs="黑体"/>
          <w:color w:val="333333"/>
          <w:sz w:val="28"/>
          <w:szCs w:val="28"/>
          <w:shd w:val="clear" w:color="auto" w:fill="FFFFFF"/>
        </w:rPr>
        <w:t>（一）夯实应急管理基础</w:t>
      </w:r>
      <w:bookmarkEnd w:id="20"/>
      <w:bookmarkEnd w:id="21"/>
      <w:bookmarkStart w:id="22" w:name="_Toc81817357"/>
      <w:bookmarkEnd w:id="22"/>
    </w:p>
    <w:p w14:paraId="5579923B">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1.完善应急管理体制机制</w:t>
      </w:r>
    </w:p>
    <w:p w14:paraId="314D4E53">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健全领导指挥体制。建立旗级应急管理委员会，负责领导指挥和组织协调全旗自然灾害、安全生产事故的综合预防管理和应急处置工作。推动苏木镇成立应急管理委员会，负责所辖范围内自然灾害、事故灾难等突发事件应对工作。按照分级负责、属地管理的原则，明确各类灾害事故响应程序，进一步理顺防汛抗旱、抗震救灾、森林草原防灭火等指挥机制。</w:t>
      </w:r>
    </w:p>
    <w:p w14:paraId="7235E7CD">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推进行政执法改革。落实深化应急管理综合行政执法改革要求，整合监管执法职责，组建应急管理综合行政执法队伍，健全监管执法体系，明确</w:t>
      </w:r>
      <w:r>
        <w:rPr>
          <w:rFonts w:ascii="仿宋_GB2312" w:eastAsia="仿宋_GB2312"/>
          <w:color w:val="000000"/>
          <w:sz w:val="28"/>
          <w:szCs w:val="21"/>
          <w:lang w:val="zh-CN"/>
        </w:rPr>
        <w:t>旗级执法管辖权限，建立应急管理部门内设机构和综合行政执法队伍协调联动机制，提高监管执法效能。合理划分旗、苏木镇（</w:t>
      </w:r>
      <w:r>
        <w:rPr>
          <w:rFonts w:ascii="仿宋_GB2312" w:eastAsia="仿宋_GB2312"/>
          <w:color w:val="000000"/>
          <w:sz w:val="28"/>
          <w:szCs w:val="21"/>
        </w:rPr>
        <w:t>街道</w:t>
      </w:r>
      <w:r>
        <w:rPr>
          <w:rFonts w:ascii="仿宋_GB2312" w:eastAsia="仿宋_GB2312"/>
          <w:color w:val="000000"/>
          <w:sz w:val="28"/>
          <w:szCs w:val="21"/>
          <w:lang w:val="zh-CN"/>
        </w:rPr>
        <w:t>）两级应急管理执法职责，对苏木镇（街道）有能力承担的简易执法事项依法委托其执法。建立苏木镇应急管理工作检查与旗级专业执法协调配合机制，协同开展执法检查和专项治理。</w:t>
      </w:r>
    </w:p>
    <w:p w14:paraId="6114CC3E">
      <w:pPr>
        <w:widowControl/>
        <w:autoSpaceDE/>
        <w:autoSpaceDN/>
        <w:spacing w:line="560" w:lineRule="exact"/>
        <w:ind w:firstLine="560" w:firstLineChars="200"/>
        <w:rPr>
          <w:rFonts w:hint="default" w:ascii="仿宋_GB2312" w:eastAsia="仿宋_GB2312"/>
          <w:color w:val="000000"/>
          <w:sz w:val="28"/>
          <w:szCs w:val="21"/>
        </w:rPr>
      </w:pPr>
      <w:r>
        <w:rPr>
          <w:rFonts w:ascii="仿宋_GB2312" w:eastAsia="仿宋_GB2312"/>
          <w:color w:val="000000"/>
          <w:sz w:val="28"/>
          <w:szCs w:val="21"/>
        </w:rPr>
        <w:t>完善</w:t>
      </w:r>
      <w:r>
        <w:rPr>
          <w:rFonts w:ascii="仿宋_GB2312" w:eastAsia="仿宋_GB2312"/>
          <w:color w:val="000000"/>
          <w:sz w:val="28"/>
          <w:szCs w:val="21"/>
          <w:lang w:val="zh-CN"/>
        </w:rPr>
        <w:t>协调联动机制。强化部门协同，充分发挥相关议事协调机构的统筹作用，发挥好应急管理部门的综合优势和各相关部门的专业优势，明确各部门在事故预防、灾害防治、救援救助、物资保障、恢复重建、秩序维护等方面的工作职责。建立完善安全风险防范化解协同、预防预警联动等机制，全面梳理自然灾害和事故灾难风险预警信息、隐患排查治理信息，实现联动部门信息共享。加强情报研判会商，适时组织联动部门开展预警形势研判，结合各部门资源优势共同制定应对措施。</w:t>
      </w:r>
      <w:r>
        <w:rPr>
          <w:rFonts w:ascii="仿宋_GB2312" w:eastAsia="仿宋_GB2312"/>
          <w:color w:val="000000"/>
          <w:sz w:val="28"/>
          <w:szCs w:val="21"/>
        </w:rPr>
        <w:t>强化</w:t>
      </w:r>
      <w:r>
        <w:rPr>
          <w:rFonts w:ascii="仿宋_GB2312" w:eastAsia="仿宋_GB2312"/>
          <w:color w:val="000000"/>
          <w:sz w:val="28"/>
          <w:szCs w:val="21"/>
          <w:lang w:val="zh-CN"/>
        </w:rPr>
        <w:t>区域协同，结合</w:t>
      </w:r>
      <w:r>
        <w:rPr>
          <w:rFonts w:ascii="仿宋_GB2312" w:eastAsia="仿宋_GB2312"/>
          <w:color w:val="000000"/>
          <w:sz w:val="28"/>
          <w:szCs w:val="21"/>
        </w:rPr>
        <w:t>国家</w:t>
      </w:r>
      <w:r>
        <w:rPr>
          <w:rFonts w:ascii="仿宋_GB2312" w:eastAsia="仿宋_GB2312"/>
          <w:color w:val="000000"/>
          <w:sz w:val="28"/>
          <w:szCs w:val="21"/>
          <w:lang w:val="zh-CN"/>
        </w:rPr>
        <w:t>新型城镇化、乡村振兴和区域协同发展等战略，构建和完善应急预案、联防联控、应急指挥、应急保障</w:t>
      </w:r>
      <w:r>
        <w:rPr>
          <w:rFonts w:ascii="仿宋_GB2312" w:eastAsia="仿宋_GB2312"/>
          <w:color w:val="000000"/>
          <w:sz w:val="28"/>
          <w:szCs w:val="21"/>
        </w:rPr>
        <w:t>等</w:t>
      </w:r>
      <w:r>
        <w:rPr>
          <w:rFonts w:ascii="仿宋_GB2312" w:eastAsia="仿宋_GB2312"/>
          <w:color w:val="000000"/>
          <w:sz w:val="28"/>
          <w:szCs w:val="21"/>
          <w:lang w:val="zh-CN"/>
        </w:rPr>
        <w:t>体系，建立联合指挥、灾情速报、资源共享机制。组织综合应急演练，强化互助调配衔接，</w:t>
      </w:r>
      <w:r>
        <w:rPr>
          <w:rFonts w:ascii="仿宋_GB2312" w:eastAsia="仿宋_GB2312"/>
          <w:color w:val="000000"/>
          <w:sz w:val="28"/>
          <w:szCs w:val="21"/>
        </w:rPr>
        <w:t>构建协同高效大应急格局。</w:t>
      </w:r>
    </w:p>
    <w:p w14:paraId="13AEE582">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bookmarkStart w:id="23" w:name="_Toc58411831"/>
      <w:bookmarkEnd w:id="23"/>
      <w:r>
        <w:rPr>
          <w:rFonts w:ascii="仿宋_GB2312" w:eastAsia="仿宋_GB2312"/>
          <w:color w:val="000000"/>
          <w:sz w:val="28"/>
          <w:szCs w:val="21"/>
        </w:rPr>
        <w:t>2.加强应急管理法治建设</w:t>
      </w:r>
    </w:p>
    <w:p w14:paraId="57AF63CF">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提升执法能力。整合优化应急管理职能和编制配备，统筹配置执法编制、执法资源和执法力量，科学合理核定执法队伍编制，保障人员力量与执法任务相适应。严格人员准入门槛，完善人员补充机制，通过公开遴选、选调、考录等方式，加大应急管理领域急需紧缺专业人才引进和培养力度。到2022年底，具有应急管理相关学历、职业资格和实践经验的执法人员数量不低于在职执法人员的75%。持续改善监管执法工作保障条件，</w:t>
      </w:r>
      <w:r>
        <w:rPr>
          <w:rFonts w:hint="default" w:ascii="仿宋_GB2312" w:eastAsia="仿宋_GB2312"/>
          <w:color w:val="000000"/>
          <w:sz w:val="28"/>
          <w:szCs w:val="21"/>
        </w:rPr>
        <w:t>按照国家准军事化管理标准规范和应急管理综合行政执法装备标准，统筹配备执法装备。</w:t>
      </w:r>
    </w:p>
    <w:p w14:paraId="4CFF9CB0">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规范执法行为。</w:t>
      </w:r>
      <w:r>
        <w:rPr>
          <w:rFonts w:hint="default" w:ascii="仿宋_GB2312" w:eastAsia="仿宋_GB2312"/>
          <w:color w:val="000000"/>
          <w:sz w:val="28"/>
          <w:szCs w:val="21"/>
        </w:rPr>
        <w:t>加强依法行政能力建设，</w:t>
      </w:r>
      <w:r>
        <w:rPr>
          <w:rFonts w:ascii="仿宋_GB2312" w:eastAsia="仿宋_GB2312"/>
          <w:color w:val="000000"/>
          <w:sz w:val="28"/>
          <w:szCs w:val="21"/>
        </w:rPr>
        <w:t>旗</w:t>
      </w:r>
      <w:r>
        <w:rPr>
          <w:rFonts w:hint="default" w:ascii="仿宋_GB2312" w:eastAsia="仿宋_GB2312"/>
          <w:color w:val="000000"/>
          <w:sz w:val="28"/>
          <w:szCs w:val="21"/>
        </w:rPr>
        <w:t>应急管理</w:t>
      </w:r>
      <w:r>
        <w:rPr>
          <w:rFonts w:ascii="仿宋_GB2312" w:eastAsia="仿宋_GB2312"/>
          <w:color w:val="000000"/>
          <w:sz w:val="28"/>
          <w:szCs w:val="21"/>
        </w:rPr>
        <w:t>局</w:t>
      </w:r>
      <w:r>
        <w:rPr>
          <w:rFonts w:hint="default" w:ascii="仿宋_GB2312" w:eastAsia="仿宋_GB2312"/>
          <w:color w:val="000000"/>
          <w:sz w:val="28"/>
          <w:szCs w:val="21"/>
        </w:rPr>
        <w:t>负责人任期内至少接受1次法治专题脱产培训，各级应急管理部门执法人员每年接受不少于60学时的业务知识和法律知识培训。全面梳理、规范和精简执法事项，清理取消没有法律法规规章依据和交叉重复的执法事项。全面严格落实行政执法公示、执法全过程记录、重大执法决定法制审核制度。全面严格落实告知制度，依法保障行政相对人陈述、申辩、提出听证申请等权利。全面落实行政处罚裁量权基准制度，细化量化自由裁量范围、种类、幅度并对外公布，防止随意执法、标准不一。做好执法案卷管理和评查、执法处理投诉举报、执法考核评议等工作。</w:t>
      </w:r>
    </w:p>
    <w:p w14:paraId="7897CAD4">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创新执法方式。持</w:t>
      </w:r>
      <w:r>
        <w:rPr>
          <w:rFonts w:hint="default" w:ascii="仿宋_GB2312" w:eastAsia="仿宋_GB2312"/>
          <w:color w:val="000000"/>
          <w:sz w:val="28"/>
          <w:szCs w:val="21"/>
        </w:rPr>
        <w:t>续深入推进“放管服”改</w:t>
      </w:r>
      <w:r>
        <w:rPr>
          <w:rFonts w:ascii="仿宋_GB2312" w:eastAsia="仿宋_GB2312"/>
          <w:color w:val="000000"/>
          <w:sz w:val="28"/>
          <w:szCs w:val="21"/>
        </w:rPr>
        <w:t>革</w:t>
      </w:r>
      <w:r>
        <w:rPr>
          <w:rFonts w:hint="default" w:ascii="仿宋_GB2312" w:eastAsia="仿宋_GB2312"/>
          <w:color w:val="000000"/>
          <w:sz w:val="28"/>
          <w:szCs w:val="21"/>
        </w:rPr>
        <w:t>，强化事中事后监管。</w:t>
      </w:r>
      <w:r>
        <w:rPr>
          <w:rFonts w:ascii="仿宋_GB2312" w:eastAsia="仿宋_GB2312"/>
          <w:color w:val="000000"/>
          <w:sz w:val="28"/>
          <w:szCs w:val="21"/>
        </w:rPr>
        <w:t>规范涉企行政检查，</w:t>
      </w:r>
      <w:r>
        <w:rPr>
          <w:rFonts w:hint="default" w:ascii="仿宋_GB2312" w:eastAsia="仿宋_GB2312"/>
          <w:color w:val="000000"/>
          <w:sz w:val="28"/>
          <w:szCs w:val="21"/>
        </w:rPr>
        <w:t>科学制定年度</w:t>
      </w:r>
      <w:r>
        <w:rPr>
          <w:rFonts w:ascii="仿宋_GB2312" w:eastAsia="仿宋_GB2312"/>
          <w:color w:val="000000"/>
          <w:sz w:val="28"/>
          <w:szCs w:val="21"/>
        </w:rPr>
        <w:t>执法</w:t>
      </w:r>
      <w:r>
        <w:rPr>
          <w:rFonts w:hint="default" w:ascii="仿宋_GB2312" w:eastAsia="仿宋_GB2312"/>
          <w:color w:val="000000"/>
          <w:sz w:val="28"/>
          <w:szCs w:val="21"/>
        </w:rPr>
        <w:t>计划</w:t>
      </w:r>
      <w:r>
        <w:rPr>
          <w:rFonts w:ascii="仿宋_GB2312" w:eastAsia="仿宋_GB2312"/>
          <w:color w:val="000000"/>
          <w:sz w:val="28"/>
          <w:szCs w:val="21"/>
        </w:rPr>
        <w:t>，</w:t>
      </w:r>
      <w:r>
        <w:rPr>
          <w:rFonts w:hint="default" w:ascii="仿宋_GB2312" w:eastAsia="仿宋_GB2312"/>
          <w:color w:val="000000"/>
          <w:sz w:val="28"/>
          <w:szCs w:val="21"/>
        </w:rPr>
        <w:t>落实重点企业</w:t>
      </w:r>
      <w:r>
        <w:rPr>
          <w:rFonts w:ascii="仿宋_GB2312" w:eastAsia="仿宋_GB2312"/>
          <w:color w:val="000000"/>
          <w:sz w:val="28"/>
          <w:szCs w:val="21"/>
        </w:rPr>
        <w:t>“</w:t>
      </w:r>
      <w:r>
        <w:rPr>
          <w:rFonts w:hint="default" w:ascii="仿宋_GB2312" w:eastAsia="仿宋_GB2312"/>
          <w:color w:val="000000"/>
          <w:sz w:val="28"/>
          <w:szCs w:val="21"/>
        </w:rPr>
        <w:t>全覆盖</w:t>
      </w:r>
      <w:r>
        <w:rPr>
          <w:rFonts w:ascii="仿宋_GB2312" w:eastAsia="仿宋_GB2312"/>
          <w:color w:val="000000"/>
          <w:sz w:val="28"/>
          <w:szCs w:val="21"/>
        </w:rPr>
        <w:t>”</w:t>
      </w:r>
      <w:r>
        <w:rPr>
          <w:rFonts w:hint="default" w:ascii="仿宋_GB2312" w:eastAsia="仿宋_GB2312"/>
          <w:color w:val="000000"/>
          <w:sz w:val="28"/>
          <w:szCs w:val="21"/>
        </w:rPr>
        <w:t>、其他企业</w:t>
      </w:r>
      <w:r>
        <w:rPr>
          <w:rFonts w:ascii="仿宋_GB2312" w:eastAsia="仿宋_GB2312"/>
          <w:color w:val="000000"/>
          <w:sz w:val="28"/>
          <w:szCs w:val="21"/>
        </w:rPr>
        <w:t>“</w:t>
      </w:r>
      <w:r>
        <w:rPr>
          <w:rFonts w:hint="default" w:ascii="仿宋_GB2312" w:eastAsia="仿宋_GB2312"/>
          <w:color w:val="000000"/>
          <w:sz w:val="28"/>
          <w:szCs w:val="21"/>
        </w:rPr>
        <w:t>双随机、一公开</w:t>
      </w:r>
      <w:r>
        <w:rPr>
          <w:rFonts w:ascii="仿宋_GB2312" w:eastAsia="仿宋_GB2312"/>
          <w:color w:val="000000"/>
          <w:sz w:val="28"/>
          <w:szCs w:val="21"/>
        </w:rPr>
        <w:t>”</w:t>
      </w:r>
      <w:r>
        <w:rPr>
          <w:rFonts w:hint="default" w:ascii="仿宋_GB2312" w:eastAsia="仿宋_GB2312"/>
          <w:color w:val="000000"/>
          <w:sz w:val="28"/>
          <w:szCs w:val="21"/>
        </w:rPr>
        <w:t>执法检查</w:t>
      </w:r>
      <w:r>
        <w:rPr>
          <w:rFonts w:ascii="仿宋_GB2312" w:eastAsia="仿宋_GB2312"/>
          <w:color w:val="000000"/>
          <w:sz w:val="28"/>
          <w:szCs w:val="21"/>
        </w:rPr>
        <w:t>。</w:t>
      </w:r>
      <w:r>
        <w:rPr>
          <w:rFonts w:hint="default" w:ascii="仿宋_GB2312" w:eastAsia="仿宋_GB2312"/>
          <w:color w:val="000000"/>
          <w:sz w:val="28"/>
          <w:szCs w:val="21"/>
        </w:rPr>
        <w:t>推进执法信息化建设，建立重点企业安全生产基础电子台账，形成“一企一档”。大力推行“</w:t>
      </w:r>
      <w:r>
        <w:rPr>
          <w:rFonts w:ascii="仿宋_GB2312" w:eastAsia="仿宋_GB2312"/>
          <w:color w:val="000000"/>
          <w:sz w:val="28"/>
          <w:szCs w:val="21"/>
        </w:rPr>
        <w:t>评估+</w:t>
      </w:r>
      <w:r>
        <w:rPr>
          <w:rFonts w:hint="default" w:ascii="仿宋_GB2312" w:eastAsia="仿宋_GB2312"/>
          <w:color w:val="000000"/>
          <w:sz w:val="28"/>
          <w:szCs w:val="21"/>
        </w:rPr>
        <w:t>执法</w:t>
      </w:r>
      <w:r>
        <w:rPr>
          <w:rFonts w:ascii="仿宋_GB2312" w:eastAsia="仿宋_GB2312"/>
          <w:color w:val="000000"/>
          <w:sz w:val="28"/>
          <w:szCs w:val="21"/>
        </w:rPr>
        <w:t>+服务</w:t>
      </w:r>
      <w:r>
        <w:rPr>
          <w:rFonts w:hint="default" w:ascii="仿宋_GB2312" w:eastAsia="仿宋_GB2312"/>
          <w:color w:val="000000"/>
          <w:sz w:val="28"/>
          <w:szCs w:val="21"/>
        </w:rPr>
        <w:t>”、“企业负责人+安全管理人员</w:t>
      </w:r>
      <w:r>
        <w:rPr>
          <w:rFonts w:ascii="仿宋_GB2312" w:eastAsia="仿宋_GB2312"/>
          <w:color w:val="000000"/>
          <w:sz w:val="28"/>
          <w:szCs w:val="21"/>
        </w:rPr>
        <w:t>+</w:t>
      </w:r>
      <w:r>
        <w:rPr>
          <w:rFonts w:hint="default" w:ascii="仿宋_GB2312" w:eastAsia="仿宋_GB2312"/>
          <w:color w:val="000000"/>
          <w:sz w:val="28"/>
          <w:szCs w:val="21"/>
        </w:rPr>
        <w:t>岗位操作员工全过程参加执法检查”、“执法+专家”等执法模式，对企业进行“说理式执法”、“服务式执法”。全面推广应用“互联网+执法”系统，提升监管执法数字化、精细化、智慧化水平。依法依规严格执行安全生产严重违法失信行为惩戒制度。加强应急管理部门与公安、自然资源、生态环境、市场监管等部门的协作配合，互相通报行政许可、行政处罚、监督管理等信息，完善跨部门跨领域联合执法机制，增强执法合力。</w:t>
      </w:r>
    </w:p>
    <w:p w14:paraId="085211F4">
      <w:pPr>
        <w:pStyle w:val="14"/>
        <w:widowControl/>
        <w:numPr>
          <w:ilvl w:val="0"/>
          <w:numId w:val="2"/>
        </w:numPr>
        <w:shd w:val="clear" w:color="auto" w:fill="FFFFFF"/>
        <w:spacing w:beforeAutospacing="0" w:afterAutospacing="0" w:line="300" w:lineRule="atLeast"/>
        <w:ind w:firstLine="420"/>
        <w:jc w:val="both"/>
        <w:outlineLvl w:val="1"/>
        <w:rPr>
          <w:rFonts w:hint="default" w:ascii="黑体" w:hAnsi="黑体" w:eastAsia="黑体" w:cs="黑体"/>
          <w:color w:val="333333"/>
          <w:sz w:val="28"/>
          <w:szCs w:val="28"/>
          <w:shd w:val="clear" w:color="auto" w:fill="FFFFFF"/>
        </w:rPr>
      </w:pPr>
      <w:bookmarkStart w:id="24" w:name="_Toc7836_WPSOffice_Level2"/>
      <w:r>
        <w:rPr>
          <w:rFonts w:ascii="黑体" w:hAnsi="黑体" w:eastAsia="黑体" w:cs="黑体"/>
          <w:color w:val="333333"/>
          <w:sz w:val="28"/>
          <w:szCs w:val="28"/>
          <w:shd w:val="clear" w:color="auto" w:fill="FFFFFF"/>
        </w:rPr>
        <w:t>防范化解重大风险</w:t>
      </w:r>
      <w:bookmarkEnd w:id="24"/>
    </w:p>
    <w:p w14:paraId="346ED6A3">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1.健全完善安全生产责任体系</w:t>
      </w:r>
    </w:p>
    <w:p w14:paraId="141F6820">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强化属地领导责任。严格落实《地方党政领导干部安全生产责任制规定》《达拉特旗贯彻落实&lt;地方党政领导干部安全生产责任制规定&gt;工作方案》《旗委常委会班子成员安全生产责任清单》《政府党组班子成员安全生产责任清单》《全旗各有关部门和单位安全生产责任清单》，健全定期研究解决安全生产重大问题会议制度，落实领导干部带队督导检查安全生产工作制度，强化安全生产责任落实情况的监督考核，严格责任追究。</w:t>
      </w:r>
    </w:p>
    <w:p w14:paraId="47340BB5">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明确行业监管责任。各有关部门要按照“管行业必须管安全、管业务必须管安全、管生产经营必须管安全”的要求，把安全生产工作作为本行业领域管理的重要内容，依法依规履行安全监管责任，指导生产经营单位加强安全管理，深入推进行业安全生产专项整治行动，摸清重大风险底数，建立重大风险清单，制定风险管控措施，消除监管盲区。</w:t>
      </w:r>
    </w:p>
    <w:p w14:paraId="6E54B405">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落实企业主体责任。推动企业建立健全从法定代表人、实际控制人、主要负责人到一线岗位员工，覆盖所有管理和操作岗位的全员安全生产责任制。推动企业建立安全生产监督考核机制，落实各个岗位安全生产责任。推动企业深入开展安全生产标准化和信息化建设。推动企业构建安全风险分级管控和隐患排查治理双重预防机制，提高防控能力，防范化解重大风险。督促企业加大对安全生产资金、物资、技术、人员的投入保障力度，改善安全生产条件。推动危险化学品、矿山等重点行业领域企业依法依规设置安全生产管理机构，配备专职安全生产管理人员和注册安全工程师，推动国有企业和规模以上工业、交通运输、建筑施工等行业企业设立安全总监，增强安全生产专业保障能力。</w:t>
      </w:r>
    </w:p>
    <w:p w14:paraId="06FF6156">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2.提高风险监测预警水平</w:t>
      </w:r>
    </w:p>
    <w:p w14:paraId="15BCCCB1">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提升安全生产风险监测预警能力。推动重点监管企业、园区加强内部安全生产防护装置、处置装备、信息化系统的建设投入，对企业内部的工艺流程、安全生产工作实现信息化日常管理，加强政府监管部门与企业、园区数据对接。充分利用旗安全生产信息化平台，强化对已接入在线监控系统的重大危险源安全管控，完善危险化学品安全生产风险监测预警系统。加快推进危化品双重预防机制数字化系统建设，着力解决线下双重预防机制风险管控措施不落实、隐患排查不精准、全员参与不充分、整改情况难追溯等痛点难点问题。继续推进储存设施可燃气体和有毒气体泄漏检测报警装置、紧急切断装置、自动化控制系统的建设完善。推进矿山安全风险监控预警平台建设。开展城市地下基础设施信息及监测预警管理平台建设，满足城市道路塌陷事故隐患治理等安全管理工作需要。</w:t>
      </w:r>
    </w:p>
    <w:p w14:paraId="39CD57F9">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提升自然灾害风险监测预警能力。建设自然灾害综合风险预警监测系统。建立健全自然灾害分类监测和分级预警制度，畅通灾情信息报送渠道。充分利用物联网、工业互联网、遥感、视频识别、第五代移动通信（5G）等技术提高灾害事故监测感知能力，优化气象、地质灾害、地震、森林草原火灾、洪涝灾害等自然灾害监测站点布局。优化预警信息发布方式，拓展发布渠道和发布语种，提升发布覆盖率、精准度和时效性。推进跨部门、跨地域的灾害事故预警信息共享。</w:t>
      </w:r>
    </w:p>
    <w:p w14:paraId="25477D17">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加强气象监测预警能力。进一步完善和建立结构合理、布局适当、功能齐备的气象综合探测系统，更新、优化、完善现有的观测站网，为科学准确开展防汛救灾提供可靠数据支撑。加强对重大天气过程模式预报能力的检验，提高对数值预报模式的解释应用能力，提高延伸期预报水平和极端灾害天气概率预报能力。完善苏木镇精细化客观预报业务，健全苏木镇精细化预报服务体系，气象要素每6小时滚动预报。提升短时强降水、雷雨大风、冰雹等强对流天气监测预警能力，强对流天气预警提前量达到20分钟以上。健全暴雨致灾临界值指标，开展暴雨诱发城市内涝、山洪地质灾害以及中小河流洪水风险预警业务。增加实时信息、多要素和指数预报，充分利用电视、广播、电话、手机短信、互联网、报纸等多种现代传媒，为广大公众和社会各界提供高质量的气象信息。</w:t>
      </w:r>
    </w:p>
    <w:p w14:paraId="5BE8EDFF">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3.全面深化“双重预防体系”建设</w:t>
      </w:r>
    </w:p>
    <w:p w14:paraId="53CCD36E">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建立完善各行业领域企业安全风险评估制度，实行安全风险分级分类管理，加快重点行业领域安全风险监测预警系统建设，实施重大安全风险全生命周期管理。指导企业建立动态评估、调整风险等级和管控措施的机制，定期开展全方位、全过程的安全风险辨识评估，确定安全风险等级，建立重大安全风险清单，并按规定报告。推进安全发展示范城市建设，开展城市安全风险评估，建立完善重大安全风险数据库，采取有针对性的管控措施，落实差异化管理。</w:t>
      </w:r>
    </w:p>
    <w:p w14:paraId="57AA572C">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严格实施重大事故隐患挂牌督办，督促企业建立隐患自查自改评价制度，定期分析、评估隐患治理效果，不断完善隐患排查治理工作机制。建立完善隐患排查治理“一张网”信息化管理系统，做到隐患自查自改自报的闭环管理，实现隐患动态分析、全过程记录管理和评价。完善安全生产隐患举报奖励制度，畅通举报渠道，落实举报奖励，进一步加强社会监督、舆论监督和企业内部监督，督促企业严守承诺、依法运营。</w:t>
      </w:r>
    </w:p>
    <w:p w14:paraId="26A3730B">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4.加强重点行业领域安全整治</w:t>
      </w:r>
    </w:p>
    <w:p w14:paraId="12A97887">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严格落实国家、自治区、市工作要求，深入推进煤矿、危险化学品、非煤矿山、消防、道路运输、城市建设等重点行业领域安全整治，解决影响制约安全生产的薄弱环节和突出问题。</w:t>
      </w:r>
    </w:p>
    <w:p w14:paraId="004B0923">
      <w:pPr>
        <w:autoSpaceDE/>
        <w:autoSpaceDN/>
        <w:snapToGrid w:val="0"/>
        <w:spacing w:line="580" w:lineRule="exact"/>
        <w:ind w:firstLine="562" w:firstLineChars="200"/>
        <w:jc w:val="both"/>
        <w:rPr>
          <w:rFonts w:hint="default" w:ascii="仿宋_GB2312" w:eastAsia="仿宋_GB2312"/>
          <w:color w:val="000000"/>
          <w:sz w:val="28"/>
          <w:szCs w:val="21"/>
        </w:rPr>
      </w:pPr>
      <w:r>
        <w:rPr>
          <w:rFonts w:ascii="仿宋_GB2312" w:eastAsia="仿宋_GB2312"/>
          <w:b/>
          <w:bCs/>
          <w:color w:val="000000"/>
          <w:sz w:val="28"/>
          <w:szCs w:val="21"/>
        </w:rPr>
        <w:t>煤矿。</w:t>
      </w:r>
      <w:r>
        <w:rPr>
          <w:rFonts w:hint="default" w:ascii="仿宋_GB2312" w:eastAsia="仿宋_GB2312"/>
          <w:color w:val="000000"/>
          <w:sz w:val="28"/>
          <w:szCs w:val="21"/>
        </w:rPr>
        <w:t>严格执行环保、安全、质量、技术标准，引导60万吨/年以下煤矿以及水、火、瓦斯等重大灾害并存的老旧矿井有序退出，依法处置僵尸煤矿企业，提升产能利用水平。到2025年，煤矿数量</w:t>
      </w:r>
      <w:r>
        <w:rPr>
          <w:rFonts w:ascii="仿宋_GB2312" w:eastAsia="仿宋_GB2312"/>
          <w:color w:val="000000"/>
          <w:sz w:val="28"/>
          <w:szCs w:val="21"/>
        </w:rPr>
        <w:t>优化整</w:t>
      </w:r>
      <w:r>
        <w:rPr>
          <w:rFonts w:hint="default" w:ascii="仿宋_GB2312" w:eastAsia="仿宋_GB2312"/>
          <w:color w:val="000000"/>
          <w:sz w:val="28"/>
          <w:szCs w:val="21"/>
        </w:rPr>
        <w:t>合至23座。</w:t>
      </w:r>
      <w:r>
        <w:rPr>
          <w:rFonts w:ascii="仿宋_GB2312" w:eastAsia="仿宋_GB2312"/>
          <w:color w:val="000000"/>
          <w:sz w:val="28"/>
          <w:szCs w:val="21"/>
          <w:lang w:val="zh-TW"/>
        </w:rPr>
        <w:t>建立健全安全生产监管常态化工作机制，进一步强化“打非治违”工作，严厉查处煤矿“五假五超三瞒两不”非法违法生产建设行为，加强现场作业规程及问题隐患排查治理力度。积极推进煤矿安全生产标准化管理体系建设，按照“巩固一级、提升二级、促进三级”的整体要求，</w:t>
      </w:r>
      <w:r>
        <w:rPr>
          <w:rFonts w:hint="default" w:ascii="仿宋_GB2312" w:eastAsia="仿宋_GB2312"/>
          <w:color w:val="000000"/>
          <w:sz w:val="28"/>
          <w:szCs w:val="21"/>
        </w:rPr>
        <w:t>实施三级安全生产标准化煤矿提档升级</w:t>
      </w:r>
      <w:r>
        <w:rPr>
          <w:rFonts w:ascii="仿宋_GB2312" w:eastAsia="仿宋_GB2312"/>
          <w:color w:val="000000"/>
          <w:sz w:val="28"/>
          <w:szCs w:val="21"/>
          <w:lang w:val="zh-TW"/>
        </w:rPr>
        <w:t>。强化安全生产标准化动态监管，持续开展达标煤矿现场抽查，推动煤矿标准化动态达标。</w:t>
      </w:r>
      <w:r>
        <w:rPr>
          <w:rFonts w:ascii="仿宋_GB2312" w:eastAsia="仿宋_GB2312"/>
          <w:color w:val="000000"/>
          <w:sz w:val="28"/>
          <w:szCs w:val="21"/>
        </w:rPr>
        <w:t>加快煤矿智能化建设，积极推广利用煤矿智能开采新技术、新设备，引导煤炭企业探索智能化建设技术路径，科学制定智能化建设方案，重点推进高头密、点石沟、潮脑梁、宝利等煤矿智能化改造。鼓励井工煤矿建设智能工作面、露天煤矿发展无人驾驶，重点推动冲击地压、煤与瓦斯突出等灾害严重矿井开展智能化采掘和危险岗位机器人替代，煤矿安全生产水平明显提升，2025年基本建成智能煤矿。加快煤矿信息化建设，积极搭建“国有能源企业+煤矿+院士团队”的产学研用平台，加快冲击地压机理及防控技术、智能化综采装备关键技术等重大课题攻关研究及技术应用，进一步提高行业技术水平。加强“四化”建设。鼓励企业使用信息化手段提高生产、经营、管理水平，加快推进灾害严重矿井机械化、自动化、信息化、智能化建设，进一步实现矿井采掘智能化工作面落成和智能化装备更新换代。</w:t>
      </w:r>
    </w:p>
    <w:p w14:paraId="7D1AD099">
      <w:pPr>
        <w:autoSpaceDE/>
        <w:autoSpaceDN/>
        <w:snapToGrid w:val="0"/>
        <w:spacing w:line="580" w:lineRule="exact"/>
        <w:ind w:firstLine="562" w:firstLineChars="200"/>
        <w:jc w:val="both"/>
        <w:rPr>
          <w:rFonts w:hint="default" w:ascii="仿宋_GB2312" w:eastAsia="仿宋_GB2312"/>
          <w:color w:val="000000"/>
          <w:sz w:val="28"/>
          <w:szCs w:val="21"/>
        </w:rPr>
      </w:pPr>
      <w:r>
        <w:rPr>
          <w:rFonts w:ascii="仿宋_GB2312" w:eastAsia="仿宋_GB2312"/>
          <w:b/>
          <w:bCs/>
          <w:color w:val="000000"/>
          <w:sz w:val="28"/>
          <w:szCs w:val="21"/>
        </w:rPr>
        <w:t>化工及危险化学品。</w:t>
      </w:r>
      <w:r>
        <w:rPr>
          <w:rFonts w:ascii="仿宋_GB2312" w:eastAsia="仿宋_GB2312"/>
          <w:color w:val="000000"/>
          <w:sz w:val="28"/>
          <w:szCs w:val="21"/>
        </w:rPr>
        <w:t>严格落实危险化学品各环节安全监管责任，实施全主体、全品种、全链条安全监管。严格落实国家、自治区、市出台的新建化工项目准入条件和危险化学品“禁限控”目录，实施高安全风险项目“一票否决”制度，严禁已淘汰的落后产能进入旗。全面排查管控危险化学品生产储存企业外部安全防护距离，加快推进城镇人口密集区危险化学品生产企业搬迁改造。深入开展精细化工企业</w:t>
      </w:r>
      <w:r>
        <w:rPr>
          <w:rFonts w:hint="eastAsia" w:ascii="仿宋_GB2312" w:eastAsia="仿宋_GB2312"/>
          <w:color w:val="000000"/>
          <w:sz w:val="28"/>
          <w:szCs w:val="21"/>
        </w:rPr>
        <w:t>反映</w:t>
      </w:r>
      <w:r>
        <w:rPr>
          <w:rFonts w:ascii="仿宋_GB2312" w:eastAsia="仿宋_GB2312"/>
          <w:color w:val="000000"/>
          <w:sz w:val="28"/>
          <w:szCs w:val="21"/>
        </w:rPr>
        <w:t>安全风险评估，强化精细化工反应安全风险评估结果运用。进一步提升危险化学品企业自动化控制水平。加快推进“机械化换人、自动化减人、独栋厂房限人、二道门防人”工程，最大限度减少作业场所人数。推动传统工艺、设备等网络化、智能化、数字化改造，涉及“两重点一重大”的企业每2年至少开展一次HAZOP分析和SIL评估，并严格落实评估提出的各项安全措施。督促危险化学品生产企业进一步强化特殊作业的安全管理，积极推行特殊作业分片管理的模式。督促危险化学品企业进一步加强承包商的安全管理，承包商特殊作业和交叉作业必须纳入企业进行一体化管理。强化危险化学品信息化建设，推动市、旗、园区信息化平台兼容性建设，实现对园区内企业、重点场所、重大危险源、基础设施实时风险监控预警，构建市、旗、园区分级负责的重大危险源在线监测监控体系。</w:t>
      </w:r>
    </w:p>
    <w:p w14:paraId="33721BFD">
      <w:pPr>
        <w:autoSpaceDE/>
        <w:autoSpaceDN/>
        <w:snapToGrid w:val="0"/>
        <w:spacing w:line="580" w:lineRule="exact"/>
        <w:ind w:firstLine="562" w:firstLineChars="200"/>
        <w:jc w:val="both"/>
        <w:rPr>
          <w:rFonts w:hint="default" w:ascii="仿宋_GB2312" w:eastAsia="仿宋_GB2312"/>
          <w:color w:val="000000"/>
          <w:sz w:val="28"/>
          <w:szCs w:val="21"/>
        </w:rPr>
      </w:pPr>
      <w:r>
        <w:rPr>
          <w:rFonts w:ascii="仿宋_GB2312" w:eastAsia="仿宋_GB2312"/>
          <w:b/>
          <w:bCs/>
          <w:color w:val="000000"/>
          <w:sz w:val="28"/>
          <w:szCs w:val="21"/>
        </w:rPr>
        <w:t>非煤矿山。</w:t>
      </w:r>
      <w:r>
        <w:rPr>
          <w:rFonts w:ascii="仿宋_GB2312" w:eastAsia="仿宋_GB2312"/>
          <w:color w:val="000000"/>
          <w:sz w:val="28"/>
          <w:szCs w:val="21"/>
        </w:rPr>
        <w:t>进一步提高金属非金属矿山主要矿种最小开采规模和最低服务年限标准，切实提高非煤矿山规模化水平。尾矿库数量原则上不增加。严格控制新建独立选矿厂尾矿库，严禁新建“头顶库”、总坝高超过200米的尾矿库，严禁在距离河流、湖泊1公里范围内新（改、扩）建尾矿库。开展安全设施设计审查和小型非煤矿山备案管理工作。根据调查摸底情况，依法推动关闭不符合法定安全生产条件的非煤矿山。建立完善企业风险分级管控和隐患排查治理信息系统，并与应急管理部门信息平台联网。推动以机械化生产替换人工作业、以自动化控制减少人为操作，提高企业本质安全水平。大力推广无人操作等先进适用技术装备。健全完善边坡高度超过200米的金属非金属露天矿山、堆置高度200米以上的排土场在线监测系统。大力开展外包工程专项整治。督促矿山企业严格落实重大安全风险管控措施。严厉打击非煤矿山安全生产违法违规行为。</w:t>
      </w:r>
    </w:p>
    <w:p w14:paraId="419DCAFE">
      <w:pPr>
        <w:autoSpaceDE/>
        <w:autoSpaceDN/>
        <w:snapToGrid w:val="0"/>
        <w:spacing w:line="580" w:lineRule="exact"/>
        <w:ind w:firstLine="562" w:firstLineChars="200"/>
        <w:jc w:val="both"/>
        <w:rPr>
          <w:rFonts w:hint="default" w:ascii="仿宋_GB2312" w:eastAsia="仿宋_GB2312"/>
          <w:color w:val="000000"/>
          <w:sz w:val="28"/>
          <w:szCs w:val="21"/>
        </w:rPr>
      </w:pPr>
      <w:r>
        <w:rPr>
          <w:rFonts w:ascii="仿宋_GB2312" w:eastAsia="仿宋_GB2312"/>
          <w:b/>
          <w:bCs/>
          <w:color w:val="000000"/>
          <w:sz w:val="28"/>
          <w:szCs w:val="21"/>
        </w:rPr>
        <w:t>金属冶炼。</w:t>
      </w:r>
      <w:r>
        <w:rPr>
          <w:rFonts w:ascii="仿宋_GB2312" w:eastAsia="仿宋_GB2312"/>
          <w:color w:val="000000"/>
          <w:sz w:val="28"/>
          <w:szCs w:val="21"/>
        </w:rPr>
        <w:t>严格项目准入。严格落实建设项目安全设施“三同时”的监督管理规定。强化煤气作业场所、高温熔融金属、粉尘爆炸危险场所、危险化学品、危险作业、冶金企业较大危险因素和消防重点环节风险管控。划出三条红线，倒逼企业自觉承担安全生产主体责任。按照《工贸行业重大生产安全事故隐患判定标准》等要求，全面排查金属冶炼企业重大生产安全事故隐患。推动企业制定岗位作业标准化操作规范，督促企业加强对班组长的安全培训教育，强化对涉煤气、高温熔融金属、涉爆粉尘、有限空间、动火和外委施工等重点环节作业人员的专业技能培训和应急技能培训。深入推进企业安全生产标准化达标创建工作。到2022年底，全旗金属冶炼企业必须全部实现三级安全生产标准化达标建设并进行动态管理。</w:t>
      </w:r>
    </w:p>
    <w:p w14:paraId="7314FB9D">
      <w:pPr>
        <w:autoSpaceDE/>
        <w:autoSpaceDN/>
        <w:snapToGrid w:val="0"/>
        <w:spacing w:line="580" w:lineRule="exact"/>
        <w:ind w:firstLine="562" w:firstLineChars="200"/>
        <w:jc w:val="both"/>
        <w:rPr>
          <w:rFonts w:hint="default" w:ascii="仿宋_GB2312" w:eastAsia="仿宋_GB2312"/>
          <w:color w:val="000000"/>
          <w:sz w:val="28"/>
          <w:szCs w:val="21"/>
        </w:rPr>
      </w:pPr>
      <w:r>
        <w:rPr>
          <w:rFonts w:ascii="仿宋_GB2312" w:eastAsia="仿宋_GB2312"/>
          <w:b/>
          <w:bCs/>
          <w:color w:val="000000"/>
          <w:sz w:val="28"/>
          <w:szCs w:val="21"/>
        </w:rPr>
        <w:t>消防。</w:t>
      </w:r>
      <w:r>
        <w:rPr>
          <w:rFonts w:ascii="仿宋_GB2312" w:eastAsia="仿宋_GB2312"/>
          <w:color w:val="000000"/>
          <w:sz w:val="28"/>
          <w:szCs w:val="21"/>
        </w:rPr>
        <w:t>进一步完善应急救援联动及灾害事故分级预警机制，依托消防指挥调度系统，建设消防智能接处警、智能指挥系统平台、移动互联网消防服务平台。推动建立应急响应统筹协调机制，推进消防与大数据中心共享平台综合信息、视频监控平台对接。在重点行业系统推行消防安全标准化管理，每年开展达标示范创建，培树一批标杆单位。2025年，全面完成单位消防安全标准化建设，落实消防安全标准化管理措施，提高单位消防安全“四个能力”水平，严格落实人防、物防、技防等火灾防控措施，实现本质安全。提升社会火灾防控水平，强化火灾隐患源头管控。至2025年，消防设计、施工和消防产品生产、经销企业诚信度大幅提高，擅自降低消防安全标准设计、施工的违法行为基本杜绝，不合格消防产品市场占有率控制在5%以下。健全火灾隐患排查整治的长效机制，到2025年，涉及建筑防火性能、人员疏散逃生、建筑消防设施方面的火灾隐患存量普遍减少。大力推进网格区域管理和联防机制，在2021年50%的镇、乡、社区实现消防安全网格化管理的基础上，2022年、2023年、2024年、2025年网格化管理覆盖率分别达到70%、80%、90%、100%。在2021年全旗重点区域建有的区域联防组织达到30%的基础上，2022年达到50%，2023年达到70%，2024年达到90%，2025年达到100%。加强农村牧区、旅游区消防工作。全面提升灭火应急救援水平。加强宣传教育，增强全民消防安全意识，提高公众防范火灾、扑救初起火灾和疏散逃生能力。</w:t>
      </w:r>
    </w:p>
    <w:p w14:paraId="0B50694B">
      <w:pPr>
        <w:autoSpaceDE/>
        <w:autoSpaceDN/>
        <w:snapToGrid w:val="0"/>
        <w:spacing w:line="580" w:lineRule="exact"/>
        <w:ind w:firstLine="562" w:firstLineChars="200"/>
        <w:jc w:val="both"/>
        <w:rPr>
          <w:rFonts w:hint="default" w:ascii="仿宋_GB2312" w:eastAsia="仿宋_GB2312"/>
          <w:color w:val="000000"/>
          <w:sz w:val="28"/>
          <w:szCs w:val="21"/>
        </w:rPr>
      </w:pPr>
      <w:r>
        <w:rPr>
          <w:rFonts w:ascii="仿宋_GB2312" w:eastAsia="仿宋_GB2312"/>
          <w:b/>
          <w:bCs/>
          <w:color w:val="000000"/>
          <w:sz w:val="28"/>
          <w:szCs w:val="21"/>
        </w:rPr>
        <w:t>道路运输。</w:t>
      </w:r>
      <w:bookmarkStart w:id="25" w:name="_Toc78985676"/>
      <w:bookmarkStart w:id="26" w:name="_Toc78985507"/>
      <w:bookmarkStart w:id="27" w:name="_Toc78987878"/>
      <w:bookmarkStart w:id="28" w:name="_Toc66269266"/>
      <w:r>
        <w:rPr>
          <w:rFonts w:ascii="仿宋_GB2312" w:eastAsia="仿宋_GB2312"/>
          <w:color w:val="000000"/>
          <w:sz w:val="28"/>
          <w:szCs w:val="21"/>
        </w:rPr>
        <w:t>加快推进“四好农村路”建设</w:t>
      </w:r>
      <w:bookmarkEnd w:id="25"/>
      <w:bookmarkEnd w:id="26"/>
      <w:bookmarkEnd w:id="27"/>
      <w:bookmarkEnd w:id="28"/>
      <w:r>
        <w:rPr>
          <w:rFonts w:ascii="仿宋_GB2312" w:eastAsia="仿宋_GB2312"/>
          <w:color w:val="000000"/>
          <w:sz w:val="28"/>
          <w:szCs w:val="21"/>
        </w:rPr>
        <w:t>。加强农村牧区公路交通安全隐患治理，及时实施安全生命防护工程和危桥改造工程，配套建设必要桥梁，完善农村牧区公路交通标志、标线和指路标识。继续提升公路超限超载治理水平。加强部门联动和区域联动，实行路面执法与源头治理并重。统一货车超限超载认定标准，积极推广重点货源头执法人员巡查和派驻制度，建立相邻省份治超联动机制，坚决遏制货车超限超载违法运输。加快推进科技治超设施建设。提高科技治超能力水平，加快治超监控网络建设，逐步推广治超信息管理系统与公路不停车检测系统，完善路面监控网络，推动交通与相关部门治超信息交换与共享。加强交通建设项目安全管理，严格执行公路建设市场安全准入制度。加强农村牧区客货运输车辆的日常维护与安全监管。严格执行道路客运企业安全运输规定，加强对营运车辆的动态安全监管，建立健全与公安、安监的三方联合安全监管机制。加强危险货物运输安全管理，开展道路运输企业安全评估，加大安全检查力度，监督企业切实履行安全生产主体责任。开展隐患车辆专项整治。进一步提高“两客一危一货”等重点车辆检验率、报废率、违法处理率。到2022年基本消除货车非法改装、“大吨小标”等违法违规突出问题。开展常压液体危险货物罐车专项治理，稳步推进超长平板半挂车和超长集装箱半挂车治理。优化和规范公路应急处置流程，提升各种公路突发事件应急处置预案针对性和实用性。加快建立高速公路紧急救援系统和恶劣气候条件下安全行车保障系统。加强水上安全救助设施和队伍建设，提高救助能力。加强行业自身信息化建设。形成覆盖重要交通基础设施的感知监测体系，鼓励和支持智能公路建设，推动桥梁健康监测向特殊桥、危旧桥梁和重载交通比重大的桥梁延伸。推进标准化的电子政务体系。建设统一的交通信息化管理平台。</w:t>
      </w:r>
    </w:p>
    <w:p w14:paraId="5BC6B6DA">
      <w:pPr>
        <w:autoSpaceDE/>
        <w:autoSpaceDN/>
        <w:snapToGrid w:val="0"/>
        <w:spacing w:line="580" w:lineRule="exact"/>
        <w:ind w:firstLine="562" w:firstLineChars="200"/>
        <w:jc w:val="both"/>
        <w:rPr>
          <w:rFonts w:hint="default" w:ascii="仿宋_GB2312" w:eastAsia="仿宋_GB2312"/>
          <w:color w:val="000000"/>
          <w:sz w:val="28"/>
          <w:szCs w:val="21"/>
        </w:rPr>
      </w:pPr>
      <w:r>
        <w:rPr>
          <w:rFonts w:ascii="仿宋_GB2312" w:eastAsia="仿宋_GB2312"/>
          <w:b/>
          <w:bCs/>
          <w:color w:val="000000"/>
          <w:sz w:val="28"/>
          <w:szCs w:val="21"/>
        </w:rPr>
        <w:t>铁路运输。</w:t>
      </w:r>
      <w:r>
        <w:rPr>
          <w:rFonts w:ascii="仿宋_GB2312" w:eastAsia="仿宋_GB2312"/>
          <w:color w:val="000000"/>
          <w:sz w:val="28"/>
          <w:szCs w:val="21"/>
        </w:rPr>
        <w:t>加强铁路沿线环境排查整治。整治铁路沿线两侧不符合国家标准、行业标准规范规定的安全防护距离，建造、设立生产、加工、储存、销售易燃易爆和放射性等危险物品的场所、仓库等。加强铁路沿线地质灾害排查治理，摸清地质灾害分布情况和安全风险等级。深入推进平交道口和路外事故多发地段安全隐患排查整治，统筹安排计划，优先实施路外事故多发地段防护栅栏封闭，及时修复破损栅栏，完成运行速度120公里及以上线路全封闭。深入推进公跨铁桥梁、公铁并行地段防护设施排查整治。</w:t>
      </w:r>
    </w:p>
    <w:p w14:paraId="42D8212A">
      <w:pPr>
        <w:autoSpaceDE/>
        <w:autoSpaceDN/>
        <w:snapToGrid w:val="0"/>
        <w:spacing w:line="580" w:lineRule="exact"/>
        <w:ind w:firstLine="562" w:firstLineChars="200"/>
        <w:jc w:val="both"/>
        <w:rPr>
          <w:rFonts w:hint="default" w:ascii="仿宋_GB2312" w:eastAsia="仿宋_GB2312"/>
          <w:color w:val="000000"/>
          <w:sz w:val="28"/>
          <w:szCs w:val="21"/>
        </w:rPr>
      </w:pPr>
      <w:r>
        <w:rPr>
          <w:rFonts w:ascii="仿宋_GB2312" w:eastAsia="仿宋_GB2312"/>
          <w:b/>
          <w:bCs/>
          <w:color w:val="000000"/>
          <w:sz w:val="28"/>
          <w:szCs w:val="21"/>
        </w:rPr>
        <w:t>农牧渔业。</w:t>
      </w:r>
      <w:r>
        <w:rPr>
          <w:rFonts w:ascii="仿宋_GB2312" w:eastAsia="仿宋_GB2312"/>
          <w:color w:val="000000"/>
          <w:sz w:val="28"/>
          <w:szCs w:val="21"/>
        </w:rPr>
        <w:t>加强相关部门间紧密合作，开展常态化巡查，严防生产安全事故。深入开展农机安全生产隐患排查治理，严厉打击和查处拼装改装、超速超载等安全生产违法违规行为。加强沼气安全风险防范，规范沼气设施安全管理，严格落实人员进入沼气场所通风、检测、禁火等安全措施。强化温室大棚安全检查。加强农药、兽药管理。完善喷药机械储备库、农药储备库、草料储备库的建立。按照渔船属地管理原则，严格落实“一船一证”和船员持证上岗制度，严厉打击涉渔“三无”船舶，坚决杜绝渔船“带病”作业，压实船舶所有人第一责任人责任。加强渔船集中停泊点的基础设施建设，提升停泊点安全停泊避风能力，购置和完善消防、救援装备器材，并定期维护保养，确保渔船航行安全。加强专业装备配备，补充完善日常工作所需的检测设备、水上执法设备等装备器材。</w:t>
      </w:r>
    </w:p>
    <w:p w14:paraId="511F376D">
      <w:pPr>
        <w:autoSpaceDE/>
        <w:autoSpaceDN/>
        <w:snapToGrid w:val="0"/>
        <w:spacing w:line="580" w:lineRule="exact"/>
        <w:ind w:firstLine="562" w:firstLineChars="200"/>
        <w:jc w:val="both"/>
        <w:rPr>
          <w:rFonts w:hint="default" w:ascii="仿宋_GB2312" w:eastAsia="仿宋_GB2312"/>
          <w:color w:val="000000"/>
          <w:sz w:val="28"/>
          <w:szCs w:val="21"/>
        </w:rPr>
      </w:pPr>
      <w:r>
        <w:rPr>
          <w:rFonts w:ascii="仿宋_GB2312" w:eastAsia="仿宋_GB2312"/>
          <w:b/>
          <w:bCs/>
          <w:color w:val="000000"/>
          <w:sz w:val="28"/>
          <w:szCs w:val="21"/>
        </w:rPr>
        <w:t>城市建设。</w:t>
      </w:r>
      <w:r>
        <w:rPr>
          <w:rFonts w:ascii="仿宋_GB2312" w:eastAsia="仿宋_GB2312"/>
          <w:color w:val="000000"/>
          <w:sz w:val="28"/>
          <w:szCs w:val="21"/>
        </w:rPr>
        <w:t>深入开展建筑施工安全专项整治。严厉打击转包、违法分包、未批先建等违法违规行为。严格落实工程参建单位安全生产主体责任。聚焦建筑施工领域事故易发频发的重点部位，精准查摆施工项目起重设备管理、消防安全等薄弱环节，强化深基坑、高支模、起重机械设备等危大工程安全管控，加强高处坠落、物体打击、机械伤害等多发事故类型防范。做好自治区、市两级建筑施工安全标准化示范工地申报及评选工作，积极推广施工现场定型化、工具化、信息化。全面落实建筑施工安全生产责任保险全覆盖，加强工伤预防主体责任监督。严格按照设计用途规范使用房屋，全面排查利用原有建筑物改建改用为酒店、饭店、学校、体育馆等人员聚集场所安全隐患。加强农村住房建设和危房改造施工安全管理，强化农村住房安全监管。开展城市地下供排水管网及内涝隐患安全整治，搭建城市内涝监测预警平台。加快推进燃气老旧管网改造工程。完善公共场所紧急切断阀、燃气报警装置的安装。加强对城镇燃气企业的监督检查，建立完善安全信息化智能监测平台系统。以锅炉、压力容器、压力管道、电梯、起重机械、客运索道、大型游乐设施、场（厂）内专用机动车辆等特种设备为重点，强化学校、医院、车站、商场、公园、旅游景区、餐饮服务等公众聚集场所和危险化学品企业特种设备安全监管。对重点人员密集场所、安全风险较高的大型群众性集聚地点开展安全风险评估，建立大客流监测预警和应急管控处置机制。定期开展城市安全风险评估、应急能力评估，提升城市安全风险防控和应急救援能力。</w:t>
      </w:r>
    </w:p>
    <w:p w14:paraId="440A1900">
      <w:pPr>
        <w:autoSpaceDE/>
        <w:autoSpaceDN/>
        <w:snapToGrid w:val="0"/>
        <w:spacing w:line="580" w:lineRule="exact"/>
        <w:ind w:firstLine="562" w:firstLineChars="200"/>
        <w:jc w:val="both"/>
        <w:rPr>
          <w:rFonts w:hint="default" w:ascii="仿宋_GB2312" w:eastAsia="仿宋_GB2312"/>
          <w:color w:val="000000"/>
          <w:sz w:val="28"/>
          <w:szCs w:val="21"/>
        </w:rPr>
      </w:pPr>
      <w:r>
        <w:rPr>
          <w:rFonts w:ascii="仿宋_GB2312" w:eastAsia="仿宋_GB2312"/>
          <w:b/>
          <w:bCs/>
          <w:color w:val="000000"/>
          <w:sz w:val="28"/>
          <w:szCs w:val="21"/>
        </w:rPr>
        <w:t>工业园区等功能区。</w:t>
      </w:r>
      <w:r>
        <w:rPr>
          <w:rFonts w:ascii="仿宋_GB2312" w:eastAsia="仿宋_GB2312"/>
          <w:color w:val="000000"/>
          <w:sz w:val="28"/>
          <w:szCs w:val="21"/>
        </w:rPr>
        <w:t>统筹开发区空间布局，合理规范开发区企业布局。明确开发区项目准入条件，制定“禁限控”目录，严格建设项目安全条件审查，严防高风险项目转移，严禁承接其他地区关闭退出的落后产能。开展园区整体性安全风险评估，已建成投用的园区每3年至少组织开展一次园区整体性安全风险评估。全面完成化工园区安全风险评估分级，坚持“一园一策”原则，制定系统治理方案，落实风险管控措施，确保园区达到C级（一般安全风险）或D级（较低安全风险）。有序推进园区封闭化管理，建立完善门禁系统和视频监控系统。综合园区内公共设施、上下游产业链、应急救援等各环节，实施一体化管理。完善水、电、气、风、污水处理、公用管廊、道路交通、应急救援设施、消防设施、消防车通道等公用工程配套和安全保障设施。深化冶金有色等产业聚集区的安全管理，强化高温熔融金属、冶金煤气、深井铸造等重点领域执法检查，推动企业采取设备升级改造、自动化控制、联锁、机械防护和能量隔离等手段，提高本质安全水平。加强仓储物流园区的安全管理，开展危险化学品、涉氨制冷剂等易燃易爆、有毒有害物品储存仓库隐患排查治理，强化危险货物运输车辆及专用停车场、专用车道安全管理。加快安全监管信息化建设，推进智慧园区和智慧电厂建设。</w:t>
      </w:r>
    </w:p>
    <w:p w14:paraId="3785B7B8">
      <w:pPr>
        <w:autoSpaceDE/>
        <w:autoSpaceDN/>
        <w:snapToGrid w:val="0"/>
        <w:spacing w:line="580" w:lineRule="exact"/>
        <w:ind w:firstLine="562" w:firstLineChars="200"/>
        <w:jc w:val="both"/>
        <w:rPr>
          <w:rFonts w:hint="default" w:ascii="仿宋_GB2312" w:eastAsia="仿宋_GB2312"/>
          <w:color w:val="000000"/>
          <w:sz w:val="28"/>
          <w:szCs w:val="21"/>
        </w:rPr>
      </w:pPr>
      <w:r>
        <w:rPr>
          <w:rFonts w:ascii="仿宋_GB2312" w:eastAsia="仿宋_GB2312"/>
          <w:b/>
          <w:bCs/>
          <w:color w:val="000000"/>
          <w:sz w:val="28"/>
          <w:szCs w:val="21"/>
        </w:rPr>
        <w:t>危险废物。</w:t>
      </w:r>
      <w:r>
        <w:rPr>
          <w:rFonts w:ascii="仿宋_GB2312" w:eastAsia="仿宋_GB2312"/>
          <w:color w:val="000000"/>
          <w:sz w:val="28"/>
          <w:szCs w:val="21"/>
        </w:rPr>
        <w:t>强化危险废物全过程规范化管理。建立部门联动、区域协作、重大案件会商督办制度，形成覆盖危险废物产生、收集、贮存、转移、运输、利用、处置等全过程的安全和环境监管体系。督促危险废物产生单位通过自治区固体废物管理信息系统完成在线申报登记。全面推进危险废物管理计划电子化备案，重点行业危险废物产生单位和危险废物经营单位关键产排污节点、贮存和处理等环节安装视频监控设施，并逐步与管理部门监控平台联网，实施在线实时监管，实现危险废物从产生到利用处置全过程信息化监管。强化危险废物贮存、运输、利用、处置环节风险管控。制定完善危险废物重点监管单位清单，建立规范化的危险废物清单台账，严格分类分区贮存，按照国家有关标准对属性不明的固体废物进行鉴别，严格落实贮存安全防护措施。利用处置危险废物应该采取符合产业政策、环境保护标准和安全标准的技术、工艺和设备。进一步完善危险废物转移联单制度。调查危险废物处理处置需求和现有能力，开展危险废物产生、利用处置能力和设施运行情况评估，合理规划布局危险废物和企业自行利用设施的类型和分布点。</w:t>
      </w:r>
    </w:p>
    <w:p w14:paraId="0D12476A">
      <w:pPr>
        <w:pStyle w:val="14"/>
        <w:widowControl/>
        <w:shd w:val="clear" w:color="auto" w:fill="FFFFFF"/>
        <w:spacing w:beforeAutospacing="0" w:afterAutospacing="0" w:line="300" w:lineRule="atLeast"/>
        <w:ind w:firstLine="560" w:firstLineChars="200"/>
        <w:jc w:val="both"/>
        <w:outlineLvl w:val="2"/>
        <w:rPr>
          <w:rFonts w:hint="default" w:ascii="仿宋" w:hAnsi="仿宋" w:eastAsia="仿宋" w:cs="仿宋"/>
          <w:color w:val="000000"/>
          <w:sz w:val="28"/>
          <w:szCs w:val="28"/>
          <w:shd w:val="clear" w:color="auto" w:fill="FFFFFF"/>
        </w:rPr>
      </w:pPr>
      <w:r>
        <w:rPr>
          <w:rFonts w:ascii="仿宋_GB2312" w:eastAsia="仿宋_GB2312"/>
          <w:color w:val="000000"/>
          <w:sz w:val="28"/>
          <w:szCs w:val="21"/>
        </w:rPr>
        <w:t>5.加强自然灾害风险防治</w:t>
      </w:r>
    </w:p>
    <w:p w14:paraId="224C0CB6">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全力抓好</w:t>
      </w:r>
      <w:bookmarkStart w:id="29" w:name="_Hlk81146398"/>
      <w:r>
        <w:rPr>
          <w:rFonts w:ascii="仿宋_GB2312" w:eastAsia="仿宋_GB2312"/>
          <w:color w:val="000000"/>
          <w:sz w:val="28"/>
          <w:szCs w:val="21"/>
        </w:rPr>
        <w:t>自然灾害综合风险普查</w:t>
      </w:r>
      <w:bookmarkEnd w:id="29"/>
      <w:r>
        <w:rPr>
          <w:rFonts w:ascii="仿宋_GB2312" w:eastAsia="仿宋_GB2312"/>
          <w:color w:val="000000"/>
          <w:sz w:val="28"/>
          <w:szCs w:val="21"/>
        </w:rPr>
        <w:t>。贯彻落实全国自然灾害综合风险普查实施方案，开展地震灾害、地质灾害、气象灾害、水旱灾害、森林火灾等风险要素全面调查，摸清灾害风险底数、位置和范围，查明容灾抗灾能力，建立分类型、分区域的自然灾害综合风险与减灾能力数据库。加强地震、洪涝干旱、地质灾害、森林草原火灾等各类自然灾害风险分级分类评估，掌握重点区域灾害风险变化特点。运用综合风险区划和灾害综合防治区划，为有效开展自然灾害防治工作提供权威的灾害风险信息和科学决策依据。</w:t>
      </w:r>
    </w:p>
    <w:p w14:paraId="7F670AAD">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增强森林草原防火能力。加强远程监控、遥感、红外线等通信技术建设，充分发挥科技引领作用。加强重点区域森林草原防火公路、生土隔离带等防火基础设施建设，补充配备一批森林草原防灭火重型装备，提高森林草原防灭火能力。加强冬春季等特殊时期森林防火，全面加强护林员森林防火巡护检查宣传工作。做好高火险天气监测预警和值班值守，确保通讯畅通，科学调度，及时处置火情。</w:t>
      </w:r>
    </w:p>
    <w:p w14:paraId="3C4E7AEC">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构建防凌汛抗旱减灾体系。围绕除水害兴水利，以骨干防洪工程建设为重点，连通水系、优化调度，形成行洪安全与洪水资源化有机结合的防洪减灾格局。继续实施中小河流、病险水库水闸、淤地坝除险加固等骨干河道治理工程，完善蓄滞洪区建设，构建防洪工程体系。继续实施山洪灾害预警信息化平台和水土保持动态监测体系建设。</w:t>
      </w:r>
    </w:p>
    <w:p w14:paraId="2BE24585">
      <w:pPr>
        <w:pStyle w:val="14"/>
        <w:widowControl/>
        <w:shd w:val="clear" w:color="auto" w:fill="FFFFFF"/>
        <w:spacing w:beforeAutospacing="0" w:afterAutospacing="0" w:line="300" w:lineRule="atLeast"/>
        <w:ind w:firstLine="420"/>
        <w:jc w:val="both"/>
        <w:outlineLvl w:val="1"/>
        <w:rPr>
          <w:rFonts w:hint="default" w:ascii="黑体" w:hAnsi="黑体" w:eastAsia="黑体" w:cs="黑体"/>
          <w:color w:val="333333"/>
          <w:sz w:val="28"/>
          <w:szCs w:val="28"/>
          <w:shd w:val="clear" w:color="auto" w:fill="FFFFFF"/>
        </w:rPr>
      </w:pPr>
      <w:bookmarkStart w:id="30" w:name="_Toc6436_WPSOffice_Level2"/>
      <w:r>
        <w:rPr>
          <w:rFonts w:ascii="黑体" w:hAnsi="黑体" w:eastAsia="黑体" w:cs="黑体"/>
          <w:color w:val="333333"/>
          <w:sz w:val="28"/>
          <w:szCs w:val="28"/>
          <w:shd w:val="clear" w:color="auto" w:fill="FFFFFF"/>
        </w:rPr>
        <w:t>（三）加强应对能力建设</w:t>
      </w:r>
      <w:bookmarkEnd w:id="30"/>
    </w:p>
    <w:p w14:paraId="173BA15D">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1.完善应急预案管理体系</w:t>
      </w:r>
    </w:p>
    <w:p w14:paraId="2B7C8450">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建立健全应急预案管理体系，进一步规范应急预案的编制、评审、公布、备案、实施及监督管理工作。根据应急管理体制机制改革进程，修订完善政府总体应急预案、专项应急预案、部门应急预案，强化部门预案、企业预案与政府预案有效衔接，进一步提升应急预案的针对性和可操作性。推进应急预案数字化，提高应急预案质量。组织制定并实施应急演练计划，组织开展跨部门、跨区域综合应急演练，重点加强“双盲”演练和高风险地区、高危行业和基层组织的应急演练，强化应急演练评估。</w:t>
      </w:r>
    </w:p>
    <w:p w14:paraId="404F7A3A">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2.加强应急救援队伍建设</w:t>
      </w:r>
    </w:p>
    <w:p w14:paraId="445626F8">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按照“一专多能”“一队多用”原则，全面推进应急救援队伍建设。优化人员及应急救援队伍通用应急救援、应急通信、应急勘测、防汛抗洪抢险、个体防护等装备配备。加强训练与考核，提高救援处置能力。做好常态化理论知识、装备实操培训，切实提高应急救援人员的业务素质。加强基层应急救援队伍建设，整合苏木镇（街道）、嘎查村（社区）事业干部、警务人员、医务人员、专职消防、民兵、派出所协勤等应急力量，组建专（兼）职应急救援队伍。推动企业依法依规建设专兼职应急救援队伍。针对突发事件应对需要，组织或者依托有关单位，加强危险化学品、矿山、抗洪抢险、森林草原火灾扑救、地震和地质、建筑工程相关专业应急救援队伍建设。加强专业救援队伍、企业救援队伍及社会救援力量的战备训练，定期组织开展政企联合、社企联动、多部门协助等形式的应急演练，推进应急演练向实战化、常态化转变。加大消防救援和特种灾害事故专业队伍的发展建设，按照“全面覆盖、注重实效、标准适当、就近可及”的原则，大力发展专职消防队和志愿消防队。</w:t>
      </w:r>
    </w:p>
    <w:p w14:paraId="73435219">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3.强化应急物资保障</w:t>
      </w:r>
    </w:p>
    <w:p w14:paraId="1EE44C91">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建立健全应急救灾物资储备体系，完善政府储备，推动企业储备、社会储备，鼓励商业储备，实现政府储备和企业储备相互结合。加快综合应急救援基地建设，完善旗、苏木镇应急装备和物资储备库建设，加强安全生产应急救援专业装备配备，补充完善应对事故救援任务所需的救援车辆、抢险救援装备、监测设备、通信指挥设备、个人防护装备、后勤保障设备等装备器材。加强应急物资供应链相关配套政策体系建设，进一步拓宽保障渠道，提高应急生产能力和应急保障能力。根据城市人口分布和规模，加强应急避难场所规划、建设、使用与管理。</w:t>
      </w:r>
    </w:p>
    <w:p w14:paraId="45B46E9B">
      <w:pPr>
        <w:pStyle w:val="14"/>
        <w:widowControl/>
        <w:shd w:val="clear" w:color="auto" w:fill="FFFFFF"/>
        <w:spacing w:beforeAutospacing="0" w:afterAutospacing="0" w:line="300" w:lineRule="atLeast"/>
        <w:ind w:firstLine="560" w:firstLineChars="200"/>
        <w:jc w:val="both"/>
        <w:outlineLvl w:val="1"/>
        <w:rPr>
          <w:rFonts w:hint="default" w:ascii="黑体" w:hAnsi="黑体" w:eastAsia="黑体" w:cs="黑体"/>
          <w:color w:val="333333"/>
          <w:sz w:val="28"/>
          <w:szCs w:val="28"/>
          <w:shd w:val="clear" w:color="auto" w:fill="FFFFFF"/>
          <w:lang w:bidi="mn-Mong-CN"/>
        </w:rPr>
      </w:pPr>
      <w:bookmarkStart w:id="31" w:name="_Toc20272_WPSOffice_Level2"/>
      <w:r>
        <w:rPr>
          <w:rFonts w:ascii="黑体" w:hAnsi="黑体" w:eastAsia="黑体" w:cs="黑体"/>
          <w:color w:val="333333"/>
          <w:sz w:val="28"/>
          <w:szCs w:val="28"/>
          <w:shd w:val="clear" w:color="auto" w:fill="FFFFFF"/>
        </w:rPr>
        <w:t>（四）</w:t>
      </w:r>
      <w:bookmarkEnd w:id="31"/>
      <w:r>
        <w:rPr>
          <w:rFonts w:ascii="黑体" w:hAnsi="黑体" w:eastAsia="黑体" w:cs="黑体"/>
          <w:color w:val="333333"/>
          <w:sz w:val="28"/>
          <w:szCs w:val="28"/>
          <w:shd w:val="clear" w:color="auto" w:fill="FFFFFF"/>
          <w:lang w:bidi="mn-Mong-CN"/>
        </w:rPr>
        <w:t>提升科技支撑能力</w:t>
      </w:r>
    </w:p>
    <w:p w14:paraId="1D48F129">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1.强化人才队伍支撑</w:t>
      </w:r>
    </w:p>
    <w:p w14:paraId="6F3A7818">
      <w:pPr>
        <w:autoSpaceDE/>
        <w:autoSpaceDN/>
        <w:snapToGrid w:val="0"/>
        <w:spacing w:line="580" w:lineRule="exact"/>
        <w:ind w:firstLine="560" w:firstLineChars="200"/>
        <w:jc w:val="both"/>
        <w:rPr>
          <w:rFonts w:hint="default" w:ascii="仿宋_GB2312" w:eastAsia="仿宋_GB2312"/>
          <w:color w:val="000000"/>
          <w:sz w:val="28"/>
          <w:szCs w:val="21"/>
          <w:lang w:val="en-GB"/>
        </w:rPr>
      </w:pPr>
      <w:r>
        <w:rPr>
          <w:rFonts w:ascii="仿宋_GB2312" w:eastAsia="仿宋_GB2312"/>
          <w:color w:val="000000"/>
          <w:sz w:val="28"/>
          <w:szCs w:val="21"/>
        </w:rPr>
        <w:t>加强领导干部队伍建设。</w:t>
      </w:r>
      <w:r>
        <w:rPr>
          <w:rFonts w:ascii="仿宋_GB2312" w:eastAsia="仿宋_GB2312"/>
          <w:color w:val="000000"/>
          <w:sz w:val="28"/>
          <w:szCs w:val="21"/>
          <w:lang w:val="en-GB"/>
        </w:rPr>
        <w:t>加强应急管理宣传教育培训，</w:t>
      </w:r>
      <w:r>
        <w:rPr>
          <w:rFonts w:ascii="仿宋_GB2312" w:eastAsia="仿宋_GB2312"/>
          <w:color w:val="000000"/>
          <w:sz w:val="28"/>
          <w:szCs w:val="21"/>
        </w:rPr>
        <w:t>将应急管理纳入旗、苏木镇各级党政领导干部培训内容，提高党政领导干部的应急管理专业理论和指挥管理水平。建立定期培训和继续教育制度，</w:t>
      </w:r>
      <w:r>
        <w:rPr>
          <w:rFonts w:ascii="仿宋_GB2312" w:eastAsia="仿宋_GB2312"/>
          <w:color w:val="000000"/>
          <w:sz w:val="28"/>
          <w:szCs w:val="21"/>
          <w:lang w:val="en-GB"/>
        </w:rPr>
        <w:t>全面提升应急管理干部队伍政治素</w:t>
      </w:r>
      <w:r>
        <w:rPr>
          <w:rFonts w:ascii="仿宋_GB2312" w:eastAsia="仿宋_GB2312"/>
          <w:color w:val="000000"/>
          <w:sz w:val="28"/>
          <w:szCs w:val="21"/>
        </w:rPr>
        <w:t>养和业务能力。针对煤矿、化工、冶金工贸等应急管理专业人才不足的现状，通过公务员考录、公务员遴选、事业单位招聘考录和选调等方式，优先引进一批学历层次较高、专业对口、有相关企业和基层工作经验的应急管理人员。</w:t>
      </w:r>
      <w:r>
        <w:rPr>
          <w:rFonts w:ascii="仿宋_GB2312" w:eastAsia="仿宋_GB2312"/>
          <w:color w:val="000000"/>
          <w:sz w:val="28"/>
          <w:szCs w:val="21"/>
          <w:lang w:val="en-GB"/>
        </w:rPr>
        <w:t>推进应急管理系统干部交流，加强优秀年轻干部发现培养和选拔使用。</w:t>
      </w:r>
    </w:p>
    <w:p w14:paraId="6125F37F">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加强专业人才队伍建设。深入实施“人才强旗”战略，创新人才政策机制，深化人才发展体制机制改革，构建“一心多点”人才工作格局。建立应急管理专业人才目录清单，完善应急专业人才发现、培养、激励机制，构建多层次人才选拔培养体系。积极与科研机构、企业、院校开展协作，加强创新型人才和实用型应急管理专业人才培养。创新人才引进机制，精准规划应急人才引进范围及层次，充实高层次人才和实用型人才队伍。分层次、分类别、多渠道开展专业技能培训，鼓励从业人员参加在职教育、考取相关职业资格证书，补齐学历和专业知识短板，着力提升专业技术人员能力素质。实施高危行业领域从业人员安全技能提升行动，严格执行安全技能培训合格后上岗、特种作业人员持证上岗制度，积极培养企业安全生产复合型人才和岗位能手。</w:t>
      </w:r>
    </w:p>
    <w:p w14:paraId="1B79161D">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扩大专家队伍。</w:t>
      </w:r>
      <w:r>
        <w:rPr>
          <w:rFonts w:ascii="仿宋_GB2312" w:eastAsia="仿宋_GB2312"/>
          <w:color w:val="000000"/>
          <w:sz w:val="28"/>
          <w:szCs w:val="21"/>
          <w:lang w:val="en-GB"/>
        </w:rPr>
        <w:t>充实</w:t>
      </w:r>
      <w:r>
        <w:rPr>
          <w:rFonts w:ascii="仿宋_GB2312" w:eastAsia="仿宋_GB2312"/>
          <w:color w:val="000000"/>
          <w:sz w:val="28"/>
          <w:szCs w:val="21"/>
        </w:rPr>
        <w:t>煤矿、非煤矿山、危险化学品、冶金工贸</w:t>
      </w:r>
      <w:r>
        <w:rPr>
          <w:rFonts w:ascii="仿宋_GB2312" w:eastAsia="仿宋_GB2312"/>
          <w:color w:val="000000"/>
          <w:sz w:val="28"/>
          <w:szCs w:val="21"/>
          <w:lang w:val="en-GB"/>
        </w:rPr>
        <w:t>等各</w:t>
      </w:r>
      <w:r>
        <w:rPr>
          <w:rFonts w:ascii="仿宋_GB2312" w:eastAsia="仿宋_GB2312"/>
          <w:color w:val="000000"/>
          <w:sz w:val="28"/>
          <w:szCs w:val="21"/>
        </w:rPr>
        <w:t>领域人才</w:t>
      </w:r>
      <w:r>
        <w:rPr>
          <w:rFonts w:ascii="仿宋_GB2312" w:eastAsia="仿宋_GB2312"/>
          <w:color w:val="000000"/>
          <w:sz w:val="28"/>
          <w:szCs w:val="21"/>
          <w:lang w:val="en-GB"/>
        </w:rPr>
        <w:t>，试点推行“星期日工程师”模式，</w:t>
      </w:r>
      <w:r>
        <w:rPr>
          <w:rFonts w:ascii="仿宋_GB2312" w:eastAsia="仿宋_GB2312"/>
          <w:color w:val="000000"/>
          <w:sz w:val="28"/>
          <w:szCs w:val="21"/>
        </w:rPr>
        <w:t>夯实高端人才储备</w:t>
      </w:r>
      <w:r>
        <w:rPr>
          <w:rFonts w:ascii="仿宋_GB2312" w:eastAsia="仿宋_GB2312"/>
          <w:color w:val="000000"/>
          <w:sz w:val="28"/>
          <w:szCs w:val="21"/>
          <w:lang w:val="en-GB"/>
        </w:rPr>
        <w:t>。</w:t>
      </w:r>
      <w:r>
        <w:rPr>
          <w:rFonts w:ascii="仿宋_GB2312" w:eastAsia="仿宋_GB2312"/>
          <w:color w:val="000000"/>
          <w:sz w:val="28"/>
          <w:szCs w:val="21"/>
        </w:rPr>
        <w:t>建立完善聘请专家指导服务制度，进一步规范专家指导服务的机制，明确工作重点和工作方式，提高专家指导服务的实效性和针对性。建立应急管理专家库,分领域组建应急专家队伍，打造专家资源共享平台，</w:t>
      </w:r>
      <w:r>
        <w:rPr>
          <w:rFonts w:ascii="仿宋_GB2312" w:eastAsia="仿宋_GB2312"/>
          <w:color w:val="000000"/>
          <w:sz w:val="28"/>
          <w:szCs w:val="21"/>
          <w:lang w:val="en-GB"/>
        </w:rPr>
        <w:t>汇聚各方专业力量为应急管理提供智力支撑。</w:t>
      </w:r>
    </w:p>
    <w:p w14:paraId="60088B0C">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2.强化应急科技支撑</w:t>
      </w:r>
    </w:p>
    <w:p w14:paraId="737C497F">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广泛吸引各方力量共同参与应急管理信息化建设，集约建设信息基础设施和信息系统。强化数字技术在灾害事故应对中的运用，全面提升监测预警和应急处置能力。建设应急救援指挥中心，支撑开展信息接报、分析研判、联合会商和应急指挥救援等工作。实施数据汇聚治理及可视化建设工程，加强应急信息资源管理，推进信息共享共用，深化应急信息的分析和应用，提升应急智能预测预警和辅助决策水平。依托于自治区统一建设的应急指挥视频调度系统，开展本旗视频接入工作，充分发挥视频在安全生产、自然灾害等事故灾难发生过程中的实时性及直观性，提升灾害事故现场信息感知能力，对应急救援提供支撑保障。建设应急管理信息化专业技术支撑队伍，为各级开展应急管理信息化建设提供技术支撑、应急通信保障和日常运维保障服务。加强应急通信保障装备建设，配备关键通信装备，建立完善通信联动机制，固化形成适应各类灾害处置的应急通信保障模式。加快推动应急管理执法人员全面应用部建“互联网+执法”系统应用，实现全旗应急管理行政执法手段现代化。优化智慧应急建设，建设完善智慧应急平台，以数字化手段推进应急管理全方位、系统性、重塑性变革，提升应急管理工作的科学性、规范性和普适性。</w:t>
      </w:r>
    </w:p>
    <w:p w14:paraId="1F530EA9">
      <w:pPr>
        <w:pStyle w:val="4"/>
        <w:spacing w:before="120" w:after="120" w:line="560" w:lineRule="exact"/>
        <w:ind w:left="573"/>
        <w:rPr>
          <w:rFonts w:ascii="黑体" w:hAnsi="黑体" w:eastAsia="黑体" w:cs="黑体"/>
          <w:b w:val="0"/>
          <w:color w:val="333333"/>
          <w:sz w:val="28"/>
          <w:szCs w:val="28"/>
          <w:shd w:val="clear" w:color="auto" w:fill="FFFFFF"/>
        </w:rPr>
      </w:pPr>
      <w:bookmarkStart w:id="32" w:name="_Toc15446_WPSOffice_Level2"/>
      <w:r>
        <w:rPr>
          <w:rFonts w:hint="eastAsia" w:ascii="黑体" w:hAnsi="黑体" w:eastAsia="黑体" w:cs="黑体"/>
          <w:b w:val="0"/>
          <w:color w:val="333333"/>
          <w:sz w:val="28"/>
          <w:szCs w:val="28"/>
          <w:shd w:val="clear" w:color="auto" w:fill="FFFFFF"/>
        </w:rPr>
        <w:t>（五）</w:t>
      </w:r>
      <w:bookmarkEnd w:id="32"/>
      <w:r>
        <w:rPr>
          <w:rFonts w:hint="eastAsia" w:ascii="黑体" w:hAnsi="黑体" w:eastAsia="黑体" w:cs="黑体"/>
          <w:b w:val="0"/>
          <w:color w:val="333333"/>
          <w:sz w:val="28"/>
          <w:szCs w:val="28"/>
          <w:shd w:val="clear" w:color="auto" w:fill="FFFFFF"/>
        </w:rPr>
        <w:t>构建社会共建格局</w:t>
      </w:r>
    </w:p>
    <w:p w14:paraId="72F384AF">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1.提升基层治理能力</w:t>
      </w:r>
    </w:p>
    <w:p w14:paraId="6E139ED8">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以网格化管理为切入点，完善基层应急管理组织体系，加强人员力量配备，进一步厘清相关部门和镇街在重点领域和重点事项中的职责界限，强化协调配合，优化和完善基层治理体系。加强基层综合性应急救援队伍、应急物资储备库、微型消防站建设，推动设立社区、村应急服务站，培养发展基层应急管理信息员和安全生产社会监督员，建立“第一响应人”制度，每个嘎查村配备至少2名灾害信息员，打造专兼结合、一岗多能的灾害信息员队伍。建立常态化灾害信息员培训机制，健全灾害信息员激励机制。推进基层组织和单位建立完善相关应急预案，并采取实战演练、桌面推演等方式，定期开展应急预案演练。加强防灾减灾基础设施建设，提高基层防灾减灾能力。创建1个全国综合减灾示范社区。推动基层治理信息化建设，完善智慧社区综治云平台，探索设立“属地管理”专属板块，形成手机APP事件上报、平台流转分办、部门响应处理、网上考核评价信息化全链条工作模式。</w:t>
      </w:r>
    </w:p>
    <w:p w14:paraId="236BF9F4">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2.加强应急文化科普宣教</w:t>
      </w:r>
    </w:p>
    <w:p w14:paraId="4FABC747">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深入实施全民安全素养提升行动，深化推进安全宣传“五进”活动，利用全国防灾减灾日、安全生产月、全国消防日、国际减灾日、森林消防日等重要节点普及各类安全知识、防灾减灾知识和应急避险常识，着力提升全员安全理念、安全意识和自救互救能力。强化线上、线下应急宣传教育，丰富宣传教育载体，利用传统媒体、新媒体、虚拟社区、移动客户端等载体加强宣传教育，提升宣传覆盖面。有针对性组织存在重大安全风险部位周边居民开展紧急疏散、抢险救援等应急演练活动，提升应急避险能力。加快消防科普基地建设，推动将消防知识纳入学校教学课程。</w:t>
      </w:r>
    </w:p>
    <w:p w14:paraId="5562C400">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3.完善专业技术机构服务体系</w:t>
      </w:r>
    </w:p>
    <w:p w14:paraId="377AFCE6">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建立健全政府购买服务机制，完善技术服务机构管理办法，建立多方共同参与的社会技术服务体系，鼓励技术服务机构参与安全评价、安全风险评估、隐患排查、检测检验、教育培训等技术咨询服务。筛选一批专业化安全技术服务机构，支持做大做强，为企业提供高水平安全技术和管理服务；同时加强监督管理，严格执行技术服务机构评价结果公开和第三方评估制度，严肃查处租借资质、违法挂靠、弄虚作假等各类违法违规行为，确保规范运作，切实为企业提供有效技术支撑。引进高水平专业技术机构参与安全监管，鼓励企业自行聘请第三方机构开展隐患排查。</w:t>
      </w:r>
    </w:p>
    <w:p w14:paraId="567752CC">
      <w:pPr>
        <w:pStyle w:val="14"/>
        <w:widowControl/>
        <w:shd w:val="clear" w:color="auto" w:fill="FFFFFF"/>
        <w:spacing w:beforeAutospacing="0" w:afterAutospacing="0" w:line="300" w:lineRule="atLeast"/>
        <w:ind w:firstLine="560" w:firstLineChars="200"/>
        <w:jc w:val="both"/>
        <w:outlineLvl w:val="2"/>
        <w:rPr>
          <w:rFonts w:hint="default" w:ascii="仿宋_GB2312" w:eastAsia="仿宋_GB2312"/>
          <w:color w:val="000000"/>
          <w:sz w:val="28"/>
          <w:szCs w:val="21"/>
        </w:rPr>
      </w:pPr>
      <w:r>
        <w:rPr>
          <w:rFonts w:ascii="仿宋_GB2312" w:eastAsia="仿宋_GB2312"/>
          <w:color w:val="000000"/>
          <w:sz w:val="28"/>
          <w:szCs w:val="21"/>
        </w:rPr>
        <w:t>4.建立完善风险分担机制</w:t>
      </w:r>
    </w:p>
    <w:p w14:paraId="12087B1D">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深入推动落实《达拉特旗安全生产责任保险事故预防技术服务规范》，全面实施安全生产责任保险，加快建立保险机构、专业技术服务机构等广泛参与的安全生产社会化服务体系。建立完善安责险信息化管理平台，完成对承保安全生产责任保险的保险机构开展预防技术服务情况的在线监测，并制定实施第三方评估公示制度。鼓励为应急救援人员、执法人员购买人身意外伤害保险，加强救援和执法人员安全保障。</w:t>
      </w:r>
    </w:p>
    <w:p w14:paraId="042BF33C">
      <w:pPr>
        <w:pStyle w:val="3"/>
        <w:numPr>
          <w:ilvl w:val="0"/>
          <w:numId w:val="1"/>
        </w:numPr>
        <w:adjustRightInd/>
        <w:spacing w:line="560" w:lineRule="exact"/>
        <w:jc w:val="both"/>
        <w:rPr>
          <w:rFonts w:ascii="黑体" w:hAnsi="黑体" w:eastAsia="黑体"/>
          <w:color w:val="000000"/>
          <w:sz w:val="32"/>
          <w:szCs w:val="32"/>
        </w:rPr>
      </w:pPr>
      <w:bookmarkStart w:id="33" w:name="_Toc2180_WPSOffice_Level1"/>
      <w:r>
        <w:rPr>
          <w:rFonts w:hint="eastAsia" w:ascii="黑体" w:hAnsi="黑体" w:eastAsia="黑体"/>
          <w:color w:val="000000"/>
          <w:sz w:val="32"/>
          <w:szCs w:val="32"/>
        </w:rPr>
        <w:t>重点工程</w:t>
      </w:r>
      <w:bookmarkEnd w:id="33"/>
    </w:p>
    <w:p w14:paraId="2283A114">
      <w:pPr>
        <w:pStyle w:val="14"/>
        <w:widowControl/>
        <w:numPr>
          <w:ilvl w:val="0"/>
          <w:numId w:val="3"/>
        </w:numPr>
        <w:shd w:val="clear" w:color="auto" w:fill="FFFFFF"/>
        <w:spacing w:beforeAutospacing="0" w:afterAutospacing="0" w:line="300" w:lineRule="atLeast"/>
        <w:ind w:firstLine="560" w:firstLineChars="200"/>
        <w:jc w:val="both"/>
        <w:outlineLvl w:val="1"/>
        <w:rPr>
          <w:rFonts w:hint="default" w:ascii="黑体" w:hAnsi="黑体" w:eastAsia="黑体" w:cs="黑体"/>
          <w:color w:val="333333"/>
          <w:sz w:val="28"/>
          <w:szCs w:val="28"/>
          <w:shd w:val="clear" w:color="auto" w:fill="FFFFFF"/>
        </w:rPr>
      </w:pPr>
      <w:bookmarkStart w:id="34" w:name="_Toc1656_WPSOffice_Level2"/>
      <w:r>
        <w:rPr>
          <w:rFonts w:ascii="黑体" w:hAnsi="黑体" w:eastAsia="黑体" w:cs="黑体"/>
          <w:color w:val="333333"/>
          <w:sz w:val="28"/>
          <w:szCs w:val="28"/>
          <w:shd w:val="clear" w:color="auto" w:fill="FFFFFF"/>
        </w:rPr>
        <w:t>应急管理基础能力提升工程</w:t>
      </w:r>
      <w:bookmarkEnd w:id="34"/>
    </w:p>
    <w:p w14:paraId="07872108">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实施</w:t>
      </w:r>
      <w:r>
        <w:rPr>
          <w:rFonts w:hint="default" w:ascii="仿宋_GB2312" w:eastAsia="仿宋_GB2312"/>
          <w:color w:val="000000"/>
          <w:sz w:val="28"/>
          <w:szCs w:val="21"/>
        </w:rPr>
        <w:t>应急管理综合行政执法</w:t>
      </w:r>
      <w:r>
        <w:rPr>
          <w:rFonts w:ascii="仿宋_GB2312" w:eastAsia="仿宋_GB2312"/>
          <w:color w:val="000000"/>
          <w:sz w:val="28"/>
          <w:szCs w:val="21"/>
        </w:rPr>
        <w:t>能力提升工程，推进执法规范化建设，提高综合行政执法能力，提升监管执法效能。推进各行业领域安全生产风险监测预警系统建设，构建重大安全风险防控的全生命周期管理模式。</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A28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9BE5977">
            <w:pPr>
              <w:pStyle w:val="14"/>
              <w:widowControl/>
              <w:spacing w:beforeAutospacing="0" w:afterAutospacing="0" w:line="300" w:lineRule="atLeast"/>
              <w:jc w:val="both"/>
              <w:rPr>
                <w:rFonts w:hint="default" w:ascii="仿宋" w:hAnsi="仿宋" w:eastAsia="仿宋" w:cs="仿宋"/>
                <w:sz w:val="28"/>
                <w:szCs w:val="28"/>
                <w:shd w:val="clear" w:color="auto" w:fill="FFFFFF"/>
              </w:rPr>
            </w:pPr>
            <w:r>
              <w:rPr>
                <w:rFonts w:ascii="仿宋_GB2312" w:eastAsia="仿宋_GB2312"/>
                <w:b/>
                <w:bCs/>
                <w:color w:val="000000"/>
                <w:sz w:val="28"/>
                <w:szCs w:val="21"/>
              </w:rPr>
              <w:t>专栏2 应急管理能力提升工程</w:t>
            </w:r>
          </w:p>
        </w:tc>
      </w:tr>
      <w:tr w14:paraId="1235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47437C3">
            <w:pPr>
              <w:autoSpaceDE/>
              <w:autoSpaceDN/>
              <w:snapToGrid w:val="0"/>
              <w:spacing w:line="580" w:lineRule="exact"/>
              <w:jc w:val="both"/>
              <w:rPr>
                <w:rFonts w:hint="default" w:ascii="仿宋_GB2312" w:eastAsia="仿宋_GB2312"/>
                <w:color w:val="000000"/>
                <w:sz w:val="28"/>
                <w:szCs w:val="21"/>
              </w:rPr>
            </w:pPr>
            <w:r>
              <w:rPr>
                <w:rFonts w:ascii="仿宋_GB2312" w:eastAsia="仿宋_GB2312"/>
                <w:color w:val="000000"/>
                <w:sz w:val="28"/>
                <w:szCs w:val="21"/>
              </w:rPr>
              <w:t>1.</w:t>
            </w:r>
            <w:r>
              <w:rPr>
                <w:rFonts w:hint="default" w:ascii="仿宋_GB2312" w:eastAsia="仿宋_GB2312"/>
                <w:color w:val="000000"/>
                <w:sz w:val="28"/>
                <w:szCs w:val="21"/>
              </w:rPr>
              <w:t>应急管理综合行政执法</w:t>
            </w:r>
            <w:r>
              <w:rPr>
                <w:rFonts w:ascii="仿宋_GB2312" w:eastAsia="仿宋_GB2312"/>
                <w:color w:val="000000"/>
                <w:sz w:val="28"/>
                <w:szCs w:val="21"/>
              </w:rPr>
              <w:t>能力提升工程</w:t>
            </w:r>
          </w:p>
          <w:p w14:paraId="2754094F">
            <w:pPr>
              <w:pStyle w:val="13"/>
              <w:widowControl/>
              <w:jc w:val="both"/>
              <w:rPr>
                <w:rFonts w:hint="default" w:ascii="仿宋_GB2312" w:hAnsi="Times New Roman" w:eastAsia="仿宋_GB2312"/>
                <w:color w:val="000000"/>
                <w:sz w:val="28"/>
                <w:szCs w:val="21"/>
              </w:rPr>
            </w:pPr>
            <w:r>
              <w:rPr>
                <w:rFonts w:ascii="仿宋_GB2312" w:hAnsi="Times New Roman" w:eastAsia="仿宋_GB2312"/>
                <w:color w:val="000000"/>
                <w:sz w:val="28"/>
                <w:szCs w:val="21"/>
              </w:rPr>
              <w:t>建立执法人员入职培训、定期轮训和考核制度，按规定每年新进执法人员参加入职培训不少于3个月，在职执法人员每年参加不少于10天的复训。补充更新执法车辆，重点配备生产作业专业检测、环境检查、生产设备检查、执法过程管理、数据分析、5G多功能综合执法、事故调查取证处理等智能化专业装备，在特殊领域优先配备无人机、机器人等高科技执法装备。建设完善旗、苏木镇街道应急管理部门业务保障用房和特殊业务用房，补充更新办公设施，改善综合行政执法装备维护校验条件。</w:t>
            </w:r>
          </w:p>
          <w:p w14:paraId="3FE0A281">
            <w:pPr>
              <w:autoSpaceDE/>
              <w:autoSpaceDN/>
              <w:snapToGrid w:val="0"/>
              <w:spacing w:line="580" w:lineRule="exact"/>
              <w:jc w:val="both"/>
              <w:rPr>
                <w:rFonts w:hint="default" w:ascii="仿宋_GB2312" w:eastAsia="仿宋_GB2312"/>
                <w:color w:val="000000"/>
                <w:sz w:val="28"/>
                <w:szCs w:val="21"/>
              </w:rPr>
            </w:pPr>
            <w:r>
              <w:rPr>
                <w:rFonts w:ascii="仿宋_GB2312" w:eastAsia="仿宋_GB2312"/>
                <w:color w:val="000000"/>
                <w:sz w:val="28"/>
                <w:szCs w:val="21"/>
              </w:rPr>
              <w:t>2.安全生产风险监测预警系统建设工程</w:t>
            </w:r>
          </w:p>
          <w:p w14:paraId="5609A0AA">
            <w:pPr>
              <w:autoSpaceDE/>
              <w:autoSpaceDN/>
              <w:snapToGrid w:val="0"/>
              <w:spacing w:line="580" w:lineRule="exact"/>
              <w:jc w:val="both"/>
              <w:rPr>
                <w:rFonts w:hint="default" w:ascii="仿宋" w:hAnsi="仿宋" w:eastAsia="仿宋" w:cs="仿宋"/>
                <w:sz w:val="28"/>
                <w:szCs w:val="28"/>
                <w:shd w:val="clear" w:color="auto" w:fill="FFFFFF"/>
              </w:rPr>
            </w:pPr>
            <w:r>
              <w:rPr>
                <w:rFonts w:hint="default" w:ascii="仿宋_GB2312" w:eastAsia="仿宋_GB2312"/>
                <w:color w:val="000000"/>
                <w:sz w:val="28"/>
                <w:szCs w:val="21"/>
              </w:rPr>
              <w:t>完善现有信息化平台，建设危险化学品企业、矿山、冶金工贸等高危行业企业的危险源、高风险区域、高风险设施设备、重要工作点位、重要工作面等安全生产风险监测预警系统，推动完善道路交通、建筑施工、水利、民用爆炸物品、特种设备、农业机械等部门建设安全生产在线监测、预警信息系统，实现系统间的互联互通，提高事前预警、远程监控、风险监测监控能力。</w:t>
            </w:r>
          </w:p>
        </w:tc>
      </w:tr>
    </w:tbl>
    <w:p w14:paraId="080D8A00">
      <w:pPr>
        <w:pStyle w:val="14"/>
        <w:widowControl/>
        <w:spacing w:beforeAutospacing="0" w:afterAutospacing="0" w:line="240" w:lineRule="exact"/>
        <w:jc w:val="both"/>
        <w:rPr>
          <w:rFonts w:hint="default" w:ascii="仿宋" w:hAnsi="仿宋" w:eastAsia="仿宋" w:cs="仿宋"/>
          <w:sz w:val="28"/>
          <w:szCs w:val="28"/>
          <w:shd w:val="clear" w:color="auto" w:fill="FFFFFF"/>
        </w:rPr>
      </w:pPr>
    </w:p>
    <w:p w14:paraId="566AEB89">
      <w:pPr>
        <w:pStyle w:val="22"/>
        <w:ind w:firstLine="560" w:firstLineChars="200"/>
        <w:outlineLvl w:val="1"/>
        <w:rPr>
          <w:rFonts w:hint="default" w:ascii="黑体" w:hAnsi="黑体" w:eastAsia="黑体" w:cs="黑体"/>
          <w:shd w:val="clear" w:color="auto" w:fill="FFFFFF"/>
          <w:lang w:bidi="ar"/>
        </w:rPr>
      </w:pPr>
      <w:bookmarkStart w:id="35" w:name="_Toc32123_WPSOffice_Level2"/>
      <w:r>
        <w:rPr>
          <w:rFonts w:ascii="黑体" w:hAnsi="黑体" w:eastAsia="黑体" w:cs="黑体"/>
          <w:shd w:val="clear" w:color="auto" w:fill="FFFFFF"/>
          <w:lang w:bidi="ar"/>
        </w:rPr>
        <w:t>（二）重点行业领域整治提升工程</w:t>
      </w:r>
      <w:bookmarkEnd w:id="35"/>
    </w:p>
    <w:p w14:paraId="72694B04">
      <w:pPr>
        <w:autoSpaceDE/>
        <w:autoSpaceDN/>
        <w:snapToGrid w:val="0"/>
        <w:spacing w:line="58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深入开展危险化学品、矿山、消防安全、道路交通、城市建设、工业园区等功能区等重点行业领域安全生产专项治理，深化源头治理、系统治理和综合治理，完善责任链条、管理制度和工作机制，提升重点行业领域风险防控的精细化管理能效。</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76A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4D14E41">
            <w:pPr>
              <w:jc w:val="both"/>
              <w:rPr>
                <w:rFonts w:hint="default"/>
              </w:rPr>
            </w:pPr>
            <w:r>
              <w:rPr>
                <w:rFonts w:ascii="仿宋_GB2312" w:eastAsia="仿宋_GB2312"/>
                <w:b/>
                <w:bCs/>
                <w:color w:val="000000"/>
                <w:sz w:val="28"/>
                <w:szCs w:val="21"/>
              </w:rPr>
              <w:t xml:space="preserve">专栏3  重点行业领域整治工程   </w:t>
            </w:r>
          </w:p>
        </w:tc>
      </w:tr>
      <w:tr w14:paraId="2D72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B86F408">
            <w:pPr>
              <w:jc w:val="both"/>
              <w:rPr>
                <w:rFonts w:hint="default" w:ascii="仿宋_GB2312" w:eastAsia="仿宋_GB2312"/>
                <w:color w:val="000000"/>
                <w:sz w:val="28"/>
                <w:szCs w:val="21"/>
              </w:rPr>
            </w:pPr>
            <w:r>
              <w:rPr>
                <w:rFonts w:ascii="仿宋_GB2312" w:eastAsia="仿宋_GB2312"/>
                <w:color w:val="000000"/>
                <w:sz w:val="28"/>
                <w:szCs w:val="21"/>
              </w:rPr>
              <w:t>1.危险化学品</w:t>
            </w:r>
          </w:p>
          <w:p w14:paraId="43BD5E20">
            <w:pPr>
              <w:jc w:val="both"/>
              <w:rPr>
                <w:rFonts w:hint="default" w:ascii="仿宋_GB2312" w:eastAsia="仿宋_GB2312"/>
                <w:color w:val="000000"/>
                <w:sz w:val="28"/>
                <w:szCs w:val="21"/>
              </w:rPr>
            </w:pPr>
            <w:r>
              <w:rPr>
                <w:rFonts w:ascii="仿宋_GB2312" w:eastAsia="仿宋_GB2312"/>
                <w:color w:val="000000"/>
                <w:sz w:val="28"/>
                <w:szCs w:val="21"/>
              </w:rPr>
              <w:t>危险化学品企业双重预防机制数字化建设工程：按照先易后难、示范带动、分批推进的原则，选取安全管理基础好、信息化水平高的企业优先建设，重点突破，形成示范。同时结合“达拉特经济开发区智慧园区”建设整体布局开发双重预防机制模块（政府端）。</w:t>
            </w:r>
          </w:p>
          <w:p w14:paraId="4EB34CA3">
            <w:pPr>
              <w:jc w:val="both"/>
              <w:rPr>
                <w:rFonts w:hint="default" w:ascii="仿宋_GB2312" w:eastAsia="仿宋_GB2312"/>
                <w:color w:val="000000"/>
                <w:sz w:val="28"/>
                <w:szCs w:val="21"/>
              </w:rPr>
            </w:pPr>
            <w:r>
              <w:rPr>
                <w:rFonts w:ascii="仿宋_GB2312" w:eastAsia="仿宋_GB2312"/>
                <w:color w:val="000000"/>
                <w:sz w:val="28"/>
                <w:szCs w:val="21"/>
              </w:rPr>
              <w:t>2.煤矿</w:t>
            </w:r>
          </w:p>
          <w:p w14:paraId="757B47CB">
            <w:pPr>
              <w:jc w:val="both"/>
              <w:rPr>
                <w:rFonts w:hint="default" w:ascii="仿宋_GB2312" w:eastAsia="仿宋_GB2312"/>
                <w:color w:val="000000"/>
                <w:sz w:val="28"/>
                <w:szCs w:val="21"/>
              </w:rPr>
            </w:pPr>
            <w:r>
              <w:rPr>
                <w:rFonts w:ascii="仿宋_GB2312" w:eastAsia="仿宋_GB2312"/>
                <w:b/>
                <w:bCs/>
                <w:color w:val="000000"/>
                <w:sz w:val="28"/>
                <w:szCs w:val="21"/>
              </w:rPr>
              <w:t>智能化建设工程：</w:t>
            </w:r>
            <w:r>
              <w:rPr>
                <w:rFonts w:ascii="仿宋_GB2312" w:eastAsia="仿宋_GB2312"/>
                <w:color w:val="000000"/>
                <w:sz w:val="28"/>
                <w:szCs w:val="21"/>
              </w:rPr>
              <w:t>2021年底完成2座煤矿（宝利煤矿、高头窑煤矿）智能化建设，2022年底完成6座煤矿（红庆梁煤矿、苏家沟煤矿、</w:t>
            </w:r>
            <w:r>
              <w:rPr>
                <w:rFonts w:ascii="仿宋" w:hAnsi="仿宋" w:eastAsia="仿宋" w:cs="仿宋"/>
                <w:snapToGrid w:val="0"/>
                <w:color w:val="000000"/>
                <w:kern w:val="2"/>
                <w:sz w:val="28"/>
                <w:szCs w:val="28"/>
              </w:rPr>
              <w:t>潮</w:t>
            </w:r>
            <w:r>
              <w:rPr>
                <w:rFonts w:ascii="仿宋_GB2312" w:eastAsia="仿宋_GB2312"/>
                <w:color w:val="000000"/>
                <w:sz w:val="28"/>
                <w:szCs w:val="21"/>
              </w:rPr>
              <w:t>脑梁煤矿、黑塔沟瑞光煤矿、佳宁投资羊场煤矿、高山沟煤矿）智能化建设，2023年底所有正常生产煤矿全部实现智能化。其中井工煤矿至少建成1个智能化采煤工作面或掘进工作面，露天煤矿应用无人驾驶、无人值守、机器人智能巡检等技术，实现采、运、排的连续化、智能化作业。</w:t>
            </w:r>
          </w:p>
          <w:p w14:paraId="3CA92D46">
            <w:pPr>
              <w:jc w:val="both"/>
              <w:rPr>
                <w:rFonts w:hint="default" w:ascii="仿宋_GB2312" w:eastAsia="仿宋_GB2312"/>
                <w:color w:val="000000"/>
                <w:sz w:val="28"/>
                <w:szCs w:val="21"/>
              </w:rPr>
            </w:pPr>
            <w:r>
              <w:rPr>
                <w:rFonts w:ascii="仿宋_GB2312" w:eastAsia="仿宋_GB2312"/>
                <w:b/>
                <w:bCs/>
                <w:color w:val="000000"/>
                <w:sz w:val="28"/>
                <w:szCs w:val="21"/>
              </w:rPr>
              <w:t>煤矿采空区灾害综合治理工程：</w:t>
            </w:r>
            <w:r>
              <w:rPr>
                <w:rFonts w:ascii="仿宋_GB2312" w:eastAsia="仿宋_GB2312"/>
                <w:color w:val="000000"/>
                <w:sz w:val="28"/>
                <w:szCs w:val="21"/>
              </w:rPr>
              <w:t>推进煤矿采空区综合治理，降低安全风险。进一步强化风险管控，开展重大灾害辨识动态管理，深入推进瓦斯、水害、顶板、冲击地压等重大灾害超前治理。提升煤矿风险防范能力和安全生产水平。</w:t>
            </w:r>
          </w:p>
          <w:p w14:paraId="3EA3ECED">
            <w:pPr>
              <w:jc w:val="both"/>
              <w:rPr>
                <w:rFonts w:hint="default" w:ascii="仿宋_GB2312" w:eastAsia="仿宋_GB2312"/>
                <w:color w:val="000000"/>
                <w:sz w:val="28"/>
                <w:szCs w:val="21"/>
              </w:rPr>
            </w:pPr>
            <w:r>
              <w:rPr>
                <w:rFonts w:ascii="仿宋_GB2312" w:eastAsia="仿宋_GB2312"/>
                <w:b/>
                <w:bCs/>
                <w:color w:val="000000"/>
                <w:sz w:val="28"/>
                <w:szCs w:val="21"/>
              </w:rPr>
              <w:t>煤矿安全生产标准化动态达标提升工程：</w:t>
            </w:r>
            <w:r>
              <w:rPr>
                <w:rFonts w:ascii="仿宋_GB2312" w:eastAsia="仿宋_GB2312"/>
                <w:color w:val="000000"/>
                <w:sz w:val="28"/>
                <w:szCs w:val="21"/>
                <w:lang w:val="zh-TW"/>
              </w:rPr>
              <w:t>按照“巩固一级、提升二级、促进三级”的整体要求，以三级安全生产标准化煤矿提档升级为工作重点，到2022年底，一、二级安全生产标准化管理体系达标煤矿占比达到100%以上。</w:t>
            </w:r>
            <w:r>
              <w:rPr>
                <w:rFonts w:hint="default" w:ascii="仿宋_GB2312" w:eastAsia="仿宋_GB2312"/>
                <w:color w:val="000000"/>
                <w:sz w:val="28"/>
                <w:szCs w:val="21"/>
              </w:rPr>
              <w:t>强化安全生产标准化动态监管，</w:t>
            </w:r>
            <w:r>
              <w:rPr>
                <w:rFonts w:ascii="仿宋_GB2312" w:eastAsia="仿宋_GB2312"/>
                <w:color w:val="000000"/>
                <w:sz w:val="28"/>
                <w:szCs w:val="21"/>
                <w:lang w:val="zh-TW"/>
              </w:rPr>
              <w:t>持续开展达标煤矿现场抽查，</w:t>
            </w:r>
            <w:r>
              <w:rPr>
                <w:rFonts w:hint="default" w:ascii="仿宋_GB2312" w:eastAsia="仿宋_GB2312"/>
                <w:color w:val="000000"/>
                <w:sz w:val="28"/>
                <w:szCs w:val="21"/>
              </w:rPr>
              <w:t>推动煤矿标准化动态达标。</w:t>
            </w:r>
          </w:p>
          <w:p w14:paraId="30350CDC">
            <w:pPr>
              <w:jc w:val="both"/>
              <w:rPr>
                <w:rFonts w:hint="default" w:ascii="仿宋_GB2312" w:eastAsia="仿宋_GB2312"/>
                <w:color w:val="000000"/>
                <w:sz w:val="28"/>
                <w:szCs w:val="21"/>
              </w:rPr>
            </w:pPr>
            <w:r>
              <w:rPr>
                <w:rFonts w:ascii="仿宋_GB2312" w:eastAsia="仿宋_GB2312"/>
                <w:color w:val="000000"/>
                <w:sz w:val="28"/>
                <w:szCs w:val="21"/>
              </w:rPr>
              <w:t>3.消防安全</w:t>
            </w:r>
          </w:p>
          <w:p w14:paraId="6DF5D930">
            <w:pPr>
              <w:jc w:val="both"/>
              <w:rPr>
                <w:rFonts w:hint="default" w:ascii="仿宋_GB2312" w:eastAsia="仿宋_GB2312"/>
                <w:color w:val="000000"/>
                <w:sz w:val="28"/>
                <w:szCs w:val="21"/>
              </w:rPr>
            </w:pPr>
            <w:r>
              <w:rPr>
                <w:rFonts w:ascii="仿宋_GB2312" w:eastAsia="仿宋_GB2312"/>
                <w:b/>
                <w:bCs/>
                <w:color w:val="000000"/>
                <w:sz w:val="28"/>
                <w:szCs w:val="21"/>
              </w:rPr>
              <w:t>消防队站建设工程：</w:t>
            </w:r>
            <w:r>
              <w:rPr>
                <w:rFonts w:ascii="仿宋_GB2312" w:eastAsia="仿宋_GB2312"/>
                <w:color w:val="000000"/>
                <w:sz w:val="28"/>
                <w:szCs w:val="21"/>
              </w:rPr>
              <w:t>建设小型普通消防站2座（树林召镇、三晌梁工业园区）；乡镇专职（志愿）消防队8座，其中一级乡镇专职消防队2座（昭君镇、白泥井镇），二级乡镇专职消防队4座（展旦召苏木、王爱召镇、吉格斯太镇、中和西镇），乡镇志愿消防队2座（恩格贝镇、风水梁镇）。全力实现“规划科学、布局合理，城乡统筹，功能齐备”消防站建设格局。同时加强对功能不完善消防队站及危旧营房升级改造，满足火灾预防、灭火救援的需要。</w:t>
            </w:r>
          </w:p>
          <w:p w14:paraId="4846AE84">
            <w:pPr>
              <w:jc w:val="both"/>
              <w:rPr>
                <w:rFonts w:hint="default" w:ascii="仿宋_GB2312" w:eastAsia="仿宋_GB2312"/>
                <w:color w:val="000000"/>
                <w:sz w:val="28"/>
                <w:szCs w:val="21"/>
              </w:rPr>
            </w:pPr>
            <w:r>
              <w:rPr>
                <w:rFonts w:ascii="仿宋_GB2312" w:eastAsia="仿宋_GB2312"/>
                <w:b/>
                <w:bCs/>
                <w:color w:val="000000"/>
                <w:sz w:val="28"/>
                <w:szCs w:val="21"/>
              </w:rPr>
              <w:t>消防装备提升建设工程：</w:t>
            </w:r>
            <w:r>
              <w:rPr>
                <w:rFonts w:ascii="仿宋_GB2312" w:eastAsia="仿宋_GB2312"/>
                <w:color w:val="000000"/>
                <w:sz w:val="28"/>
                <w:szCs w:val="21"/>
              </w:rPr>
              <w:t>进一步提高防护装备配备水平，加快个人防护装备更新换代；优化车辆结构，加快主战消防车升级换代；强化车辆装备针对性配备。提高侦检、破拆、堵漏、洗消、照明、排烟等器材装备的配备比例。至2025年，消防执勤中队按标准配齐消防车辆、抢险救援器材、个人防护装备、灭火器材、力量编成装备,新购车辆、装备质量性能全部达到新颁技术标准要求。统筹城乡消防发展，将苏木镇和中心村公共消防设施建设纳入乡村建设总体规划，与农村牧区、旅游区公共基础设施同步规划、同步建设。</w:t>
            </w:r>
          </w:p>
          <w:p w14:paraId="73694476">
            <w:pPr>
              <w:jc w:val="both"/>
              <w:rPr>
                <w:rFonts w:hint="default" w:ascii="仿宋_GB2312" w:eastAsia="仿宋_GB2312"/>
                <w:color w:val="000000"/>
                <w:sz w:val="28"/>
                <w:szCs w:val="21"/>
              </w:rPr>
            </w:pPr>
            <w:r>
              <w:rPr>
                <w:rFonts w:ascii="仿宋_GB2312" w:eastAsia="仿宋_GB2312"/>
                <w:b/>
                <w:bCs/>
                <w:color w:val="000000"/>
                <w:sz w:val="28"/>
                <w:szCs w:val="21"/>
              </w:rPr>
              <w:t>市政消防水源建设工程：</w:t>
            </w:r>
            <w:r>
              <w:rPr>
                <w:rFonts w:ascii="仿宋_GB2312" w:eastAsia="仿宋_GB2312"/>
                <w:color w:val="000000"/>
                <w:sz w:val="28"/>
                <w:szCs w:val="21"/>
              </w:rPr>
              <w:t>完善市政消火栓建设、管理、维护机制，加大市政消火栓、水鹤补建、改造力度。2025年底前，逐年新建市政消防水鹤共20座，并做好维护保养，确保市政消火栓、水鹤完整好用。无市政集中供水、市政给水系统为间歇供水或供水能力不足的区域，应依主要河道、湖泊、水库等天然水源设置消防取水点或建设消防水池等储水设施，满足消防用水需求。新建、改造的市政道路、建设工程，应按照国家标准设置消防车通道。按照辖区灾害事故特点，分级储备各类灭火药剂。</w:t>
            </w:r>
          </w:p>
          <w:p w14:paraId="31A67FA3">
            <w:pPr>
              <w:jc w:val="both"/>
              <w:rPr>
                <w:rFonts w:hint="default" w:ascii="仿宋_GB2312" w:eastAsia="仿宋_GB2312"/>
                <w:color w:val="000000"/>
                <w:sz w:val="28"/>
                <w:szCs w:val="21"/>
              </w:rPr>
            </w:pPr>
            <w:r>
              <w:rPr>
                <w:rFonts w:ascii="仿宋_GB2312" w:eastAsia="仿宋_GB2312"/>
                <w:b/>
                <w:bCs/>
                <w:color w:val="000000"/>
                <w:sz w:val="28"/>
                <w:szCs w:val="21"/>
              </w:rPr>
              <w:t>消防通道建设工程：</w:t>
            </w:r>
            <w:r>
              <w:rPr>
                <w:rFonts w:hint="default" w:ascii="仿宋_GB2312" w:eastAsia="仿宋_GB2312"/>
                <w:color w:val="000000"/>
                <w:sz w:val="28"/>
                <w:szCs w:val="21"/>
              </w:rPr>
              <w:t>①</w:t>
            </w:r>
            <w:r>
              <w:rPr>
                <w:rFonts w:ascii="仿宋_GB2312" w:eastAsia="仿宋_GB2312"/>
                <w:color w:val="000000"/>
                <w:sz w:val="28"/>
                <w:szCs w:val="21"/>
              </w:rPr>
              <w:t>在新建、改造的市政道路、建设工程，应按照国家标准设置消防车通道。</w:t>
            </w:r>
            <w:r>
              <w:rPr>
                <w:rFonts w:hint="default" w:ascii="仿宋_GB2312" w:eastAsia="仿宋_GB2312"/>
                <w:color w:val="000000"/>
                <w:sz w:val="28"/>
                <w:szCs w:val="21"/>
              </w:rPr>
              <w:t>②</w:t>
            </w:r>
            <w:r>
              <w:rPr>
                <w:rFonts w:ascii="仿宋_GB2312" w:eastAsia="仿宋_GB2312"/>
                <w:color w:val="000000"/>
                <w:sz w:val="28"/>
                <w:szCs w:val="21"/>
              </w:rPr>
              <w:t>规范商业建筑和公共建筑停车场使用，采取有效措施纠正违章占道行为，确保消防车通道畅通。</w:t>
            </w:r>
            <w:r>
              <w:rPr>
                <w:rFonts w:hint="default" w:ascii="仿宋_GB2312" w:eastAsia="仿宋_GB2312"/>
                <w:color w:val="000000"/>
                <w:sz w:val="28"/>
                <w:szCs w:val="21"/>
              </w:rPr>
              <w:t>③</w:t>
            </w:r>
            <w:r>
              <w:rPr>
                <w:rFonts w:ascii="仿宋_GB2312" w:eastAsia="仿宋_GB2312"/>
                <w:color w:val="000000"/>
                <w:sz w:val="28"/>
                <w:szCs w:val="21"/>
              </w:rPr>
              <w:t>加强居民住宅区消防车通道管理，对未建设汽车停车库的居民住宅区进行改造，合理增设停车场设施。④规划区内消防道路的宽度、高度应不小于4m×4m，街区尽头式消防车道应设回车道或面积不小于18m×18m的回车场。⑤拆除乡村道路限高杆或采取活动式限高杆，净高不小于4m。</w:t>
            </w:r>
          </w:p>
          <w:p w14:paraId="479D637D">
            <w:pPr>
              <w:jc w:val="both"/>
              <w:rPr>
                <w:rFonts w:hint="default" w:ascii="仿宋_GB2312" w:eastAsia="仿宋_GB2312"/>
                <w:color w:val="000000"/>
                <w:sz w:val="28"/>
                <w:szCs w:val="21"/>
              </w:rPr>
            </w:pPr>
            <w:r>
              <w:rPr>
                <w:rFonts w:ascii="仿宋_GB2312" w:eastAsia="仿宋_GB2312"/>
                <w:b/>
                <w:bCs/>
                <w:color w:val="000000"/>
                <w:sz w:val="28"/>
                <w:szCs w:val="21"/>
              </w:rPr>
              <w:t>作战指挥中心建设工程：</w:t>
            </w:r>
            <w:r>
              <w:rPr>
                <w:rFonts w:ascii="仿宋_GB2312" w:eastAsia="仿宋_GB2312"/>
                <w:color w:val="000000"/>
                <w:sz w:val="28"/>
                <w:szCs w:val="21"/>
              </w:rPr>
              <w:t>建立多部门与消防指挥中心系统智能化接入。通过对基础数据的深度整合及辅助平台的深度应用，实现扁平化、移动化、智能化指挥。立足火灾防控预警“自动化”、灭火救援指挥“智能化”、消防管理工作“信息化”的实际需要，到“十四五”期末，将作战指挥中心建成以灭火救援指挥系统为核心，以图像综合集成传输平台、车辆定位及智能导航平台、消防“大数据”及移动指挥中心为辅助的新型作战指挥平台。</w:t>
            </w:r>
          </w:p>
          <w:p w14:paraId="43A29E89">
            <w:pPr>
              <w:jc w:val="both"/>
              <w:rPr>
                <w:rFonts w:hint="default" w:ascii="仿宋_GB2312" w:eastAsia="仿宋_GB2312"/>
                <w:color w:val="000000"/>
                <w:sz w:val="28"/>
                <w:szCs w:val="21"/>
              </w:rPr>
            </w:pPr>
            <w:r>
              <w:rPr>
                <w:rFonts w:ascii="仿宋_GB2312" w:eastAsia="仿宋_GB2312"/>
                <w:b/>
                <w:bCs/>
                <w:color w:val="000000"/>
                <w:sz w:val="28"/>
                <w:szCs w:val="21"/>
              </w:rPr>
              <w:t>消防信息建设工程：</w:t>
            </w:r>
            <w:r>
              <w:rPr>
                <w:rFonts w:ascii="仿宋_GB2312" w:eastAsia="仿宋_GB2312"/>
                <w:color w:val="000000"/>
                <w:sz w:val="28"/>
                <w:szCs w:val="21"/>
              </w:rPr>
              <w:t>优化升级消防基础网络，实现消防指挥视频高清接入，实现高质量、超高速、大容量传输。购置卫星通信指挥车，建成移动指挥中心，并配齐配全新型单兵定位装置、便携式中继等设备以及无人飞行器、轻型卫星移动站、专网海事卫星图传设备、移动指挥终端、消防车车载图像采集终端等设备，全面实现战区协同作战区域全覆盖、无盲区、立体化的通信模式。利用消防 App智能终端实现多样化功能和海量信息数据共享。研发“消防云”、“大数据”、“互联网+消防”应用平台，建成消防装备物联网系统和容灾备份中心。利用物联网技术构建智能消防安全信息平台，实现智慧防控、智慧作战、智慧执法、智慧管理。</w:t>
            </w:r>
          </w:p>
          <w:p w14:paraId="41BCF26F">
            <w:pPr>
              <w:jc w:val="both"/>
              <w:rPr>
                <w:rFonts w:hint="default" w:ascii="仿宋_GB2312" w:eastAsia="仿宋_GB2312"/>
                <w:color w:val="000000"/>
                <w:sz w:val="28"/>
                <w:szCs w:val="21"/>
              </w:rPr>
            </w:pPr>
            <w:r>
              <w:rPr>
                <w:rFonts w:ascii="仿宋_GB2312" w:eastAsia="仿宋_GB2312"/>
                <w:b/>
                <w:bCs/>
                <w:color w:val="000000"/>
                <w:sz w:val="28"/>
                <w:szCs w:val="21"/>
              </w:rPr>
              <w:t>消防技防措施加强工程：</w:t>
            </w:r>
            <w:r>
              <w:rPr>
                <w:rFonts w:ascii="仿宋_GB2312" w:eastAsia="仿宋_GB2312"/>
                <w:color w:val="000000"/>
                <w:sz w:val="28"/>
                <w:szCs w:val="21"/>
              </w:rPr>
              <w:t>借助移动物联网技术，探索实行对自动消防设施的联网控制，前移消防安全监控和处置关口。结合智慧城市建设，开展控制模块和系统研发，并完成技术测试工作。完成城市灭火救援和地质性及洪涝灾害应急通信保障系统建设。至2023年，完成“智慧消防”、消防感知网络一期建设。加快独立式感烟火灾探测报警器和简易喷水灭火系统行业推广，并应用于养老院、福利院、残疾人服务机构、特困人员供养服务机构、幼儿园等老年人、残疾人和儿童建筑场所，鼓励其他人居建筑安装使用。至2025年，独立式感烟火灾探测报警器和简易喷水灭火系统的社会普及程度大幅提高，探索研发报警监控平台，实现全社会联网监控。</w:t>
            </w:r>
          </w:p>
          <w:p w14:paraId="5E487E2F">
            <w:pPr>
              <w:jc w:val="both"/>
              <w:rPr>
                <w:rFonts w:hint="default" w:ascii="仿宋_GB2312" w:eastAsia="仿宋_GB2312"/>
                <w:color w:val="000000"/>
                <w:sz w:val="28"/>
                <w:szCs w:val="21"/>
              </w:rPr>
            </w:pPr>
            <w:r>
              <w:rPr>
                <w:rFonts w:ascii="仿宋_GB2312" w:eastAsia="仿宋_GB2312"/>
                <w:b/>
                <w:bCs/>
                <w:color w:val="000000"/>
                <w:sz w:val="28"/>
                <w:szCs w:val="21"/>
              </w:rPr>
              <w:t>接入智慧消防大数据平台与卫星遥感火情监测平台工程：</w:t>
            </w:r>
            <w:r>
              <w:rPr>
                <w:rFonts w:hint="default" w:ascii="仿宋_GB2312" w:eastAsia="仿宋_GB2312"/>
                <w:color w:val="000000"/>
                <w:sz w:val="28"/>
                <w:szCs w:val="21"/>
              </w:rPr>
              <w:t>基于物联网核心技术，充分利用5G、大数据、人工智能、区块链等前沿科技，接入智慧消防大数据监控云平台，做到自动报警、巡警规划、隐患排查、风险评估、设备管理、人员管理、大数据分析；将消防基础数据信息化，可视化，统一汇聚至平台，将“人防、物防、技防”三结合应用于传统的消防管理和监督，达到事前预警、事中处理、事后分析的目的，实现防火灭火救援指挥的智能化。并通过电脑 web或手机 app，实现对消防工作的监督管理和动态监测，全面提升单位的消防安全管理水平和消防监督。</w:t>
            </w:r>
            <w:r>
              <w:rPr>
                <w:rFonts w:ascii="仿宋_GB2312" w:eastAsia="仿宋_GB2312"/>
                <w:color w:val="000000"/>
                <w:sz w:val="28"/>
                <w:szCs w:val="21"/>
              </w:rPr>
              <w:t>接入</w:t>
            </w:r>
            <w:r>
              <w:rPr>
                <w:rFonts w:hint="default" w:ascii="仿宋_GB2312" w:eastAsia="仿宋_GB2312"/>
                <w:color w:val="000000"/>
                <w:sz w:val="28"/>
                <w:szCs w:val="21"/>
              </w:rPr>
              <w:t>卫星遥感火情综合监测服务平台对农村牧区大面积草原覆盖区域</w:t>
            </w:r>
            <w:r>
              <w:rPr>
                <w:rFonts w:ascii="仿宋_GB2312" w:eastAsia="仿宋_GB2312"/>
                <w:color w:val="000000"/>
                <w:sz w:val="28"/>
                <w:szCs w:val="21"/>
              </w:rPr>
              <w:t>、</w:t>
            </w:r>
            <w:r>
              <w:rPr>
                <w:rFonts w:hint="default" w:ascii="仿宋_GB2312" w:eastAsia="仿宋_GB2312"/>
                <w:color w:val="000000"/>
                <w:sz w:val="28"/>
                <w:szCs w:val="21"/>
              </w:rPr>
              <w:t>边远地区和人烟稀少地区，进行无死角、全天候、连续实时监控，及早发现早期草原火灾，每10分钟一次上传数据，实现草原区域全覆盖连续监测，实现草原防火治理体系和治理能力现代化，全旗域火灾响应1小时内，农村牧区草原火灾受害率稳定控制在0.9‰以内。</w:t>
            </w:r>
          </w:p>
          <w:p w14:paraId="1612603F">
            <w:pPr>
              <w:jc w:val="both"/>
              <w:rPr>
                <w:rFonts w:hint="default" w:ascii="仿宋_GB2312" w:eastAsia="仿宋_GB2312"/>
                <w:color w:val="000000"/>
                <w:sz w:val="28"/>
                <w:szCs w:val="21"/>
              </w:rPr>
            </w:pPr>
            <w:r>
              <w:rPr>
                <w:rFonts w:ascii="仿宋_GB2312" w:eastAsia="仿宋_GB2312"/>
                <w:color w:val="000000"/>
                <w:sz w:val="28"/>
                <w:szCs w:val="21"/>
              </w:rPr>
              <w:t>4.道路交通</w:t>
            </w:r>
          </w:p>
          <w:p w14:paraId="65C47B31">
            <w:pPr>
              <w:jc w:val="both"/>
              <w:rPr>
                <w:rFonts w:hint="default" w:ascii="仿宋_GB2312" w:eastAsia="仿宋_GB2312"/>
                <w:color w:val="000000"/>
                <w:sz w:val="28"/>
                <w:szCs w:val="21"/>
              </w:rPr>
            </w:pPr>
            <w:r>
              <w:rPr>
                <w:rFonts w:ascii="仿宋_GB2312" w:eastAsia="仿宋_GB2312"/>
                <w:b/>
                <w:bCs/>
                <w:color w:val="000000"/>
                <w:sz w:val="28"/>
                <w:szCs w:val="21"/>
              </w:rPr>
              <w:t>农村公路生命安全防护建设工程：</w:t>
            </w:r>
            <w:r>
              <w:rPr>
                <w:rFonts w:hint="default" w:ascii="仿宋_GB2312" w:eastAsia="仿宋_GB2312"/>
                <w:color w:val="000000"/>
                <w:sz w:val="28"/>
                <w:szCs w:val="21"/>
              </w:rPr>
              <w:t>贯彻落实《交通运输部办公厅关于进一步强化农村牧区设施服务和安全保障能力的通知》要求，依据《公路安全生命防护工程实施技术指南(试行)》及行业有关标准规范，推进农村公路生命防护设施建设</w:t>
            </w:r>
            <w:r>
              <w:rPr>
                <w:rFonts w:ascii="仿宋_GB2312" w:eastAsia="仿宋_GB2312"/>
                <w:color w:val="000000"/>
                <w:sz w:val="28"/>
                <w:szCs w:val="21"/>
              </w:rPr>
              <w:t>。</w:t>
            </w:r>
          </w:p>
          <w:p w14:paraId="13CB0A2C">
            <w:pPr>
              <w:jc w:val="both"/>
              <w:rPr>
                <w:rFonts w:hint="default" w:ascii="仿宋_GB2312" w:eastAsia="仿宋_GB2312"/>
                <w:color w:val="000000"/>
                <w:sz w:val="28"/>
                <w:szCs w:val="21"/>
              </w:rPr>
            </w:pPr>
            <w:r>
              <w:rPr>
                <w:rFonts w:ascii="仿宋_GB2312" w:eastAsia="仿宋_GB2312"/>
                <w:b/>
                <w:bCs/>
                <w:color w:val="000000"/>
                <w:sz w:val="28"/>
                <w:szCs w:val="21"/>
              </w:rPr>
              <w:t>超限检测站建设工程：</w:t>
            </w:r>
            <w:r>
              <w:rPr>
                <w:rFonts w:ascii="仿宋_GB2312" w:eastAsia="仿宋_GB2312"/>
                <w:color w:val="000000"/>
                <w:sz w:val="28"/>
                <w:szCs w:val="21"/>
              </w:rPr>
              <w:t>加快建设治超监控网络，逐步推广治超信息管理系统与公路不停车检测系统，完善路面监控网络，推动交通与相关部门治超信息交换与共享，规划在风水梁镇和树林召镇建设德敖线超限站、德萨线超限站、绕城公路超限站共计3处超限检测站，建设内容包括超限站房建、设备及用地。</w:t>
            </w:r>
          </w:p>
          <w:p w14:paraId="289DE600">
            <w:pPr>
              <w:jc w:val="both"/>
              <w:rPr>
                <w:rFonts w:hint="default" w:ascii="仿宋_GB2312" w:eastAsia="仿宋_GB2312"/>
                <w:color w:val="000000"/>
                <w:sz w:val="28"/>
                <w:szCs w:val="21"/>
              </w:rPr>
            </w:pPr>
            <w:r>
              <w:rPr>
                <w:rFonts w:ascii="仿宋_GB2312" w:eastAsia="仿宋_GB2312"/>
                <w:color w:val="000000"/>
                <w:sz w:val="28"/>
                <w:szCs w:val="21"/>
              </w:rPr>
              <w:t>5.城市建设</w:t>
            </w:r>
          </w:p>
          <w:p w14:paraId="3CF5DEB0">
            <w:pPr>
              <w:jc w:val="both"/>
              <w:rPr>
                <w:rFonts w:hint="default" w:ascii="仿宋_GB2312" w:eastAsia="仿宋_GB2312"/>
                <w:color w:val="000000"/>
                <w:sz w:val="28"/>
                <w:szCs w:val="21"/>
              </w:rPr>
            </w:pPr>
            <w:r>
              <w:rPr>
                <w:rFonts w:ascii="仿宋_GB2312" w:eastAsia="仿宋_GB2312"/>
                <w:b/>
                <w:bCs/>
                <w:color w:val="000000"/>
                <w:sz w:val="28"/>
                <w:szCs w:val="21"/>
              </w:rPr>
              <w:t>人防建设工程：</w:t>
            </w:r>
            <w:r>
              <w:rPr>
                <w:rFonts w:ascii="仿宋_GB2312" w:eastAsia="仿宋_GB2312"/>
                <w:color w:val="000000"/>
                <w:sz w:val="28"/>
                <w:szCs w:val="21"/>
              </w:rPr>
              <w:t>（1）基础设施建设工程。（包括：人防地面应急指挥中心、机动指挥平台、人防应急疏散综合训练基地、人防宣传、疏散演练、专业队训练、设备维护和警报器）（2）气象公园人防自建工程。项目位于南园街以北，长胜路以东，紫悦府小区西侧。本工程为涉密工程，总建筑面积13639.5平方米。平时功能为地下停车库，车辆停放车位140个，自行车停放车位410个。战时为人防指挥所、一等人掩部、二等人掩部及物资库。计划2022年4月开工建设，2023年底完工。</w:t>
            </w:r>
          </w:p>
          <w:p w14:paraId="55BCF52B">
            <w:pPr>
              <w:jc w:val="both"/>
              <w:rPr>
                <w:rFonts w:hint="default" w:ascii="仿宋_GB2312" w:eastAsia="仿宋_GB2312"/>
                <w:color w:val="000000"/>
                <w:sz w:val="28"/>
                <w:szCs w:val="21"/>
              </w:rPr>
            </w:pPr>
            <w:r>
              <w:rPr>
                <w:rFonts w:ascii="仿宋_GB2312" w:eastAsia="仿宋_GB2312"/>
                <w:color w:val="000000"/>
                <w:sz w:val="28"/>
                <w:szCs w:val="21"/>
              </w:rPr>
              <w:t>6.工业园区等功能区</w:t>
            </w:r>
          </w:p>
          <w:p w14:paraId="7A6AA230">
            <w:pPr>
              <w:jc w:val="both"/>
              <w:rPr>
                <w:rFonts w:hint="default" w:ascii="仿宋_GB2312" w:eastAsia="仿宋_GB2312"/>
                <w:color w:val="000000"/>
                <w:sz w:val="28"/>
                <w:szCs w:val="21"/>
              </w:rPr>
            </w:pPr>
            <w:r>
              <w:rPr>
                <w:rFonts w:ascii="仿宋_GB2312" w:eastAsia="仿宋_GB2312"/>
                <w:b/>
                <w:bCs/>
                <w:color w:val="000000"/>
                <w:sz w:val="28"/>
                <w:szCs w:val="21"/>
              </w:rPr>
              <w:t>达拉特经济开发区智慧园区综合监管平台建设工程：</w:t>
            </w:r>
            <w:r>
              <w:rPr>
                <w:rFonts w:hint="default" w:ascii="仿宋_GB2312" w:eastAsia="仿宋_GB2312"/>
                <w:color w:val="000000"/>
                <w:sz w:val="28"/>
                <w:szCs w:val="21"/>
              </w:rPr>
              <w:t>利用信息</w:t>
            </w:r>
            <w:r>
              <w:rPr>
                <w:rFonts w:ascii="仿宋_GB2312" w:eastAsia="仿宋_GB2312"/>
                <w:color w:val="000000"/>
                <w:sz w:val="28"/>
                <w:szCs w:val="21"/>
              </w:rPr>
              <w:t>化</w:t>
            </w:r>
            <w:r>
              <w:rPr>
                <w:rFonts w:hint="default" w:ascii="仿宋_GB2312" w:eastAsia="仿宋_GB2312"/>
                <w:color w:val="000000"/>
                <w:sz w:val="28"/>
                <w:szCs w:val="21"/>
              </w:rPr>
              <w:t>手段收集分析安全生产相关信息</w:t>
            </w:r>
            <w:r>
              <w:rPr>
                <w:rFonts w:ascii="仿宋_GB2312" w:eastAsia="仿宋_GB2312"/>
                <w:color w:val="000000"/>
                <w:sz w:val="28"/>
                <w:szCs w:val="21"/>
              </w:rPr>
              <w:t>，</w:t>
            </w:r>
            <w:r>
              <w:rPr>
                <w:rFonts w:hint="default" w:ascii="仿宋_GB2312" w:eastAsia="仿宋_GB2312"/>
                <w:color w:val="000000"/>
                <w:sz w:val="28"/>
                <w:szCs w:val="21"/>
              </w:rPr>
              <w:t>指挥处置紧急情况，监控</w:t>
            </w:r>
            <w:r>
              <w:rPr>
                <w:rFonts w:ascii="仿宋_GB2312" w:eastAsia="仿宋_GB2312"/>
                <w:color w:val="000000"/>
                <w:sz w:val="28"/>
                <w:szCs w:val="21"/>
              </w:rPr>
              <w:t>风险点位</w:t>
            </w:r>
            <w:r>
              <w:rPr>
                <w:rFonts w:hint="default" w:ascii="仿宋_GB2312" w:eastAsia="仿宋_GB2312"/>
                <w:color w:val="000000"/>
                <w:sz w:val="28"/>
                <w:szCs w:val="21"/>
              </w:rPr>
              <w:t>，提高园区安全生产的预控能力、调控能力和指挥救援排险能力。</w:t>
            </w:r>
            <w:r>
              <w:rPr>
                <w:rFonts w:ascii="仿宋_GB2312" w:eastAsia="仿宋_GB2312"/>
                <w:color w:val="000000"/>
                <w:sz w:val="28"/>
                <w:szCs w:val="21"/>
              </w:rPr>
              <w:t>增配</w:t>
            </w:r>
            <w:r>
              <w:rPr>
                <w:rFonts w:hint="default" w:ascii="仿宋_GB2312" w:eastAsia="仿宋_GB2312"/>
                <w:color w:val="000000"/>
                <w:sz w:val="28"/>
                <w:szCs w:val="21"/>
              </w:rPr>
              <w:t>行政执法、移动执法终端，</w:t>
            </w:r>
            <w:r>
              <w:rPr>
                <w:rFonts w:ascii="仿宋_GB2312" w:eastAsia="仿宋_GB2312"/>
                <w:color w:val="000000"/>
                <w:sz w:val="28"/>
                <w:szCs w:val="21"/>
              </w:rPr>
              <w:t>建立完善</w:t>
            </w:r>
            <w:r>
              <w:rPr>
                <w:rFonts w:hint="default" w:ascii="仿宋_GB2312" w:eastAsia="仿宋_GB2312"/>
                <w:color w:val="000000"/>
                <w:sz w:val="28"/>
                <w:szCs w:val="21"/>
              </w:rPr>
              <w:t>隐患排查治理体系、</w:t>
            </w:r>
            <w:r>
              <w:rPr>
                <w:rFonts w:ascii="仿宋_GB2312" w:eastAsia="仿宋_GB2312"/>
                <w:color w:val="000000"/>
                <w:sz w:val="28"/>
                <w:szCs w:val="21"/>
              </w:rPr>
              <w:t>风险管控体系、</w:t>
            </w:r>
            <w:r>
              <w:rPr>
                <w:rFonts w:hint="default" w:ascii="仿宋_GB2312" w:eastAsia="仿宋_GB2312"/>
                <w:color w:val="000000"/>
                <w:sz w:val="28"/>
                <w:szCs w:val="21"/>
              </w:rPr>
              <w:t>职业健康、安全生产标准化、企业诚信管理、危险化学品登记管理等系统，提升研判功能，进一步健全安全生产预测预警和应急协调</w:t>
            </w:r>
            <w:r>
              <w:rPr>
                <w:rFonts w:ascii="仿宋_GB2312" w:eastAsia="仿宋_GB2312"/>
                <w:color w:val="000000"/>
                <w:sz w:val="28"/>
                <w:szCs w:val="21"/>
              </w:rPr>
              <w:t>联动机制，提升安监工作信息化水平。</w:t>
            </w:r>
          </w:p>
          <w:p w14:paraId="3A9D8428">
            <w:pPr>
              <w:jc w:val="both"/>
              <w:rPr>
                <w:rFonts w:hint="default" w:ascii="仿宋" w:hAnsi="仿宋" w:eastAsia="仿宋" w:cs="仿宋"/>
                <w:sz w:val="28"/>
                <w:szCs w:val="28"/>
              </w:rPr>
            </w:pPr>
            <w:r>
              <w:rPr>
                <w:rFonts w:ascii="仿宋_GB2312" w:eastAsia="仿宋_GB2312"/>
                <w:b/>
                <w:bCs/>
                <w:color w:val="000000"/>
                <w:sz w:val="28"/>
                <w:szCs w:val="21"/>
              </w:rPr>
              <w:t>化工园区封闭化管理建设工程：</w:t>
            </w:r>
            <w:r>
              <w:rPr>
                <w:rFonts w:hint="default" w:ascii="仿宋_GB2312" w:eastAsia="仿宋_GB2312"/>
                <w:color w:val="000000"/>
                <w:sz w:val="28"/>
                <w:szCs w:val="21"/>
              </w:rPr>
              <w:t>推进新型基础设施建设，贯彻落实《化工园区安全风险排查治理导则（试行）》要求，建设完善化工园区封闭化管理设备设施，实现出入车辆登记、危险化学品车辆关键环节监管，包括</w:t>
            </w:r>
            <w:r>
              <w:rPr>
                <w:rFonts w:ascii="仿宋_GB2312" w:eastAsia="仿宋_GB2312"/>
                <w:color w:val="000000"/>
                <w:sz w:val="28"/>
                <w:szCs w:val="21"/>
              </w:rPr>
              <w:t>车辆行驶</w:t>
            </w:r>
            <w:r>
              <w:rPr>
                <w:rFonts w:hint="default" w:ascii="仿宋_GB2312" w:eastAsia="仿宋_GB2312"/>
                <w:color w:val="000000"/>
                <w:sz w:val="28"/>
                <w:szCs w:val="21"/>
              </w:rPr>
              <w:t>路线、关键区域进入、违停等，部署封闭闸口及危险化学品运输车辆监控终端设备，各卡口车辆识别和人脸识别功能。</w:t>
            </w:r>
          </w:p>
        </w:tc>
      </w:tr>
    </w:tbl>
    <w:p w14:paraId="0733FDEA">
      <w:pPr>
        <w:pStyle w:val="14"/>
        <w:widowControl/>
        <w:shd w:val="clear" w:color="auto" w:fill="FFFFFF"/>
        <w:spacing w:beforeAutospacing="0" w:afterAutospacing="0" w:line="300" w:lineRule="atLeast"/>
        <w:ind w:firstLine="560" w:firstLineChars="200"/>
        <w:jc w:val="both"/>
        <w:outlineLvl w:val="1"/>
        <w:rPr>
          <w:rFonts w:hint="default" w:ascii="黑体" w:hAnsi="黑体" w:eastAsia="黑体" w:cs="黑体"/>
          <w:color w:val="333333"/>
          <w:sz w:val="28"/>
          <w:szCs w:val="28"/>
          <w:shd w:val="clear" w:color="auto" w:fill="FFFFFF"/>
        </w:rPr>
      </w:pPr>
      <w:bookmarkStart w:id="36" w:name="_Toc29955_WPSOffice_Level2"/>
      <w:bookmarkStart w:id="37" w:name="_Toc30453_WPSOffice_Level2"/>
      <w:r>
        <w:rPr>
          <w:rFonts w:ascii="黑体" w:hAnsi="黑体" w:eastAsia="黑体" w:cs="黑体"/>
          <w:color w:val="333333"/>
          <w:sz w:val="28"/>
          <w:szCs w:val="28"/>
          <w:shd w:val="clear" w:color="auto" w:fill="FFFFFF"/>
        </w:rPr>
        <w:t>（三）自然灾害风险防治提升工程</w:t>
      </w:r>
      <w:bookmarkEnd w:id="36"/>
    </w:p>
    <w:p w14:paraId="7814C5C4">
      <w:pPr>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全面推进自然灾害综合风险预警监测系统、气象灾害防御能力提升、防洪减灾水利提升、森林草原防火基础设施建设等工程建设，增强自然灾害监测预警能力，及时掌握辖区自然灾害情况，确保上下信息畅通，保障重特大灾害及时、主动、准确的报告与稳妥处置应急。</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9CF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5C0C5CB">
            <w:pPr>
              <w:pStyle w:val="14"/>
              <w:widowControl/>
              <w:shd w:val="clear" w:color="auto" w:fill="FFFFFF"/>
              <w:spacing w:beforeAutospacing="0" w:afterAutospacing="0" w:line="300" w:lineRule="atLeast"/>
              <w:jc w:val="both"/>
              <w:rPr>
                <w:rFonts w:hint="default" w:ascii="仿宋_GB2312" w:hAnsi="华文中宋" w:eastAsia="仿宋_GB2312"/>
                <w:kern w:val="2"/>
                <w:sz w:val="28"/>
                <w:szCs w:val="28"/>
              </w:rPr>
            </w:pPr>
            <w:r>
              <w:rPr>
                <w:rFonts w:ascii="仿宋_GB2312" w:eastAsia="仿宋_GB2312"/>
                <w:b/>
                <w:bCs/>
                <w:color w:val="000000"/>
                <w:sz w:val="28"/>
                <w:szCs w:val="21"/>
              </w:rPr>
              <w:t>专栏4  自然灾害风险防治提升工程</w:t>
            </w:r>
          </w:p>
        </w:tc>
      </w:tr>
      <w:tr w14:paraId="2A86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0ACF693">
            <w:pPr>
              <w:autoSpaceDE/>
              <w:autoSpaceDN/>
              <w:snapToGrid w:val="0"/>
              <w:spacing w:line="580" w:lineRule="exact"/>
              <w:jc w:val="both"/>
              <w:rPr>
                <w:rFonts w:hint="default" w:ascii="仿宋_GB2312" w:eastAsia="仿宋_GB2312"/>
                <w:color w:val="000000"/>
                <w:sz w:val="28"/>
                <w:szCs w:val="21"/>
              </w:rPr>
            </w:pPr>
            <w:r>
              <w:rPr>
                <w:rFonts w:ascii="仿宋_GB2312" w:eastAsia="仿宋_GB2312"/>
                <w:color w:val="000000"/>
                <w:sz w:val="28"/>
                <w:szCs w:val="21"/>
              </w:rPr>
              <w:t>1.自然灾害综合风险预警监测系统建设工程</w:t>
            </w:r>
          </w:p>
          <w:p w14:paraId="2C42776B">
            <w:pPr>
              <w:autoSpaceDE/>
              <w:autoSpaceDN/>
              <w:snapToGrid w:val="0"/>
              <w:spacing w:line="580" w:lineRule="exact"/>
              <w:jc w:val="both"/>
              <w:rPr>
                <w:rFonts w:hint="default" w:ascii="仿宋_GB2312" w:eastAsia="仿宋_GB2312"/>
                <w:color w:val="000000"/>
                <w:sz w:val="28"/>
                <w:szCs w:val="21"/>
              </w:rPr>
            </w:pPr>
            <w:r>
              <w:rPr>
                <w:rFonts w:ascii="仿宋_GB2312" w:eastAsia="仿宋_GB2312"/>
                <w:color w:val="000000"/>
                <w:sz w:val="28"/>
                <w:szCs w:val="21"/>
              </w:rPr>
              <w:t>完善现有信息化平台，建设旗自然灾害综合风险预警监测系统，实现森林草原火灾、水旱灾害、地震地质灾害以及多灾种、灾害链等风险信息的采集、储存、分析和共享交换，打造多灾种、全要素、分布式的自然灾害综合风险信息汇聚分析平台。建立自然灾害风险模拟推演系统，健全自然灾害预警预报系统，完善突发事件预警信息发布系统。</w:t>
            </w:r>
          </w:p>
          <w:p w14:paraId="5737DF37">
            <w:pPr>
              <w:autoSpaceDE/>
              <w:autoSpaceDN/>
              <w:snapToGrid w:val="0"/>
              <w:spacing w:line="580" w:lineRule="exact"/>
              <w:jc w:val="both"/>
              <w:rPr>
                <w:rFonts w:hint="default" w:ascii="仿宋_GB2312" w:eastAsia="仿宋_GB2312"/>
                <w:color w:val="000000"/>
                <w:sz w:val="28"/>
                <w:szCs w:val="21"/>
              </w:rPr>
            </w:pPr>
            <w:r>
              <w:rPr>
                <w:rFonts w:ascii="仿宋_GB2312" w:eastAsia="仿宋_GB2312"/>
                <w:color w:val="000000"/>
                <w:sz w:val="28"/>
                <w:szCs w:val="21"/>
              </w:rPr>
              <w:t>2.城市安全风险综合监测预警平台建设工程</w:t>
            </w:r>
          </w:p>
          <w:p w14:paraId="6F9CD971">
            <w:pPr>
              <w:autoSpaceDE/>
              <w:autoSpaceDN/>
              <w:snapToGrid w:val="0"/>
              <w:spacing w:line="580" w:lineRule="exact"/>
              <w:jc w:val="both"/>
              <w:rPr>
                <w:rFonts w:hint="default" w:ascii="仿宋_GB2312" w:eastAsia="仿宋_GB2312"/>
                <w:color w:val="000000"/>
                <w:sz w:val="28"/>
                <w:szCs w:val="21"/>
              </w:rPr>
            </w:pPr>
            <w:r>
              <w:rPr>
                <w:rFonts w:hint="default" w:ascii="仿宋_GB2312" w:eastAsia="仿宋_GB2312"/>
                <w:color w:val="000000"/>
                <w:sz w:val="28"/>
                <w:szCs w:val="21"/>
              </w:rPr>
              <w:t>汇聚整合住房和城乡建设、城市管理、交通运输等行业主管部门，以及燃气、供水公司等社会企业已建的城市安全风险感知系统，建设城市安全风险综合监测预警平台，接入防灾减灾、消防安全、“雪亮工程”等监测监控信息，提升城乡安全风险管控的智能化水平。</w:t>
            </w:r>
          </w:p>
          <w:p w14:paraId="71BF0511">
            <w:pPr>
              <w:jc w:val="both"/>
              <w:rPr>
                <w:rFonts w:hint="default" w:ascii="仿宋_GB2312" w:eastAsia="仿宋_GB2312"/>
                <w:color w:val="000000"/>
                <w:sz w:val="28"/>
                <w:szCs w:val="21"/>
              </w:rPr>
            </w:pPr>
            <w:r>
              <w:rPr>
                <w:rFonts w:ascii="仿宋_GB2312" w:eastAsia="仿宋_GB2312"/>
                <w:color w:val="000000"/>
                <w:sz w:val="28"/>
                <w:szCs w:val="21"/>
              </w:rPr>
              <w:t>3.城市内涝整治</w:t>
            </w:r>
          </w:p>
          <w:p w14:paraId="3488C842">
            <w:pPr>
              <w:jc w:val="both"/>
              <w:rPr>
                <w:rFonts w:hint="default" w:ascii="仿宋_GB2312" w:eastAsia="仿宋_GB2312"/>
                <w:color w:val="000000"/>
                <w:sz w:val="28"/>
                <w:szCs w:val="21"/>
              </w:rPr>
            </w:pPr>
            <w:r>
              <w:rPr>
                <w:rFonts w:ascii="仿宋_GB2312" w:eastAsia="仿宋_GB2312"/>
                <w:color w:val="000000"/>
                <w:sz w:val="28"/>
                <w:szCs w:val="21"/>
              </w:rPr>
              <w:t>依托城市生命线工程，推进老旧城区供水管网更新改造，完成城市内涝监测预警平台建设，将海绵城市建设理念落实到城市规划建设管理全过程，因地制宜推进雨污分流管网改造，修复破损和功能失效的排水防涝设施，提高雨水排放能力。</w:t>
            </w:r>
          </w:p>
          <w:p w14:paraId="06C25083">
            <w:pPr>
              <w:jc w:val="both"/>
              <w:rPr>
                <w:rFonts w:hint="default" w:ascii="仿宋_GB2312" w:eastAsia="仿宋_GB2312"/>
                <w:color w:val="000000"/>
                <w:sz w:val="28"/>
                <w:szCs w:val="21"/>
              </w:rPr>
            </w:pPr>
            <w:r>
              <w:rPr>
                <w:rFonts w:ascii="仿宋_GB2312" w:eastAsia="仿宋_GB2312"/>
                <w:b/>
                <w:bCs/>
                <w:color w:val="000000"/>
                <w:sz w:val="28"/>
                <w:szCs w:val="21"/>
              </w:rPr>
              <w:t>达拉特旗智慧城市内涝监测预警平台建设工程：</w:t>
            </w:r>
            <w:r>
              <w:rPr>
                <w:rFonts w:ascii="仿宋_GB2312" w:eastAsia="仿宋_GB2312"/>
                <w:color w:val="000000"/>
                <w:sz w:val="28"/>
                <w:szCs w:val="21"/>
              </w:rPr>
              <w:t>监测预警城市内涝情况，实时发布信息，掌握灾害数据，提高应对能力。平台建设内容包括：（1）充分利用现有资源，如公安局视频、住建局已建平台等数据。收集达拉特旗气象降水实况、降水预报、地形地貌、救灾物资、视频影像等数据形成基础数据库，并实现与鄂尔多斯市住建局平台对接、共享。（2）合理布设传感器，多方位采集易涝点积水实况，并传输数据到基础数据库。（3）利用人工智能算法，预测城市内涝易涝点积水变化趋势。（4）结合实际情况，将监测、预警数据实时通知值班人员。（5）结合应急救灾物资和积水实况预警等数据，给出最优物资运输路线。（6）城市内涝结束后形成总结数据。</w:t>
            </w:r>
          </w:p>
          <w:p w14:paraId="370C0C12">
            <w:pPr>
              <w:pStyle w:val="13"/>
              <w:widowControl/>
              <w:jc w:val="both"/>
              <w:rPr>
                <w:rFonts w:hint="default" w:ascii="仿宋_GB2312" w:hAnsi="Times New Roman" w:eastAsia="仿宋_GB2312"/>
                <w:color w:val="000000"/>
                <w:sz w:val="28"/>
                <w:szCs w:val="21"/>
              </w:rPr>
            </w:pPr>
            <w:r>
              <w:rPr>
                <w:rFonts w:ascii="仿宋_GB2312" w:hAnsi="Times New Roman" w:eastAsia="仿宋_GB2312"/>
                <w:b/>
                <w:bCs/>
                <w:color w:val="000000"/>
                <w:sz w:val="28"/>
                <w:szCs w:val="21"/>
              </w:rPr>
              <w:t>排水管网雨污分流改造工程：</w:t>
            </w:r>
            <w:r>
              <w:rPr>
                <w:rFonts w:ascii="仿宋_GB2312" w:hAnsi="Times New Roman" w:eastAsia="仿宋_GB2312"/>
                <w:color w:val="000000"/>
                <w:sz w:val="28"/>
                <w:szCs w:val="21"/>
              </w:rPr>
              <w:t>分批次对锡尼街道、金鹏路等中心城区19.1公里雨污合流管网进行改造。2023年完成11.5公里改造工程，2025年底完成剩余7.6公里改造工程。</w:t>
            </w:r>
          </w:p>
          <w:p w14:paraId="256B4728">
            <w:pPr>
              <w:pStyle w:val="13"/>
              <w:widowControl/>
              <w:jc w:val="both"/>
              <w:rPr>
                <w:rFonts w:hint="default" w:ascii="仿宋_GB2312" w:hAnsi="Times New Roman" w:eastAsia="仿宋_GB2312"/>
                <w:color w:val="000000"/>
                <w:sz w:val="28"/>
                <w:szCs w:val="21"/>
              </w:rPr>
            </w:pPr>
            <w:r>
              <w:rPr>
                <w:rFonts w:ascii="仿宋_GB2312" w:hAnsi="Times New Roman" w:eastAsia="仿宋_GB2312"/>
                <w:color w:val="000000"/>
                <w:sz w:val="28"/>
                <w:szCs w:val="21"/>
              </w:rPr>
              <w:t>4.气象灾害防御能力提升工程</w:t>
            </w:r>
          </w:p>
          <w:p w14:paraId="4180F9C8">
            <w:pPr>
              <w:pStyle w:val="13"/>
              <w:widowControl/>
              <w:jc w:val="both"/>
              <w:rPr>
                <w:rFonts w:hint="default" w:ascii="仿宋_GB2312" w:hAnsi="Times New Roman" w:eastAsia="仿宋_GB2312"/>
                <w:color w:val="000000"/>
                <w:sz w:val="28"/>
                <w:szCs w:val="21"/>
              </w:rPr>
            </w:pPr>
            <w:r>
              <w:rPr>
                <w:rFonts w:ascii="仿宋_GB2312" w:hAnsi="Times New Roman" w:eastAsia="仿宋_GB2312"/>
                <w:b/>
                <w:bCs/>
                <w:color w:val="000000"/>
                <w:sz w:val="28"/>
                <w:szCs w:val="21"/>
              </w:rPr>
              <w:t>监测精密能力提升工程：</w:t>
            </w:r>
            <w:r>
              <w:rPr>
                <w:rFonts w:ascii="仿宋_GB2312" w:hAnsi="Times New Roman" w:eastAsia="仿宋_GB2312"/>
                <w:color w:val="000000"/>
                <w:sz w:val="28"/>
                <w:szCs w:val="21"/>
              </w:rPr>
              <w:t>全面升级改造现有气象基层站网监测系统。解决技术落后、监测气象要素少、设备老化、备件停产、运行不稳定等问题。更新升级区域站主板，配备完善固态降水监测设备，从而提高主板运行质量、数据传输质量和天气监测、预报预警准确率，为旗气象灾害防御提供更加准确、及时的观测数据提供保障。</w:t>
            </w:r>
          </w:p>
          <w:p w14:paraId="2609D0FB">
            <w:pPr>
              <w:pStyle w:val="13"/>
              <w:widowControl/>
              <w:jc w:val="both"/>
              <w:rPr>
                <w:rFonts w:hint="default" w:ascii="仿宋_GB2312" w:hAnsi="Times New Roman" w:eastAsia="仿宋_GB2312"/>
                <w:color w:val="000000"/>
                <w:sz w:val="28"/>
                <w:szCs w:val="21"/>
              </w:rPr>
            </w:pPr>
            <w:r>
              <w:rPr>
                <w:rFonts w:ascii="仿宋_GB2312" w:hAnsi="Times New Roman" w:eastAsia="仿宋_GB2312"/>
                <w:b/>
                <w:bCs/>
                <w:color w:val="000000"/>
                <w:sz w:val="28"/>
                <w:szCs w:val="21"/>
              </w:rPr>
              <w:t>人工影响天气基地建设工程：</w:t>
            </w:r>
            <w:r>
              <w:rPr>
                <w:rFonts w:ascii="仿宋_GB2312" w:hAnsi="Times New Roman" w:eastAsia="仿宋_GB2312"/>
                <w:color w:val="000000"/>
                <w:sz w:val="28"/>
                <w:szCs w:val="21"/>
              </w:rPr>
              <w:t>结合国务院办公厅颁发的《关于推进人工影响天气工作高质量发展的意见》（国办发〔2020〕47号）要求，建设人工影响天气基地，集人影作业人员培训、人影弹药存储、火箭增雨防雹、人工影响天气业务科学研究为一体，解决防雹炮弹安全存储问题，提升人工影响天气工作水平。</w:t>
            </w:r>
          </w:p>
          <w:p w14:paraId="06713634">
            <w:pPr>
              <w:pStyle w:val="13"/>
              <w:widowControl/>
              <w:jc w:val="both"/>
              <w:rPr>
                <w:rFonts w:hint="default" w:ascii="仿宋_GB2312" w:hAnsi="Times New Roman" w:eastAsia="仿宋_GB2312"/>
                <w:color w:val="000000"/>
                <w:sz w:val="28"/>
                <w:szCs w:val="21"/>
              </w:rPr>
            </w:pPr>
            <w:r>
              <w:rPr>
                <w:rFonts w:ascii="仿宋_GB2312" w:hAnsi="Times New Roman" w:eastAsia="仿宋_GB2312"/>
                <w:b/>
                <w:bCs/>
                <w:color w:val="000000"/>
                <w:sz w:val="28"/>
                <w:szCs w:val="21"/>
              </w:rPr>
              <w:t>台站基础支撑能力提升工程：</w:t>
            </w:r>
            <w:r>
              <w:rPr>
                <w:rFonts w:ascii="仿宋_GB2312" w:hAnsi="Times New Roman" w:eastAsia="仿宋_GB2312"/>
                <w:color w:val="000000"/>
                <w:sz w:val="28"/>
                <w:szCs w:val="21"/>
              </w:rPr>
              <w:t>结合气象科普公园建设，对达拉特旗国家气象观测站基础设施进行改造提升，参照鄂尔多斯市其他旗区气象局站现状，在原址建设规模约2000㎡，并与气象科普公园相互融合的国家台站，满足气象现代化设备运行和业务人员24小时值班值守的业务需要。</w:t>
            </w:r>
          </w:p>
          <w:p w14:paraId="3BD6C41C">
            <w:pPr>
              <w:pStyle w:val="13"/>
              <w:widowControl/>
              <w:jc w:val="both"/>
              <w:rPr>
                <w:rFonts w:hint="default" w:ascii="仿宋_GB2312" w:hAnsi="Times New Roman" w:eastAsia="仿宋_GB2312"/>
                <w:color w:val="000000"/>
                <w:sz w:val="28"/>
                <w:szCs w:val="21"/>
              </w:rPr>
            </w:pPr>
            <w:r>
              <w:rPr>
                <w:rFonts w:ascii="仿宋_GB2312" w:hAnsi="Times New Roman" w:eastAsia="仿宋_GB2312"/>
                <w:color w:val="000000"/>
                <w:sz w:val="28"/>
                <w:szCs w:val="21"/>
              </w:rPr>
              <w:t>5.加密地震预警台站建设工程</w:t>
            </w:r>
          </w:p>
          <w:p w14:paraId="2753BC04">
            <w:pPr>
              <w:pStyle w:val="13"/>
              <w:widowControl/>
              <w:jc w:val="both"/>
              <w:rPr>
                <w:rFonts w:hint="default" w:ascii="仿宋_GB2312" w:hAnsi="Times New Roman" w:eastAsia="仿宋_GB2312"/>
                <w:color w:val="000000"/>
                <w:sz w:val="28"/>
                <w:szCs w:val="21"/>
              </w:rPr>
            </w:pPr>
            <w:r>
              <w:rPr>
                <w:rFonts w:ascii="仿宋_GB2312" w:hAnsi="Times New Roman" w:eastAsia="仿宋_GB2312"/>
                <w:color w:val="000000"/>
                <w:sz w:val="28"/>
                <w:szCs w:val="21"/>
              </w:rPr>
              <w:t>进一步加强与国家烈度速报和预警工程项目的对接，实时掌握影响本地区的地震应急信息，提高应急响应能力，完善应急体系，在全旗建设地震预警台站，为重点场所和人群提供预警信息，提升防震减灾能力。</w:t>
            </w:r>
          </w:p>
          <w:p w14:paraId="7C020910">
            <w:pPr>
              <w:pStyle w:val="13"/>
              <w:widowControl/>
              <w:jc w:val="both"/>
              <w:rPr>
                <w:rFonts w:hint="default" w:ascii="仿宋_GB2312" w:hAnsi="Times New Roman" w:eastAsia="仿宋_GB2312"/>
                <w:color w:val="000000"/>
                <w:sz w:val="28"/>
                <w:szCs w:val="21"/>
              </w:rPr>
            </w:pPr>
            <w:r>
              <w:rPr>
                <w:rFonts w:ascii="仿宋_GB2312" w:hAnsi="Times New Roman" w:eastAsia="仿宋_GB2312"/>
                <w:color w:val="000000"/>
                <w:sz w:val="28"/>
                <w:szCs w:val="21"/>
              </w:rPr>
              <w:t>6.防洪减灾水利提升工程</w:t>
            </w:r>
          </w:p>
          <w:p w14:paraId="3F10FC46">
            <w:pPr>
              <w:pStyle w:val="13"/>
              <w:widowControl/>
              <w:jc w:val="both"/>
              <w:rPr>
                <w:rFonts w:hint="default" w:ascii="仿宋_GB2312" w:hAnsi="Times New Roman" w:eastAsia="仿宋_GB2312"/>
                <w:color w:val="000000"/>
                <w:sz w:val="28"/>
                <w:szCs w:val="21"/>
              </w:rPr>
            </w:pPr>
            <w:r>
              <w:rPr>
                <w:rFonts w:ascii="仿宋_GB2312" w:hAnsi="Times New Roman" w:eastAsia="仿宋_GB2312"/>
                <w:b/>
                <w:bCs/>
                <w:color w:val="000000"/>
                <w:sz w:val="28"/>
                <w:szCs w:val="21"/>
              </w:rPr>
              <w:t>黄河达拉特旗段三期防洪工程：</w:t>
            </w:r>
            <w:r>
              <w:rPr>
                <w:rFonts w:ascii="仿宋_GB2312" w:hAnsi="Times New Roman" w:eastAsia="仿宋_GB2312"/>
                <w:color w:val="000000"/>
                <w:sz w:val="28"/>
                <w:szCs w:val="21"/>
              </w:rPr>
              <w:t>主要建设内容包括新建、加培堤防4.15公里，迎水侧填塘16公里，垂直防渗18公里，迎水侧格宾笼护坡108公里，蜂巢护坡150公里，植被护坡168公里，背水侧景观带142公里，干流堤顶路面新建、维修、加宽硬化137公里，抢险连通道路27.29公里，新建交通桥6座、4.08公里，维修堵复堵穿堤建筑物64座；新建续建河道整治工程28处57.6公里。</w:t>
            </w:r>
          </w:p>
          <w:p w14:paraId="40E3CD74">
            <w:pPr>
              <w:pStyle w:val="13"/>
              <w:widowControl/>
              <w:jc w:val="both"/>
              <w:rPr>
                <w:rFonts w:hint="default" w:ascii="仿宋_GB2312" w:hAnsi="Times New Roman" w:eastAsia="仿宋_GB2312"/>
                <w:color w:val="000000"/>
                <w:sz w:val="28"/>
                <w:szCs w:val="21"/>
              </w:rPr>
            </w:pPr>
            <w:r>
              <w:rPr>
                <w:rFonts w:ascii="仿宋_GB2312" w:hAnsi="Times New Roman" w:eastAsia="仿宋_GB2312"/>
                <w:b/>
                <w:bCs/>
                <w:color w:val="000000"/>
                <w:sz w:val="28"/>
                <w:szCs w:val="21"/>
              </w:rPr>
              <w:t>蓄滞洪区建设与空间整治工程：</w:t>
            </w:r>
            <w:r>
              <w:rPr>
                <w:rFonts w:ascii="仿宋_GB2312" w:hAnsi="Times New Roman" w:eastAsia="仿宋_GB2312"/>
                <w:color w:val="000000"/>
                <w:sz w:val="28"/>
                <w:szCs w:val="21"/>
              </w:rPr>
              <w:t>黄河内蒙古防凌应急分洪工程达拉特旗蒲圪卜分洪工程、达拉特旗昭君坟分洪工程建设内容包括：昭君坟蓄滞洪区，征地19.93平方公里，新建围堤14.82公里，加固黄河堤防4.34公里，新建分洪及退水闸1座、排水泵站1座、排水涵闸1座。蒲圪卜蓄滞洪区，征地13.77平方公里，新建围堤14.33公里，加固黄河堤防9.37公里，新建分洪闸1座、退水闸1座、排水泵站1座、排水涵闸6座。</w:t>
            </w:r>
          </w:p>
          <w:p w14:paraId="7860C115">
            <w:pPr>
              <w:pStyle w:val="13"/>
              <w:widowControl/>
              <w:jc w:val="both"/>
              <w:rPr>
                <w:rFonts w:hint="default" w:ascii="仿宋_GB2312" w:hAnsi="Times New Roman" w:eastAsia="仿宋_GB2312"/>
                <w:color w:val="000000"/>
                <w:sz w:val="28"/>
                <w:szCs w:val="21"/>
              </w:rPr>
            </w:pPr>
            <w:r>
              <w:rPr>
                <w:rFonts w:ascii="仿宋_GB2312" w:hAnsi="Times New Roman" w:eastAsia="仿宋_GB2312"/>
                <w:b/>
                <w:bCs/>
                <w:color w:val="000000"/>
                <w:sz w:val="28"/>
                <w:szCs w:val="21"/>
              </w:rPr>
              <w:t>黄河达拉特旗段滩区居民迁建工程：</w:t>
            </w:r>
            <w:r>
              <w:rPr>
                <w:rFonts w:ascii="仿宋_GB2312" w:hAnsi="Times New Roman" w:eastAsia="仿宋_GB2312"/>
                <w:color w:val="000000"/>
                <w:sz w:val="28"/>
                <w:szCs w:val="21"/>
              </w:rPr>
              <w:t>滩区居民迁建涉及王爱召镇胜泰村（田家圪旦全社）、黄牛营子村（永富社、三丑圪堵社）及杨家营子村（白庙子社），住户803户2108人，其中常住户381户747人，总耕地面积12000亩。</w:t>
            </w:r>
          </w:p>
          <w:p w14:paraId="181E90C7">
            <w:pPr>
              <w:pStyle w:val="13"/>
              <w:widowControl/>
              <w:jc w:val="both"/>
              <w:rPr>
                <w:rFonts w:hint="default" w:ascii="仿宋_GB2312" w:hAnsi="Times New Roman" w:eastAsia="仿宋_GB2312"/>
                <w:color w:val="000000"/>
                <w:sz w:val="28"/>
                <w:szCs w:val="21"/>
              </w:rPr>
            </w:pPr>
            <w:r>
              <w:rPr>
                <w:rFonts w:ascii="仿宋_GB2312" w:hAnsi="Times New Roman" w:eastAsia="仿宋_GB2312"/>
                <w:b/>
                <w:bCs/>
                <w:color w:val="000000"/>
                <w:sz w:val="28"/>
                <w:szCs w:val="21"/>
              </w:rPr>
              <w:t>山洪沟治理工程：</w:t>
            </w:r>
            <w:r>
              <w:rPr>
                <w:rFonts w:ascii="仿宋_GB2312" w:hAnsi="Times New Roman" w:eastAsia="仿宋_GB2312"/>
                <w:color w:val="000000"/>
                <w:sz w:val="28"/>
                <w:szCs w:val="21"/>
              </w:rPr>
              <w:t>实施山洪沟河道淤积清理、新建堤防、岸坡整治等，</w:t>
            </w:r>
          </w:p>
          <w:p w14:paraId="4A597C3B">
            <w:pPr>
              <w:pStyle w:val="13"/>
              <w:widowControl/>
              <w:jc w:val="both"/>
              <w:rPr>
                <w:rFonts w:hint="default" w:ascii="仿宋_GB2312" w:hAnsi="Times New Roman" w:eastAsia="仿宋_GB2312"/>
                <w:color w:val="000000"/>
                <w:sz w:val="28"/>
                <w:szCs w:val="21"/>
              </w:rPr>
            </w:pPr>
            <w:r>
              <w:rPr>
                <w:rFonts w:ascii="仿宋_GB2312" w:hAnsi="Times New Roman" w:eastAsia="仿宋_GB2312"/>
                <w:color w:val="000000"/>
                <w:sz w:val="28"/>
                <w:szCs w:val="21"/>
              </w:rPr>
              <w:t>畅通河道，提高山洪沟防洪标准。到2023年底，达拉特旗束几沟河道治理工程，实现护岸长度7.4公里，左岸4公里，右岸3.4公里，卜尔洞沟实现护岸长度10公里。</w:t>
            </w:r>
          </w:p>
          <w:p w14:paraId="5B4491A6">
            <w:pPr>
              <w:pStyle w:val="13"/>
              <w:widowControl/>
              <w:jc w:val="both"/>
              <w:rPr>
                <w:rFonts w:hint="default" w:ascii="仿宋_GB2312" w:hAnsi="Times New Roman" w:eastAsia="仿宋_GB2312"/>
                <w:color w:val="000000"/>
                <w:sz w:val="28"/>
                <w:szCs w:val="21"/>
              </w:rPr>
            </w:pPr>
            <w:r>
              <w:rPr>
                <w:rFonts w:ascii="仿宋_GB2312" w:hAnsi="Times New Roman" w:eastAsia="仿宋_GB2312"/>
                <w:b/>
                <w:bCs/>
                <w:color w:val="000000"/>
                <w:sz w:val="28"/>
                <w:szCs w:val="21"/>
              </w:rPr>
              <w:t>水库安全监测预警设施建设工程：</w:t>
            </w:r>
            <w:r>
              <w:rPr>
                <w:rFonts w:hint="default" w:ascii="仿宋_GB2312" w:hAnsi="Times New Roman" w:eastAsia="仿宋_GB2312"/>
                <w:color w:val="000000"/>
                <w:sz w:val="28"/>
                <w:szCs w:val="21"/>
              </w:rPr>
              <w:t>贯彻落实《国务院办公厅关于切实加强水库除险加固和运行管护工作的通知》要求，完善小型水库安全监测预警设施和水库雨水情监测预警设施，实现水库水位值、雨量值等详细信息的实时监测、智能分析、实时报警，保证信息的及时性、高效性，提高监测预警保障能力。</w:t>
            </w:r>
          </w:p>
          <w:p w14:paraId="2661B4BF">
            <w:pPr>
              <w:pStyle w:val="13"/>
              <w:widowControl/>
              <w:jc w:val="both"/>
              <w:rPr>
                <w:rFonts w:hint="default" w:ascii="仿宋_GB2312" w:hAnsi="Times New Roman" w:eastAsia="仿宋_GB2312"/>
                <w:color w:val="000000"/>
                <w:sz w:val="28"/>
                <w:szCs w:val="21"/>
              </w:rPr>
            </w:pPr>
            <w:r>
              <w:rPr>
                <w:rFonts w:ascii="仿宋_GB2312" w:hAnsi="Times New Roman" w:eastAsia="仿宋_GB2312"/>
                <w:color w:val="000000"/>
                <w:sz w:val="28"/>
                <w:szCs w:val="21"/>
              </w:rPr>
              <w:t>7.森林草原防火基础能力提升工程</w:t>
            </w:r>
          </w:p>
          <w:p w14:paraId="29AC3C64">
            <w:pPr>
              <w:pStyle w:val="13"/>
              <w:widowControl/>
              <w:jc w:val="both"/>
              <w:rPr>
                <w:rFonts w:hint="default" w:ascii="仿宋_GB2312" w:hAnsi="Times New Roman" w:eastAsia="仿宋_GB2312"/>
                <w:color w:val="000000"/>
                <w:sz w:val="28"/>
                <w:szCs w:val="21"/>
              </w:rPr>
            </w:pPr>
            <w:r>
              <w:rPr>
                <w:rFonts w:ascii="仿宋_GB2312" w:hAnsi="Times New Roman" w:eastAsia="仿宋_GB2312"/>
                <w:color w:val="000000"/>
                <w:sz w:val="28"/>
                <w:szCs w:val="21"/>
              </w:rPr>
              <w:t>加强重点区域森林草原防火公路、生土隔离带等防火基础设施建设，每年开设2000公里以上隔离带，清除杂草800亩以上。加快推进远程监控系统建设，维修更新停运的监控塔，新建10座远程监控塔，监控系统连接鄂尔多斯市大数据中心统一调度。建设宣传广播点6处，分别位于树林召镇姑子梁入口、响沙湾祭祀区中心、神龙寺入口、白土梁林场榆林子作业区集中祭祀区入口、二道水泉作业区集中祭祀区入口、中和西林场集中祭祀区入口。扩充专业防灭火队伍，成立一支25人以上的专业森林草原防灭火队伍，并建立健全人员补充机制。补充配备一批森林草原防灭火重型装备，提高森林草原防灭火能力。</w:t>
            </w:r>
          </w:p>
          <w:p w14:paraId="7E52EB84">
            <w:pPr>
              <w:jc w:val="both"/>
              <w:rPr>
                <w:rFonts w:hint="default"/>
              </w:rPr>
            </w:pPr>
          </w:p>
        </w:tc>
      </w:tr>
    </w:tbl>
    <w:p w14:paraId="09DAC7F5">
      <w:pPr>
        <w:pStyle w:val="22"/>
        <w:ind w:firstLine="560" w:firstLineChars="200"/>
        <w:outlineLvl w:val="1"/>
        <w:rPr>
          <w:rFonts w:hint="default" w:ascii="黑体" w:hAnsi="黑体" w:eastAsia="黑体" w:cs="黑体"/>
          <w:shd w:val="clear" w:color="auto" w:fill="FFFFFF"/>
          <w:lang w:bidi="ar"/>
        </w:rPr>
      </w:pPr>
      <w:r>
        <w:rPr>
          <w:rFonts w:ascii="黑体" w:hAnsi="黑体" w:eastAsia="黑体" w:cs="黑体"/>
          <w:shd w:val="clear" w:color="auto" w:fill="FFFFFF"/>
          <w:lang w:bidi="ar"/>
        </w:rPr>
        <w:t>（四）应急救援保障能力提升工程</w:t>
      </w:r>
      <w:bookmarkEnd w:id="37"/>
    </w:p>
    <w:p w14:paraId="387A9737">
      <w:pPr>
        <w:pStyle w:val="13"/>
        <w:widowControl/>
        <w:ind w:firstLine="560" w:firstLineChars="200"/>
        <w:rPr>
          <w:rFonts w:hint="default" w:ascii="仿宋_GB2312" w:hAnsi="Times New Roman" w:eastAsia="仿宋_GB2312"/>
          <w:color w:val="000000"/>
          <w:sz w:val="28"/>
          <w:szCs w:val="21"/>
        </w:rPr>
      </w:pPr>
      <w:r>
        <w:rPr>
          <w:rFonts w:ascii="仿宋_GB2312" w:hAnsi="Times New Roman" w:eastAsia="仿宋_GB2312"/>
          <w:color w:val="000000"/>
          <w:sz w:val="28"/>
          <w:szCs w:val="21"/>
        </w:rPr>
        <w:t>全面推进应急综合保障能力建设，提升物资储备保障能力和救灾工作效能，加强综合性应急救援队伍建设，不断提升全旗应急救援能力。</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230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02CF5CA6">
            <w:pPr>
              <w:pStyle w:val="22"/>
              <w:ind w:firstLine="0"/>
              <w:jc w:val="both"/>
              <w:rPr>
                <w:rFonts w:hint="default" w:ascii="仿宋" w:hAnsi="仿宋" w:eastAsia="仿宋" w:cs="仿宋"/>
                <w:color w:val="333333"/>
                <w:shd w:val="clear" w:color="auto" w:fill="FFFFFF"/>
              </w:rPr>
            </w:pPr>
            <w:r>
              <w:rPr>
                <w:rFonts w:ascii="仿宋_GB2312" w:eastAsia="仿宋_GB2312"/>
                <w:b/>
                <w:bCs/>
                <w:szCs w:val="21"/>
              </w:rPr>
              <w:t>专栏5  应急救援保障能力提升工程</w:t>
            </w:r>
          </w:p>
        </w:tc>
      </w:tr>
      <w:tr w14:paraId="5BB3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88D41B5">
            <w:pPr>
              <w:pStyle w:val="14"/>
              <w:widowControl/>
              <w:spacing w:beforeAutospacing="0" w:afterAutospacing="0" w:line="300" w:lineRule="atLeast"/>
              <w:jc w:val="both"/>
              <w:rPr>
                <w:rFonts w:hint="default" w:ascii="仿宋_GB2312" w:eastAsia="仿宋_GB2312"/>
                <w:color w:val="000000"/>
                <w:sz w:val="28"/>
                <w:szCs w:val="21"/>
              </w:rPr>
            </w:pPr>
            <w:r>
              <w:rPr>
                <w:rFonts w:ascii="仿宋_GB2312" w:eastAsia="仿宋_GB2312"/>
                <w:color w:val="000000"/>
                <w:sz w:val="28"/>
                <w:szCs w:val="21"/>
              </w:rPr>
              <w:t>1.综合应急救援基地建设工程</w:t>
            </w:r>
          </w:p>
          <w:p w14:paraId="770351A8">
            <w:pPr>
              <w:spacing w:line="360" w:lineRule="auto"/>
              <w:jc w:val="both"/>
              <w:rPr>
                <w:rFonts w:hint="default" w:ascii="仿宋_GB2312" w:eastAsia="仿宋_GB2312"/>
                <w:color w:val="000000"/>
                <w:sz w:val="28"/>
                <w:szCs w:val="21"/>
              </w:rPr>
            </w:pPr>
            <w:r>
              <w:rPr>
                <w:rFonts w:ascii="仿宋_GB2312" w:eastAsia="仿宋_GB2312"/>
                <w:color w:val="000000"/>
                <w:sz w:val="28"/>
                <w:szCs w:val="21"/>
              </w:rPr>
              <w:t>根据城市消防安全发展需求，在充分满足应急指挥和消防站基本功能的前提下，打造一个集指挥、消防、训练等功能为一体的综合性消防安全指挥中心。规划用地面积为13259.96平米，主要功能包括：一级消防站、应急指挥中心、消防训练馆、训练塔等。</w:t>
            </w:r>
          </w:p>
          <w:p w14:paraId="41C22ADB">
            <w:pPr>
              <w:spacing w:line="360" w:lineRule="auto"/>
              <w:jc w:val="both"/>
              <w:rPr>
                <w:rFonts w:hint="default" w:ascii="仿宋_GB2312" w:eastAsia="仿宋_GB2312"/>
                <w:color w:val="000000"/>
                <w:sz w:val="28"/>
                <w:szCs w:val="21"/>
              </w:rPr>
            </w:pPr>
            <w:r>
              <w:rPr>
                <w:rFonts w:ascii="仿宋_GB2312" w:eastAsia="仿宋_GB2312"/>
                <w:b/>
                <w:bCs/>
                <w:color w:val="000000"/>
                <w:sz w:val="28"/>
                <w:szCs w:val="21"/>
              </w:rPr>
              <w:t>应急管理综合应用平台建设工程：</w:t>
            </w:r>
            <w:r>
              <w:rPr>
                <w:rFonts w:ascii="仿宋_GB2312" w:eastAsia="仿宋_GB2312"/>
                <w:color w:val="000000"/>
                <w:sz w:val="28"/>
                <w:szCs w:val="21"/>
              </w:rPr>
              <w:t>按照“防灾救灾一体化、应急指挥一体化、应急通信一体化”的综合应急管理理念，在安全生产、防汛抗旱、抗震减灾、森林草原防火等领域，规划设计事前预防研判、事中响应处置、事后评估总结的全方位应急管理救援大框架，依托应急通信系统，建设智慧应急平台，实现监测监控，预测预警、应急值守、预案管理、资源保障、辅助决策、指挥调度、移动通讯接入和异地会商等主要功能，满足应急管理工作需要。</w:t>
            </w:r>
          </w:p>
          <w:p w14:paraId="509A7169">
            <w:pPr>
              <w:pStyle w:val="14"/>
              <w:widowControl/>
              <w:spacing w:beforeAutospacing="0" w:afterAutospacing="0" w:line="300" w:lineRule="atLeast"/>
              <w:jc w:val="both"/>
              <w:rPr>
                <w:rFonts w:hint="default" w:ascii="仿宋_GB2312" w:eastAsia="仿宋_GB2312"/>
                <w:color w:val="000000"/>
                <w:sz w:val="28"/>
                <w:szCs w:val="21"/>
              </w:rPr>
            </w:pPr>
            <w:r>
              <w:rPr>
                <w:rFonts w:ascii="仿宋_GB2312" w:eastAsia="仿宋_GB2312"/>
                <w:color w:val="000000"/>
                <w:sz w:val="28"/>
                <w:szCs w:val="21"/>
              </w:rPr>
              <w:t>2.应急物资储备库建设工程：</w:t>
            </w:r>
          </w:p>
          <w:p w14:paraId="33DF02B5">
            <w:pPr>
              <w:pStyle w:val="14"/>
              <w:widowControl/>
              <w:spacing w:beforeAutospacing="0" w:afterAutospacing="0" w:line="300" w:lineRule="atLeast"/>
              <w:jc w:val="both"/>
              <w:rPr>
                <w:rFonts w:hint="default" w:ascii="仿宋_GB2312" w:eastAsia="仿宋_GB2312"/>
                <w:color w:val="000000"/>
                <w:sz w:val="28"/>
                <w:szCs w:val="21"/>
              </w:rPr>
            </w:pPr>
            <w:r>
              <w:rPr>
                <w:rFonts w:hint="default" w:ascii="仿宋_GB2312" w:eastAsia="仿宋_GB2312"/>
                <w:color w:val="000000"/>
                <w:sz w:val="28"/>
                <w:szCs w:val="21"/>
              </w:rPr>
              <w:t>结合</w:t>
            </w:r>
            <w:r>
              <w:rPr>
                <w:rFonts w:ascii="仿宋_GB2312" w:eastAsia="仿宋_GB2312"/>
                <w:color w:val="000000"/>
                <w:sz w:val="28"/>
                <w:szCs w:val="21"/>
              </w:rPr>
              <w:t>达拉特旗</w:t>
            </w:r>
            <w:r>
              <w:rPr>
                <w:rFonts w:hint="default" w:ascii="仿宋_GB2312" w:eastAsia="仿宋_GB2312"/>
                <w:color w:val="000000"/>
                <w:sz w:val="28"/>
                <w:szCs w:val="21"/>
              </w:rPr>
              <w:t>城镇体系功能布局，建设</w:t>
            </w:r>
            <w:r>
              <w:rPr>
                <w:rFonts w:ascii="仿宋_GB2312" w:eastAsia="仿宋_GB2312"/>
                <w:color w:val="000000"/>
                <w:sz w:val="28"/>
                <w:szCs w:val="21"/>
              </w:rPr>
              <w:t>1个旗级</w:t>
            </w:r>
            <w:r>
              <w:rPr>
                <w:rFonts w:hint="default" w:ascii="仿宋_GB2312" w:eastAsia="仿宋_GB2312"/>
                <w:color w:val="000000"/>
                <w:sz w:val="28"/>
                <w:szCs w:val="21"/>
              </w:rPr>
              <w:t>应急物资储备库</w:t>
            </w:r>
            <w:r>
              <w:rPr>
                <w:rFonts w:ascii="仿宋_GB2312" w:eastAsia="仿宋_GB2312"/>
                <w:color w:val="000000"/>
                <w:sz w:val="28"/>
                <w:szCs w:val="21"/>
              </w:rPr>
              <w:t>，建筑面积不少于630平米；3个乡镇级的储备点，分别位于东部白泥井镇，西部恩格贝镇和东南部风水梁镇</w:t>
            </w:r>
            <w:r>
              <w:rPr>
                <w:rFonts w:hint="default" w:ascii="仿宋_GB2312" w:eastAsia="仿宋_GB2312"/>
                <w:color w:val="000000"/>
                <w:sz w:val="28"/>
                <w:szCs w:val="21"/>
              </w:rPr>
              <w:t>，储备适应防汛抗旱、防森林草原火灾</w:t>
            </w:r>
            <w:r>
              <w:rPr>
                <w:rFonts w:ascii="仿宋_GB2312" w:eastAsia="仿宋_GB2312"/>
                <w:color w:val="000000"/>
                <w:sz w:val="28"/>
                <w:szCs w:val="21"/>
              </w:rPr>
              <w:t>等</w:t>
            </w:r>
            <w:r>
              <w:rPr>
                <w:rFonts w:hint="default" w:ascii="仿宋_GB2312" w:eastAsia="仿宋_GB2312"/>
                <w:color w:val="000000"/>
                <w:sz w:val="28"/>
                <w:szCs w:val="21"/>
              </w:rPr>
              <w:t>需要的应急物资装备。</w:t>
            </w:r>
          </w:p>
          <w:p w14:paraId="38C50186">
            <w:pPr>
              <w:pStyle w:val="14"/>
              <w:widowControl/>
              <w:spacing w:beforeAutospacing="0" w:afterAutospacing="0" w:line="300" w:lineRule="atLeast"/>
              <w:jc w:val="both"/>
              <w:rPr>
                <w:rFonts w:hint="default" w:ascii="仿宋_GB2312" w:eastAsia="仿宋_GB2312"/>
                <w:color w:val="000000"/>
                <w:sz w:val="28"/>
                <w:szCs w:val="21"/>
              </w:rPr>
            </w:pPr>
            <w:r>
              <w:rPr>
                <w:rFonts w:ascii="仿宋_GB2312" w:eastAsia="仿宋_GB2312"/>
                <w:color w:val="000000"/>
                <w:sz w:val="28"/>
                <w:szCs w:val="21"/>
              </w:rPr>
              <w:t>3.综合应急救援队伍建设工程</w:t>
            </w:r>
          </w:p>
          <w:p w14:paraId="02E94B87">
            <w:pPr>
              <w:spacing w:line="560" w:lineRule="exact"/>
              <w:jc w:val="both"/>
              <w:rPr>
                <w:rFonts w:hint="default" w:ascii="仿宋_GB2312" w:eastAsia="仿宋_GB2312"/>
                <w:color w:val="000000"/>
                <w:sz w:val="28"/>
                <w:szCs w:val="21"/>
              </w:rPr>
            </w:pPr>
            <w:r>
              <w:rPr>
                <w:rFonts w:ascii="仿宋_GB2312" w:eastAsia="仿宋_GB2312"/>
                <w:color w:val="000000"/>
                <w:sz w:val="28"/>
                <w:szCs w:val="21"/>
              </w:rPr>
              <w:t>依托现有消防救援力量，组建一支30人以上，涵盖地质灾害、防汛抗旱、防火等领域“一专多能、一队多用”的专职综合应急救援队伍，并</w:t>
            </w:r>
            <w:r>
              <w:rPr>
                <w:rFonts w:hint="default" w:ascii="仿宋_GB2312" w:eastAsia="仿宋_GB2312"/>
                <w:color w:val="000000"/>
                <w:sz w:val="28"/>
                <w:szCs w:val="21"/>
              </w:rPr>
              <w:t>配齐配强装备、训练设施和站舍等，提升应急救援水平。</w:t>
            </w:r>
            <w:r>
              <w:rPr>
                <w:rFonts w:ascii="仿宋_GB2312" w:eastAsia="仿宋_GB2312"/>
                <w:color w:val="000000"/>
                <w:sz w:val="28"/>
                <w:szCs w:val="21"/>
              </w:rPr>
              <w:t>同时，完善应急救援专家队伍，建立应急救援专家库,分领域组建应急专家队伍，打造专家资源共享平台，充分发挥专家在风险会商研判、重大决策咨询、应急救援处置等方面的作用，汇聚各方专业力量为应急救援提供智力支撑。</w:t>
            </w:r>
          </w:p>
          <w:p w14:paraId="6FBCF6EA">
            <w:pPr>
              <w:spacing w:line="560" w:lineRule="exact"/>
              <w:jc w:val="both"/>
              <w:rPr>
                <w:rFonts w:hint="default" w:ascii="仿宋_GB2312" w:eastAsia="仿宋_GB2312"/>
                <w:color w:val="000000"/>
                <w:sz w:val="28"/>
                <w:szCs w:val="21"/>
              </w:rPr>
            </w:pPr>
            <w:r>
              <w:rPr>
                <w:rFonts w:ascii="仿宋_GB2312" w:eastAsia="仿宋_GB2312"/>
                <w:color w:val="000000"/>
                <w:sz w:val="28"/>
                <w:szCs w:val="21"/>
              </w:rPr>
              <w:t>4.应急避难场所建设</w:t>
            </w:r>
          </w:p>
          <w:p w14:paraId="58D59DD4">
            <w:pPr>
              <w:spacing w:line="560" w:lineRule="exact"/>
              <w:jc w:val="both"/>
              <w:rPr>
                <w:rFonts w:hint="default" w:ascii="仿宋" w:hAnsi="仿宋" w:eastAsia="仿宋" w:cs="仿宋"/>
                <w:snapToGrid w:val="0"/>
                <w:color w:val="000000"/>
                <w:kern w:val="2"/>
                <w:sz w:val="28"/>
                <w:szCs w:val="28"/>
              </w:rPr>
            </w:pPr>
            <w:r>
              <w:rPr>
                <w:rFonts w:hint="default" w:ascii="仿宋_GB2312" w:eastAsia="仿宋_GB2312"/>
                <w:color w:val="000000"/>
                <w:sz w:val="28"/>
                <w:szCs w:val="21"/>
              </w:rPr>
              <w:t>利用公园、广场、学校等公共服务设施，建设应急避难场所，完善已建成应急避难场所设施，设置应急避难场所指示图，配置应急物资、独立应急电源，完善医疗卫生、消防、水源等基础设施。摸清已有应急避难场所基本情况，标识指示牌全部改造完毕，规划布局不合理和面积不达标的启动规划建设。</w:t>
            </w:r>
          </w:p>
        </w:tc>
      </w:tr>
    </w:tbl>
    <w:p w14:paraId="439EA772">
      <w:pPr>
        <w:pStyle w:val="22"/>
        <w:ind w:firstLine="560" w:firstLineChars="200"/>
        <w:outlineLvl w:val="1"/>
        <w:rPr>
          <w:rFonts w:hint="default" w:ascii="黑体" w:hAnsi="黑体" w:eastAsia="黑体" w:cs="黑体"/>
          <w:shd w:val="clear" w:color="auto" w:fill="FFFFFF"/>
          <w:lang w:bidi="ar"/>
        </w:rPr>
      </w:pPr>
      <w:bookmarkStart w:id="38" w:name="_Toc25683_WPSOffice_Level2"/>
      <w:r>
        <w:rPr>
          <w:rFonts w:ascii="黑体" w:hAnsi="黑体" w:eastAsia="黑体" w:cs="黑体"/>
          <w:shd w:val="clear" w:color="auto" w:fill="FFFFFF"/>
          <w:lang w:bidi="ar"/>
        </w:rPr>
        <w:t>（五）全民应急素养宣教提升工程</w:t>
      </w:r>
      <w:bookmarkEnd w:id="38"/>
    </w:p>
    <w:p w14:paraId="31270F29">
      <w:pPr>
        <w:spacing w:line="56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立足大应急、大安全、大减灾理念，全面深入开展安全宣教工作。</w:t>
      </w:r>
    </w:p>
    <w:p w14:paraId="6ED19295">
      <w:pPr>
        <w:spacing w:line="560" w:lineRule="exact"/>
        <w:jc w:val="both"/>
        <w:rPr>
          <w:rFonts w:hint="default" w:ascii="仿宋_GB2312" w:eastAsia="仿宋_GB2312"/>
          <w:color w:val="000000"/>
          <w:sz w:val="28"/>
          <w:szCs w:val="21"/>
        </w:rPr>
      </w:pPr>
      <w:r>
        <w:rPr>
          <w:rFonts w:ascii="仿宋_GB2312" w:eastAsia="仿宋_GB2312"/>
          <w:color w:val="000000"/>
          <w:sz w:val="28"/>
          <w:szCs w:val="21"/>
        </w:rPr>
        <w:t>普及安全知识，培育安全文化，提升人民群众安全应急、防灾减灾意识及防火灭火、疏散逃生、自救互救能力。</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C014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C333089">
            <w:pPr>
              <w:pStyle w:val="14"/>
              <w:widowControl/>
              <w:spacing w:beforeAutospacing="0" w:afterAutospacing="0" w:line="300" w:lineRule="atLeast"/>
              <w:jc w:val="both"/>
              <w:rPr>
                <w:rFonts w:hint="default" w:ascii="仿宋" w:hAnsi="仿宋" w:eastAsia="仿宋" w:cs="仿宋"/>
                <w:color w:val="333333"/>
                <w:sz w:val="28"/>
                <w:szCs w:val="28"/>
                <w:shd w:val="clear" w:color="auto" w:fill="FFFFFF"/>
              </w:rPr>
            </w:pPr>
            <w:r>
              <w:rPr>
                <w:rFonts w:ascii="仿宋_GB2312" w:eastAsia="仿宋_GB2312"/>
                <w:b/>
                <w:bCs/>
                <w:color w:val="000000"/>
                <w:sz w:val="28"/>
                <w:szCs w:val="21"/>
              </w:rPr>
              <w:t>专栏6  全民应急素养宣教提升工程</w:t>
            </w:r>
          </w:p>
        </w:tc>
      </w:tr>
      <w:tr w14:paraId="6615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658EEEE">
            <w:pPr>
              <w:spacing w:line="560" w:lineRule="exact"/>
              <w:jc w:val="both"/>
              <w:rPr>
                <w:rFonts w:hint="default" w:ascii="仿宋_GB2312" w:eastAsia="仿宋_GB2312"/>
                <w:color w:val="000000"/>
                <w:sz w:val="28"/>
                <w:szCs w:val="21"/>
              </w:rPr>
            </w:pPr>
            <w:r>
              <w:rPr>
                <w:rFonts w:ascii="仿宋_GB2312" w:eastAsia="仿宋_GB2312"/>
                <w:color w:val="000000"/>
                <w:sz w:val="28"/>
                <w:szCs w:val="21"/>
              </w:rPr>
              <w:t>1.应急宣传教育体验基地建设工程</w:t>
            </w:r>
          </w:p>
          <w:p w14:paraId="5A418B40">
            <w:pPr>
              <w:spacing w:line="560" w:lineRule="exact"/>
              <w:jc w:val="both"/>
              <w:rPr>
                <w:rFonts w:hint="default" w:ascii="仿宋_GB2312" w:eastAsia="仿宋_GB2312"/>
                <w:color w:val="000000"/>
                <w:sz w:val="28"/>
                <w:szCs w:val="21"/>
              </w:rPr>
            </w:pPr>
            <w:r>
              <w:rPr>
                <w:rFonts w:ascii="仿宋_GB2312" w:eastAsia="仿宋_GB2312"/>
                <w:color w:val="000000"/>
                <w:sz w:val="28"/>
                <w:szCs w:val="21"/>
              </w:rPr>
              <w:t>贯彻落实国家、自治区有关要求，建设一个集自然灾害体验、公共安全体验、消防安全体验、交通安全体验、家居安全体验、应急救援体验和青少年儿童安全体验、普法教育主题、安全生产培训等相关实体、实操体验设施，打造集灾害事故科普教育、法规政策宣传、综合应急体验、自救互救能力实训、专业设施、场景模拟等功能于一体的公益性应急科普体验教育基地。</w:t>
            </w:r>
          </w:p>
          <w:p w14:paraId="24AC4BD6">
            <w:pPr>
              <w:spacing w:line="560" w:lineRule="exact"/>
              <w:jc w:val="both"/>
              <w:rPr>
                <w:rFonts w:hint="default" w:ascii="仿宋_GB2312" w:eastAsia="仿宋_GB2312"/>
                <w:color w:val="000000"/>
                <w:sz w:val="28"/>
                <w:szCs w:val="21"/>
              </w:rPr>
            </w:pPr>
            <w:r>
              <w:rPr>
                <w:rFonts w:ascii="仿宋_GB2312" w:eastAsia="仿宋_GB2312"/>
                <w:color w:val="000000"/>
                <w:sz w:val="28"/>
                <w:szCs w:val="21"/>
              </w:rPr>
              <w:t>2.安全文化示范工程</w:t>
            </w:r>
          </w:p>
          <w:p w14:paraId="7EB908EE">
            <w:pPr>
              <w:spacing w:line="560" w:lineRule="exact"/>
              <w:jc w:val="both"/>
              <w:rPr>
                <w:rFonts w:hint="default" w:ascii="仿宋_GB2312" w:eastAsia="仿宋_GB2312"/>
                <w:color w:val="000000"/>
                <w:sz w:val="28"/>
                <w:szCs w:val="21"/>
              </w:rPr>
            </w:pPr>
            <w:r>
              <w:rPr>
                <w:rFonts w:hint="default" w:ascii="仿宋_GB2312" w:eastAsia="仿宋_GB2312"/>
                <w:color w:val="000000"/>
                <w:sz w:val="28"/>
                <w:szCs w:val="21"/>
              </w:rPr>
              <w:t>创建安全文化标杆示范企业建设工程，总结一批成熟适用的企业安全文化建设模式和经验做法，选树一批安全生产先进个人，发挥标杆示范引领作用，营造安全发展良好氛围。</w:t>
            </w:r>
          </w:p>
          <w:p w14:paraId="184DADB0">
            <w:pPr>
              <w:spacing w:line="560" w:lineRule="exact"/>
              <w:jc w:val="both"/>
              <w:rPr>
                <w:rFonts w:hint="default" w:ascii="仿宋_GB2312" w:eastAsia="仿宋_GB2312"/>
                <w:color w:val="000000"/>
                <w:sz w:val="28"/>
                <w:szCs w:val="21"/>
              </w:rPr>
            </w:pPr>
            <w:r>
              <w:rPr>
                <w:rFonts w:ascii="仿宋_GB2312" w:eastAsia="仿宋_GB2312"/>
                <w:color w:val="000000"/>
                <w:sz w:val="28"/>
                <w:szCs w:val="21"/>
              </w:rPr>
              <w:t>3.综合减灾示范社区创建工程</w:t>
            </w:r>
          </w:p>
          <w:p w14:paraId="2B7358E3">
            <w:pPr>
              <w:spacing w:line="560" w:lineRule="exact"/>
              <w:jc w:val="both"/>
              <w:rPr>
                <w:rFonts w:hint="default" w:ascii="仿宋" w:hAnsi="仿宋" w:eastAsia="仿宋" w:cs="仿宋"/>
                <w:color w:val="333333"/>
                <w:sz w:val="28"/>
                <w:szCs w:val="28"/>
                <w:shd w:val="clear" w:color="auto" w:fill="FFFFFF"/>
              </w:rPr>
            </w:pPr>
            <w:r>
              <w:rPr>
                <w:rFonts w:hint="default" w:ascii="仿宋_GB2312" w:eastAsia="仿宋_GB2312"/>
                <w:color w:val="000000"/>
                <w:sz w:val="28"/>
                <w:szCs w:val="21"/>
              </w:rPr>
              <w:t>深入开展国家、自治区级综合减灾示范社区创建工作，创新社区防灾减灾救灾工作的方法和途径，建立规范化、标准化和精细化的社区防灾减灾救灾工作长效机制。制定符合社区条件、体现社区特色、切实可行的综合减灾目标和计划，有效开展社区灾害风险评估，绘制社区灾害风险地图。完善社区综合灾害应急救助预案，开展常态化防灾减灾演练，广泛动员社区群众参与减灾活动。</w:t>
            </w:r>
          </w:p>
        </w:tc>
      </w:tr>
    </w:tbl>
    <w:p w14:paraId="256223E5">
      <w:pPr>
        <w:pStyle w:val="14"/>
        <w:widowControl/>
        <w:shd w:val="clear" w:color="auto" w:fill="FFFFFF"/>
        <w:spacing w:beforeAutospacing="0" w:afterAutospacing="0" w:line="300" w:lineRule="atLeast"/>
        <w:ind w:firstLine="560" w:firstLineChars="200"/>
        <w:jc w:val="both"/>
        <w:rPr>
          <w:rFonts w:hint="default" w:ascii="仿宋" w:hAnsi="仿宋" w:eastAsia="仿宋" w:cs="仿宋"/>
          <w:color w:val="333333"/>
          <w:sz w:val="28"/>
          <w:szCs w:val="28"/>
          <w:shd w:val="clear" w:color="auto" w:fill="FFFFFF"/>
        </w:rPr>
      </w:pPr>
    </w:p>
    <w:p w14:paraId="4D14E8E3">
      <w:pPr>
        <w:pStyle w:val="3"/>
        <w:numPr>
          <w:ilvl w:val="0"/>
          <w:numId w:val="1"/>
        </w:numPr>
        <w:adjustRightInd/>
        <w:spacing w:line="560" w:lineRule="exact"/>
        <w:jc w:val="both"/>
        <w:rPr>
          <w:rFonts w:ascii="黑体" w:hAnsi="黑体" w:eastAsia="黑体"/>
          <w:color w:val="000000"/>
          <w:sz w:val="32"/>
          <w:szCs w:val="32"/>
        </w:rPr>
      </w:pPr>
      <w:bookmarkStart w:id="39" w:name="_Toc14863_WPSOffice_Level1"/>
      <w:r>
        <w:rPr>
          <w:rFonts w:hint="eastAsia" w:ascii="黑体" w:hAnsi="黑体" w:eastAsia="黑体"/>
          <w:color w:val="000000"/>
          <w:sz w:val="32"/>
          <w:szCs w:val="32"/>
        </w:rPr>
        <w:t>保障措施</w:t>
      </w:r>
      <w:bookmarkEnd w:id="39"/>
    </w:p>
    <w:p w14:paraId="071DC565">
      <w:pPr>
        <w:pStyle w:val="22"/>
        <w:ind w:firstLine="560" w:firstLineChars="200"/>
        <w:outlineLvl w:val="1"/>
        <w:rPr>
          <w:rFonts w:hint="default" w:ascii="黑体" w:hAnsi="黑体" w:eastAsia="黑体" w:cs="黑体"/>
          <w:shd w:val="clear" w:color="auto" w:fill="FFFFFF"/>
          <w:lang w:bidi="ar"/>
        </w:rPr>
      </w:pPr>
      <w:bookmarkStart w:id="40" w:name="_Toc6024_WPSOffice_Level2"/>
      <w:bookmarkStart w:id="41" w:name="_Toc70011848"/>
      <w:r>
        <w:rPr>
          <w:rFonts w:ascii="黑体" w:hAnsi="黑体" w:eastAsia="黑体" w:cs="黑体"/>
          <w:shd w:val="clear" w:color="auto" w:fill="FFFFFF"/>
          <w:lang w:bidi="ar"/>
        </w:rPr>
        <w:t>（一）强化组织领导</w:t>
      </w:r>
      <w:bookmarkEnd w:id="40"/>
      <w:bookmarkEnd w:id="41"/>
    </w:p>
    <w:p w14:paraId="6B7D10DF">
      <w:pPr>
        <w:spacing w:line="56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各级党委政府要强化对应急管理的组织领导，建立健全定期研究应急管理工作的常态化机制，统筹应急管理和经济社会发展规划。旗直各有关部门、各苏木镇（嘎查村）要高度重视，研究制定实施工作方案，细化横向纵向事权和职责划分，切实履行属地责任，积极推进规划目标、任务落实，保障规划顺利实施。</w:t>
      </w:r>
    </w:p>
    <w:p w14:paraId="2C980AE8">
      <w:pPr>
        <w:pStyle w:val="22"/>
        <w:ind w:firstLine="560" w:firstLineChars="200"/>
        <w:outlineLvl w:val="1"/>
        <w:rPr>
          <w:rFonts w:hint="default" w:ascii="黑体" w:hAnsi="黑体" w:eastAsia="黑体" w:cs="黑体"/>
          <w:shd w:val="clear" w:color="auto" w:fill="FFFFFF"/>
          <w:lang w:bidi="ar"/>
        </w:rPr>
      </w:pPr>
      <w:bookmarkStart w:id="42" w:name="_Toc12776_WPSOffice_Level2"/>
      <w:r>
        <w:rPr>
          <w:rFonts w:ascii="黑体" w:hAnsi="黑体" w:eastAsia="黑体" w:cs="黑体"/>
          <w:shd w:val="clear" w:color="auto" w:fill="FFFFFF"/>
          <w:lang w:bidi="ar"/>
        </w:rPr>
        <w:t>（二）加强资金保障</w:t>
      </w:r>
      <w:bookmarkEnd w:id="42"/>
      <w:r>
        <w:rPr>
          <w:rFonts w:ascii="黑体" w:hAnsi="黑体" w:eastAsia="黑体" w:cs="黑体"/>
          <w:shd w:val="clear" w:color="auto" w:fill="FFFFFF"/>
          <w:lang w:bidi="ar"/>
        </w:rPr>
        <w:t xml:space="preserve"> </w:t>
      </w:r>
    </w:p>
    <w:p w14:paraId="2634FF0B">
      <w:pPr>
        <w:spacing w:line="56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完善政府、企业、社会相结合的应急资金保障机制，建立多元化应急资金筹集渠道。坚持规划与政策相结合，加大本规划相关工程项目立项审批保障，对列入本规划的主要任务、重点工程给予资金支持。落实有利于安全生产的财政、税收、信贷政策，抓好安全生产专项资金使用管理，加强风险监测预警、重大风险防控、自然灾害防治、专业人才培养、应急科技创新等方面的财政资金投入与资金支持，保障突发事件应对和应急管理重点项目经费需求。</w:t>
      </w:r>
    </w:p>
    <w:p w14:paraId="4FD54F50">
      <w:pPr>
        <w:pStyle w:val="22"/>
        <w:ind w:firstLine="560" w:firstLineChars="200"/>
        <w:outlineLvl w:val="1"/>
        <w:rPr>
          <w:rFonts w:hint="default" w:ascii="黑体" w:hAnsi="黑体" w:eastAsia="黑体" w:cs="黑体"/>
          <w:shd w:val="clear" w:color="auto" w:fill="FFFFFF"/>
          <w:lang w:bidi="ar"/>
        </w:rPr>
      </w:pPr>
      <w:bookmarkStart w:id="43" w:name="_Toc5373_WPSOffice_Level2"/>
      <w:r>
        <w:rPr>
          <w:rFonts w:ascii="黑体" w:hAnsi="黑体" w:eastAsia="黑体" w:cs="黑体"/>
          <w:shd w:val="clear" w:color="auto" w:fill="FFFFFF"/>
          <w:lang w:bidi="ar"/>
        </w:rPr>
        <w:t>（三）加强协调衔接</w:t>
      </w:r>
      <w:bookmarkEnd w:id="43"/>
      <w:r>
        <w:rPr>
          <w:rFonts w:ascii="黑体" w:hAnsi="黑体" w:eastAsia="黑体" w:cs="黑体"/>
          <w:shd w:val="clear" w:color="auto" w:fill="FFFFFF"/>
          <w:lang w:bidi="ar"/>
        </w:rPr>
        <w:t xml:space="preserve"> </w:t>
      </w:r>
    </w:p>
    <w:p w14:paraId="7BDF2863">
      <w:pPr>
        <w:spacing w:line="560" w:lineRule="exact"/>
        <w:ind w:firstLine="560" w:firstLineChars="200"/>
        <w:jc w:val="both"/>
        <w:rPr>
          <w:rFonts w:hint="default" w:ascii="仿宋_GB2312" w:eastAsia="仿宋_GB2312"/>
          <w:color w:val="000000"/>
          <w:sz w:val="28"/>
          <w:szCs w:val="21"/>
        </w:rPr>
      </w:pPr>
      <w:r>
        <w:rPr>
          <w:rFonts w:ascii="仿宋_GB2312" w:eastAsia="仿宋_GB2312"/>
          <w:color w:val="000000"/>
          <w:sz w:val="28"/>
          <w:szCs w:val="21"/>
        </w:rPr>
        <w:t>做好相关专项规划、部门规划与本规划的衔接，确保规划目标一致、任务统一、工程同步、政策配套。强化规划实施部门之间、条块之间的协调衔接，理顺关系、明确职责；密切工作联系，强化统筹协调，优化整合资源，定期研究解决重大问题，推动重大举措有效落地，确保各项目标如期实现。</w:t>
      </w:r>
    </w:p>
    <w:p w14:paraId="273082AD">
      <w:pPr>
        <w:pStyle w:val="22"/>
        <w:ind w:firstLine="560" w:firstLineChars="200"/>
        <w:outlineLvl w:val="1"/>
        <w:rPr>
          <w:rFonts w:hint="default" w:ascii="黑体" w:hAnsi="黑体" w:eastAsia="黑体" w:cs="黑体"/>
          <w:shd w:val="clear" w:color="auto" w:fill="FFFFFF"/>
          <w:lang w:bidi="ar"/>
        </w:rPr>
      </w:pPr>
      <w:bookmarkStart w:id="44" w:name="_Toc10891_WPSOffice_Level2"/>
      <w:r>
        <w:rPr>
          <w:rFonts w:ascii="黑体" w:hAnsi="黑体" w:eastAsia="黑体" w:cs="黑体"/>
          <w:shd w:val="clear" w:color="auto" w:fill="FFFFFF"/>
          <w:lang w:bidi="ar"/>
        </w:rPr>
        <w:t>（四）严格考核评估</w:t>
      </w:r>
      <w:bookmarkEnd w:id="44"/>
    </w:p>
    <w:p w14:paraId="196AE7E4">
      <w:pPr>
        <w:spacing w:line="560" w:lineRule="exact"/>
        <w:ind w:firstLine="560" w:firstLineChars="200"/>
        <w:jc w:val="both"/>
        <w:rPr>
          <w:rFonts w:hint="default" w:ascii="仿宋_GB2312" w:eastAsia="仿宋_GB2312"/>
          <w:color w:val="000000"/>
          <w:sz w:val="28"/>
          <w:szCs w:val="21"/>
        </w:rPr>
        <w:sectPr>
          <w:footerReference r:id="rId4" w:type="default"/>
          <w:pgSz w:w="11906" w:h="16838"/>
          <w:pgMar w:top="1440" w:right="1800" w:bottom="1440" w:left="1800" w:header="851" w:footer="992" w:gutter="0"/>
          <w:pgNumType w:start="1"/>
          <w:cols w:space="425" w:num="1"/>
          <w:docGrid w:type="lines" w:linePitch="312" w:charSpace="0"/>
        </w:sectPr>
      </w:pPr>
      <w:r>
        <w:rPr>
          <w:rFonts w:ascii="仿宋_GB2312" w:eastAsia="仿宋_GB2312"/>
          <w:color w:val="000000"/>
          <w:sz w:val="28"/>
          <w:szCs w:val="21"/>
        </w:rPr>
        <w:t>开展对规划指标、政策措施和重大项目实施情况的跟踪分析，定期调度通报进展情况。按要求对规划落实情况进行中期评估和终期评估，并根据评估结果，及时对规划范围、主要目标、重点任务进行动态调整，优化政策措施和实施方案。要建立健全规划监督机制，及时对规划实施情况进行监督检查，督促解决存在的突出问题，确保规划建设任务和重点项目全面完成。</w:t>
      </w:r>
    </w:p>
    <w:p w14:paraId="7C603B82">
      <w:pPr>
        <w:pStyle w:val="2"/>
        <w:ind w:firstLine="0"/>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46427">
    <w:pPr>
      <w:pStyle w:val="9"/>
    </w:pPr>
    <w:r>
      <w:rPr>
        <w:lang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3D2DC">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553D2DC">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359FC">
    <w:pPr>
      <w:pStyle w:val="9"/>
    </w:pPr>
    <w:r>
      <w:rPr>
        <w:lang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CAA7F">
                          <w:pPr>
                            <w:pStyle w:val="9"/>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10CAA7F">
                    <w:pPr>
                      <w:pStyle w:val="9"/>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6A31D"/>
    <w:multiLevelType w:val="singleLevel"/>
    <w:tmpl w:val="8E36A31D"/>
    <w:lvl w:ilvl="0" w:tentative="0">
      <w:start w:val="1"/>
      <w:numFmt w:val="chineseCounting"/>
      <w:suff w:val="nothing"/>
      <w:lvlText w:val="（%1）"/>
      <w:lvlJc w:val="left"/>
      <w:rPr>
        <w:rFonts w:hint="eastAsia"/>
      </w:rPr>
    </w:lvl>
  </w:abstractNum>
  <w:abstractNum w:abstractNumId="1">
    <w:nsid w:val="E919AFAC"/>
    <w:multiLevelType w:val="singleLevel"/>
    <w:tmpl w:val="E919AFAC"/>
    <w:lvl w:ilvl="0" w:tentative="0">
      <w:start w:val="2"/>
      <w:numFmt w:val="chineseCounting"/>
      <w:suff w:val="nothing"/>
      <w:lvlText w:val="（%1）"/>
      <w:lvlJc w:val="left"/>
      <w:rPr>
        <w:rFonts w:hint="eastAsia"/>
      </w:rPr>
    </w:lvl>
  </w:abstractNum>
  <w:abstractNum w:abstractNumId="2">
    <w:nsid w:val="454DED7F"/>
    <w:multiLevelType w:val="singleLevel"/>
    <w:tmpl w:val="454DED7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00172A27"/>
    <w:rsid w:val="000F50EC"/>
    <w:rsid w:val="00172A27"/>
    <w:rsid w:val="00183592"/>
    <w:rsid w:val="001B7404"/>
    <w:rsid w:val="001D0F9E"/>
    <w:rsid w:val="002745B9"/>
    <w:rsid w:val="00300E5A"/>
    <w:rsid w:val="00331F54"/>
    <w:rsid w:val="003D6ABD"/>
    <w:rsid w:val="0047476A"/>
    <w:rsid w:val="00484C85"/>
    <w:rsid w:val="005A0B0B"/>
    <w:rsid w:val="006E027B"/>
    <w:rsid w:val="0074745F"/>
    <w:rsid w:val="00864562"/>
    <w:rsid w:val="0090747F"/>
    <w:rsid w:val="00A80387"/>
    <w:rsid w:val="00AC19BC"/>
    <w:rsid w:val="00C50ADB"/>
    <w:rsid w:val="00D82FEA"/>
    <w:rsid w:val="00E43C23"/>
    <w:rsid w:val="00F428B9"/>
    <w:rsid w:val="00F5172D"/>
    <w:rsid w:val="02344890"/>
    <w:rsid w:val="030C7659"/>
    <w:rsid w:val="043B4791"/>
    <w:rsid w:val="05886880"/>
    <w:rsid w:val="08DD078F"/>
    <w:rsid w:val="094B69DB"/>
    <w:rsid w:val="09AD37C8"/>
    <w:rsid w:val="0B89378A"/>
    <w:rsid w:val="0D0A1B78"/>
    <w:rsid w:val="0ED1289E"/>
    <w:rsid w:val="0F010326"/>
    <w:rsid w:val="10766428"/>
    <w:rsid w:val="10892219"/>
    <w:rsid w:val="11B36357"/>
    <w:rsid w:val="12415EF3"/>
    <w:rsid w:val="12A65BAC"/>
    <w:rsid w:val="12F10A0C"/>
    <w:rsid w:val="154A6E78"/>
    <w:rsid w:val="156F0C43"/>
    <w:rsid w:val="16844601"/>
    <w:rsid w:val="1C58253F"/>
    <w:rsid w:val="1CD80FE1"/>
    <w:rsid w:val="1E8D5A0A"/>
    <w:rsid w:val="1EAD4A19"/>
    <w:rsid w:val="1F320D56"/>
    <w:rsid w:val="1F4A379A"/>
    <w:rsid w:val="21392CC5"/>
    <w:rsid w:val="21907335"/>
    <w:rsid w:val="21AA455C"/>
    <w:rsid w:val="22AA1570"/>
    <w:rsid w:val="242768AE"/>
    <w:rsid w:val="2659431E"/>
    <w:rsid w:val="28877E71"/>
    <w:rsid w:val="295E31FF"/>
    <w:rsid w:val="2A1B281D"/>
    <w:rsid w:val="2A6F4548"/>
    <w:rsid w:val="2B2D6C62"/>
    <w:rsid w:val="2CB84E98"/>
    <w:rsid w:val="2D150AB8"/>
    <w:rsid w:val="2D8475A6"/>
    <w:rsid w:val="2F6264D5"/>
    <w:rsid w:val="2F686170"/>
    <w:rsid w:val="30701BBA"/>
    <w:rsid w:val="30C0086F"/>
    <w:rsid w:val="31574D82"/>
    <w:rsid w:val="319F2EED"/>
    <w:rsid w:val="347A487F"/>
    <w:rsid w:val="35357C5D"/>
    <w:rsid w:val="35FF5ADB"/>
    <w:rsid w:val="36577704"/>
    <w:rsid w:val="392C54FE"/>
    <w:rsid w:val="399C3397"/>
    <w:rsid w:val="3AE3179F"/>
    <w:rsid w:val="3B241528"/>
    <w:rsid w:val="3C1D584B"/>
    <w:rsid w:val="3C4C3523"/>
    <w:rsid w:val="3C762C48"/>
    <w:rsid w:val="3C986FF0"/>
    <w:rsid w:val="3DC85A68"/>
    <w:rsid w:val="402F1938"/>
    <w:rsid w:val="40B110A7"/>
    <w:rsid w:val="40F41B43"/>
    <w:rsid w:val="415F3E63"/>
    <w:rsid w:val="448E53AD"/>
    <w:rsid w:val="46720906"/>
    <w:rsid w:val="468642D9"/>
    <w:rsid w:val="46C01F86"/>
    <w:rsid w:val="46C353C8"/>
    <w:rsid w:val="47705E30"/>
    <w:rsid w:val="484655BA"/>
    <w:rsid w:val="49D67AB3"/>
    <w:rsid w:val="49E13F8E"/>
    <w:rsid w:val="49E572E2"/>
    <w:rsid w:val="4A3161AD"/>
    <w:rsid w:val="4A4B24A4"/>
    <w:rsid w:val="4B096F05"/>
    <w:rsid w:val="4C274D05"/>
    <w:rsid w:val="4C6329E3"/>
    <w:rsid w:val="4CB25656"/>
    <w:rsid w:val="4DD907AB"/>
    <w:rsid w:val="4EF630C9"/>
    <w:rsid w:val="4FEC6B62"/>
    <w:rsid w:val="50B0684D"/>
    <w:rsid w:val="53172D39"/>
    <w:rsid w:val="542F559F"/>
    <w:rsid w:val="5443042B"/>
    <w:rsid w:val="57331F6A"/>
    <w:rsid w:val="583E1EA2"/>
    <w:rsid w:val="59A2343C"/>
    <w:rsid w:val="5A0D2B25"/>
    <w:rsid w:val="5AB31475"/>
    <w:rsid w:val="5C076D90"/>
    <w:rsid w:val="5CAC4341"/>
    <w:rsid w:val="5CAE671B"/>
    <w:rsid w:val="5D72484F"/>
    <w:rsid w:val="60B467DD"/>
    <w:rsid w:val="6143017E"/>
    <w:rsid w:val="61FB1F88"/>
    <w:rsid w:val="623B1795"/>
    <w:rsid w:val="635F30F6"/>
    <w:rsid w:val="638D62B1"/>
    <w:rsid w:val="6545501D"/>
    <w:rsid w:val="65D1723D"/>
    <w:rsid w:val="68841956"/>
    <w:rsid w:val="68FF5AEC"/>
    <w:rsid w:val="69310D68"/>
    <w:rsid w:val="6966023F"/>
    <w:rsid w:val="6A7F471F"/>
    <w:rsid w:val="6B176637"/>
    <w:rsid w:val="6D8264D1"/>
    <w:rsid w:val="6F926CF3"/>
    <w:rsid w:val="6FA6417F"/>
    <w:rsid w:val="6FAB4AA3"/>
    <w:rsid w:val="6FE24FFC"/>
    <w:rsid w:val="72074476"/>
    <w:rsid w:val="72B64239"/>
    <w:rsid w:val="767901BD"/>
    <w:rsid w:val="76C62CC1"/>
    <w:rsid w:val="76DD722D"/>
    <w:rsid w:val="771651DB"/>
    <w:rsid w:val="77733187"/>
    <w:rsid w:val="786E3F93"/>
    <w:rsid w:val="7A553B30"/>
    <w:rsid w:val="7A8B5984"/>
    <w:rsid w:val="7C383C02"/>
    <w:rsid w:val="7D957AC3"/>
    <w:rsid w:val="7FD57647"/>
    <w:rsid w:val="7FF12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iPriority="1" w:semiHidden="0" w:name="Normal"/>
    <w:lsdException w:qFormat="1" w:uiPriority="9" w:semiHidden="0" w:name="heading 1"/>
    <w:lsdException w:qFormat="1"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3">
    <w:name w:val="heading 1"/>
    <w:basedOn w:val="1"/>
    <w:next w:val="1"/>
    <w:unhideWhenUsed/>
    <w:qFormat/>
    <w:uiPriority w:val="9"/>
    <w:pPr>
      <w:outlineLvl w:val="0"/>
    </w:pPr>
    <w:rPr>
      <w:rFonts w:hint="default" w:ascii="Arial Unicode MS" w:eastAsia="Arial Unicode MS"/>
      <w:sz w:val="44"/>
      <w:szCs w:val="44"/>
      <w:lang w:bidi="mn-Mong-CN"/>
    </w:rPr>
  </w:style>
  <w:style w:type="paragraph" w:styleId="4">
    <w:name w:val="heading 2"/>
    <w:basedOn w:val="1"/>
    <w:next w:val="1"/>
    <w:unhideWhenUsed/>
    <w:qFormat/>
    <w:uiPriority w:val="1"/>
    <w:pPr>
      <w:ind w:left="780"/>
      <w:outlineLvl w:val="1"/>
    </w:pPr>
    <w:rPr>
      <w:rFonts w:hint="default" w:ascii="楷体" w:eastAsia="楷体"/>
      <w:b/>
      <w:sz w:val="32"/>
      <w:szCs w:val="32"/>
      <w:lang w:bidi="mn-Mong-CN"/>
    </w:rPr>
  </w:style>
  <w:style w:type="paragraph" w:styleId="5">
    <w:name w:val="heading 3"/>
    <w:basedOn w:val="1"/>
    <w:next w:val="1"/>
    <w:qFormat/>
    <w:uiPriority w:val="0"/>
    <w:pPr>
      <w:keepNext/>
      <w:keepLines/>
      <w:spacing w:line="600" w:lineRule="exact"/>
      <w:ind w:firstLine="200" w:firstLineChars="200"/>
      <w:outlineLvl w:val="2"/>
    </w:pPr>
    <w:rPr>
      <w:rFonts w:eastAsia="仿宋"/>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before="20" w:after="20" w:line="400" w:lineRule="exact"/>
      <w:ind w:firstLine="420"/>
      <w:textAlignment w:val="baseline"/>
    </w:pPr>
  </w:style>
  <w:style w:type="paragraph" w:styleId="6">
    <w:name w:val="toa heading"/>
    <w:basedOn w:val="1"/>
    <w:next w:val="1"/>
    <w:unhideWhenUsed/>
    <w:qFormat/>
    <w:uiPriority w:val="99"/>
    <w:pPr>
      <w:spacing w:before="120"/>
    </w:pPr>
    <w:rPr>
      <w:rFonts w:ascii="Arial" w:hAnsi="Arial"/>
    </w:rPr>
  </w:style>
  <w:style w:type="paragraph" w:styleId="7">
    <w:name w:val="annotation text"/>
    <w:basedOn w:val="1"/>
    <w:link w:val="30"/>
    <w:qFormat/>
    <w:uiPriority w:val="0"/>
  </w:style>
  <w:style w:type="paragraph" w:styleId="8">
    <w:name w:val="Body Text"/>
    <w:basedOn w:val="1"/>
    <w:next w:val="9"/>
    <w:unhideWhenUsed/>
    <w:qFormat/>
    <w:uiPriority w:val="1"/>
    <w:pPr>
      <w:ind w:left="140"/>
    </w:pPr>
    <w:rPr>
      <w:rFonts w:hint="default" w:ascii="宋体"/>
      <w:sz w:val="32"/>
      <w:szCs w:val="32"/>
      <w:lang w:bidi="mn-Mong-CN"/>
    </w:rPr>
  </w:style>
  <w:style w:type="paragraph" w:styleId="9">
    <w:name w:val="footer"/>
    <w:basedOn w:val="1"/>
    <w:unhideWhenUsed/>
    <w:qFormat/>
    <w:uiPriority w:val="99"/>
    <w:pPr>
      <w:tabs>
        <w:tab w:val="center" w:pos="4153"/>
        <w:tab w:val="right" w:pos="8306"/>
      </w:tabs>
      <w:snapToGrid w:val="0"/>
    </w:pPr>
    <w:rPr>
      <w:rFonts w:hint="default"/>
      <w:sz w:val="18"/>
      <w:szCs w:val="18"/>
      <w:lang w:bidi="mn-Mong-CN"/>
    </w:rPr>
  </w:style>
  <w:style w:type="paragraph" w:styleId="10">
    <w:name w:val="Body Text Indent"/>
    <w:basedOn w:val="1"/>
    <w:next w:val="1"/>
    <w:link w:val="29"/>
    <w:unhideWhenUsed/>
    <w:qFormat/>
    <w:uiPriority w:val="0"/>
    <w:pPr>
      <w:spacing w:after="120"/>
      <w:ind w:left="420" w:leftChars="200"/>
    </w:pPr>
  </w:style>
  <w:style w:type="paragraph" w:styleId="11">
    <w:name w:val="Balloon Text"/>
    <w:basedOn w:val="1"/>
    <w:link w:val="32"/>
    <w:qFormat/>
    <w:uiPriority w:val="0"/>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14">
    <w:name w:val="Normal (Web)"/>
    <w:basedOn w:val="1"/>
    <w:qFormat/>
    <w:uiPriority w:val="0"/>
    <w:pPr>
      <w:spacing w:beforeAutospacing="1" w:afterAutospacing="1"/>
    </w:pPr>
  </w:style>
  <w:style w:type="paragraph" w:styleId="15">
    <w:name w:val="annotation subject"/>
    <w:basedOn w:val="7"/>
    <w:next w:val="7"/>
    <w:link w:val="31"/>
    <w:qFormat/>
    <w:uiPriority w:val="0"/>
    <w:rPr>
      <w:b/>
      <w:bCs/>
    </w:rPr>
  </w:style>
  <w:style w:type="paragraph" w:styleId="16">
    <w:name w:val="Body Text First Indent 2"/>
    <w:basedOn w:val="10"/>
    <w:next w:val="1"/>
    <w:qFormat/>
    <w:uiPriority w:val="0"/>
    <w:pPr>
      <w:spacing w:after="0" w:line="360" w:lineRule="auto"/>
      <w:ind w:left="0" w:leftChars="0" w:firstLine="420" w:firstLineChars="200"/>
    </w:pPr>
    <w:rPr>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BodyText2"/>
    <w:basedOn w:val="1"/>
    <w:qFormat/>
    <w:uiPriority w:val="0"/>
    <w:pPr>
      <w:spacing w:line="480" w:lineRule="auto"/>
      <w:textAlignment w:val="baseline"/>
    </w:pPr>
  </w:style>
  <w:style w:type="paragraph" w:customStyle="1" w:styleId="22">
    <w:name w:val="正文样式"/>
    <w:basedOn w:val="1"/>
    <w:qFormat/>
    <w:uiPriority w:val="0"/>
    <w:pPr>
      <w:snapToGrid w:val="0"/>
      <w:spacing w:line="520" w:lineRule="exact"/>
      <w:ind w:firstLine="562"/>
    </w:pPr>
    <w:rPr>
      <w:color w:val="000000"/>
      <w:sz w:val="28"/>
      <w:szCs w:val="28"/>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Table Paragraph"/>
    <w:basedOn w:val="1"/>
    <w:unhideWhenUsed/>
    <w:qFormat/>
    <w:uiPriority w:val="1"/>
  </w:style>
  <w:style w:type="character" w:customStyle="1" w:styleId="26">
    <w:name w:val="NormalCharacter"/>
    <w:autoRedefine/>
    <w:semiHidden/>
    <w:qFormat/>
    <w:uiPriority w:val="0"/>
    <w:rPr>
      <w:rFonts w:ascii="Calibri" w:hAnsi="Calibri" w:eastAsia="宋体" w:cs="Times New Roman"/>
      <w:kern w:val="2"/>
      <w:sz w:val="21"/>
      <w:szCs w:val="24"/>
      <w:lang w:val="en-US" w:eastAsia="zh-CN" w:bidi="ar-SA"/>
    </w:rPr>
  </w:style>
  <w:style w:type="paragraph" w:styleId="27">
    <w:name w:val="List Paragraph"/>
    <w:basedOn w:val="1"/>
    <w:autoRedefine/>
    <w:unhideWhenUsed/>
    <w:qFormat/>
    <w:uiPriority w:val="34"/>
  </w:style>
  <w:style w:type="paragraph" w:customStyle="1" w:styleId="28">
    <w:name w:val="样式 设计说明书第三级 + 首行缩进:  2 字符"/>
    <w:basedOn w:val="1"/>
    <w:autoRedefine/>
    <w:qFormat/>
    <w:uiPriority w:val="0"/>
    <w:pPr>
      <w:keepNext/>
      <w:keepLines/>
      <w:adjustRightInd/>
      <w:spacing w:before="100" w:line="500" w:lineRule="exact"/>
      <w:ind w:firstLine="200" w:firstLineChars="200"/>
      <w:outlineLvl w:val="2"/>
    </w:pPr>
    <w:rPr>
      <w:b/>
      <w:bCs/>
      <w:kern w:val="44"/>
      <w:szCs w:val="28"/>
    </w:rPr>
  </w:style>
  <w:style w:type="character" w:customStyle="1" w:styleId="29">
    <w:name w:val="正文文本缩进 Char"/>
    <w:link w:val="10"/>
    <w:autoRedefine/>
    <w:qFormat/>
    <w:uiPriority w:val="0"/>
  </w:style>
  <w:style w:type="character" w:customStyle="1" w:styleId="30">
    <w:name w:val="批注文字 Char"/>
    <w:basedOn w:val="19"/>
    <w:link w:val="7"/>
    <w:autoRedefine/>
    <w:qFormat/>
    <w:uiPriority w:val="0"/>
    <w:rPr>
      <w:sz w:val="24"/>
      <w:szCs w:val="24"/>
    </w:rPr>
  </w:style>
  <w:style w:type="character" w:customStyle="1" w:styleId="31">
    <w:name w:val="批注主题 Char"/>
    <w:basedOn w:val="30"/>
    <w:link w:val="15"/>
    <w:autoRedefine/>
    <w:qFormat/>
    <w:uiPriority w:val="0"/>
    <w:rPr>
      <w:b/>
      <w:bCs/>
      <w:sz w:val="24"/>
      <w:szCs w:val="24"/>
    </w:rPr>
  </w:style>
  <w:style w:type="character" w:customStyle="1" w:styleId="32">
    <w:name w:val="批注框文本 Char"/>
    <w:basedOn w:val="19"/>
    <w:link w:val="11"/>
    <w:autoRedefine/>
    <w:qFormat/>
    <w:uiPriority w:val="0"/>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457f812-a461-442c-a796-a82683587777}"/>
        <w:style w:val=""/>
        <w:category>
          <w:name w:val="常规"/>
          <w:gallery w:val="placeholder"/>
        </w:category>
        <w:types>
          <w:type w:val="bbPlcHdr"/>
        </w:types>
        <w:behaviors>
          <w:behavior w:val="content"/>
        </w:behaviors>
        <w:description w:val=""/>
        <w:guid w:val="{8457F812-A461-442C-A796-A82683587777}"/>
      </w:docPartPr>
      <w:docPartBody>
        <w:p w14:paraId="4D910A85">
          <w:r>
            <w:rPr>
              <w:color w:val="808080"/>
            </w:rPr>
            <w:t>单击此处输入文字。</w:t>
          </w:r>
        </w:p>
      </w:docPartBody>
    </w:docPart>
    <w:docPart>
      <w:docPartPr>
        <w:name w:val="{80420f3b-db8e-49cf-b77a-59b60fa76d61}"/>
        <w:style w:val=""/>
        <w:category>
          <w:name w:val="常规"/>
          <w:gallery w:val="placeholder"/>
        </w:category>
        <w:types>
          <w:type w:val="bbPlcHdr"/>
        </w:types>
        <w:behaviors>
          <w:behavior w:val="content"/>
        </w:behaviors>
        <w:description w:val=""/>
        <w:guid w:val="{80420F3B-DB8E-49CF-B77A-59B60FA76D61}"/>
      </w:docPartPr>
      <w:docPartBody>
        <w:p w14:paraId="24D67F30">
          <w:r>
            <w:rPr>
              <w:color w:val="808080"/>
            </w:rPr>
            <w:t>单击此处输入文字。</w:t>
          </w:r>
        </w:p>
      </w:docPartBody>
    </w:docPart>
    <w:docPart>
      <w:docPartPr>
        <w:name w:val="{f66dcc03-a428-4d96-9e81-9c23ab117d0c}"/>
        <w:style w:val=""/>
        <w:category>
          <w:name w:val="常规"/>
          <w:gallery w:val="placeholder"/>
        </w:category>
        <w:types>
          <w:type w:val="bbPlcHdr"/>
        </w:types>
        <w:behaviors>
          <w:behavior w:val="content"/>
        </w:behaviors>
        <w:description w:val=""/>
        <w:guid w:val="{F66DCC03-A428-4D96-9E81-9C23AB117D0C}"/>
      </w:docPartPr>
      <w:docPartBody>
        <w:p w14:paraId="4C8371FA">
          <w:r>
            <w:rPr>
              <w:color w:val="808080"/>
            </w:rPr>
            <w:t>单击此处输入文字。</w:t>
          </w:r>
        </w:p>
      </w:docPartBody>
    </w:docPart>
    <w:docPart>
      <w:docPartPr>
        <w:name w:val="{6095916b-ea70-40e0-a1f8-72d357bcae85}"/>
        <w:style w:val=""/>
        <w:category>
          <w:name w:val="常规"/>
          <w:gallery w:val="placeholder"/>
        </w:category>
        <w:types>
          <w:type w:val="bbPlcHdr"/>
        </w:types>
        <w:behaviors>
          <w:behavior w:val="content"/>
        </w:behaviors>
        <w:description w:val=""/>
        <w:guid w:val="{6095916B-EA70-40E0-A1F8-72D357BCAE85}"/>
      </w:docPartPr>
      <w:docPartBody>
        <w:p w14:paraId="46F00F13">
          <w:r>
            <w:rPr>
              <w:color w:val="808080"/>
            </w:rPr>
            <w:t>单击此处输入文字。</w:t>
          </w:r>
        </w:p>
      </w:docPartBody>
    </w:docPart>
    <w:docPart>
      <w:docPartPr>
        <w:name w:val="{8aff43ee-56ca-4ec0-9d81-4b204705cdba}"/>
        <w:style w:val=""/>
        <w:category>
          <w:name w:val="常规"/>
          <w:gallery w:val="placeholder"/>
        </w:category>
        <w:types>
          <w:type w:val="bbPlcHdr"/>
        </w:types>
        <w:behaviors>
          <w:behavior w:val="content"/>
        </w:behaviors>
        <w:description w:val=""/>
        <w:guid w:val="{8AFF43EE-56CA-4EC0-9D81-4B204705CDBA}"/>
      </w:docPartPr>
      <w:docPartBody>
        <w:p w14:paraId="6E4B0028">
          <w:r>
            <w:rPr>
              <w:color w:val="808080"/>
            </w:rPr>
            <w:t>单击此处输入文字。</w:t>
          </w:r>
        </w:p>
      </w:docPartBody>
    </w:docPart>
    <w:docPart>
      <w:docPartPr>
        <w:name w:val="{d2b1ed08-a208-427b-a070-1b26a8c8002c}"/>
        <w:style w:val=""/>
        <w:category>
          <w:name w:val="常规"/>
          <w:gallery w:val="placeholder"/>
        </w:category>
        <w:types>
          <w:type w:val="bbPlcHdr"/>
        </w:types>
        <w:behaviors>
          <w:behavior w:val="content"/>
        </w:behaviors>
        <w:description w:val=""/>
        <w:guid w:val="{D2B1ED08-A208-427B-A070-1B26A8C8002C}"/>
      </w:docPartPr>
      <w:docPartBody>
        <w:p w14:paraId="096111F6">
          <w:r>
            <w:rPr>
              <w:color w:val="808080"/>
            </w:rPr>
            <w:t>单击此处输入文字。</w:t>
          </w:r>
        </w:p>
      </w:docPartBody>
    </w:docPart>
    <w:docPart>
      <w:docPartPr>
        <w:name w:val="{cce0f916-0f1e-4bb0-b83e-1900d724f983}"/>
        <w:style w:val=""/>
        <w:category>
          <w:name w:val="常规"/>
          <w:gallery w:val="placeholder"/>
        </w:category>
        <w:types>
          <w:type w:val="bbPlcHdr"/>
        </w:types>
        <w:behaviors>
          <w:behavior w:val="content"/>
        </w:behaviors>
        <w:description w:val=""/>
        <w:guid w:val="{CCE0F916-0F1E-4BB0-B83E-1900D724F983}"/>
      </w:docPartPr>
      <w:docPartBody>
        <w:p w14:paraId="2C111BDD">
          <w:r>
            <w:rPr>
              <w:color w:val="808080"/>
            </w:rPr>
            <w:t>单击此处输入文字。</w:t>
          </w:r>
        </w:p>
      </w:docPartBody>
    </w:docPart>
    <w:docPart>
      <w:docPartPr>
        <w:name w:val="{642d36e2-e3e6-4fba-9861-8db94209c189}"/>
        <w:style w:val=""/>
        <w:category>
          <w:name w:val="常规"/>
          <w:gallery w:val="placeholder"/>
        </w:category>
        <w:types>
          <w:type w:val="bbPlcHdr"/>
        </w:types>
        <w:behaviors>
          <w:behavior w:val="content"/>
        </w:behaviors>
        <w:description w:val=""/>
        <w:guid w:val="{642D36E2-E3E6-4FBA-9861-8DB94209C189}"/>
      </w:docPartPr>
      <w:docPartBody>
        <w:p w14:paraId="1FB6E953">
          <w:r>
            <w:rPr>
              <w:color w:val="808080"/>
            </w:rPr>
            <w:t>单击此处输入文字。</w:t>
          </w:r>
        </w:p>
      </w:docPartBody>
    </w:docPart>
    <w:docPart>
      <w:docPartPr>
        <w:name w:val="{9256736c-8f18-4016-95e4-dd0a3dd49f18}"/>
        <w:style w:val=""/>
        <w:category>
          <w:name w:val="常规"/>
          <w:gallery w:val="placeholder"/>
        </w:category>
        <w:types>
          <w:type w:val="bbPlcHdr"/>
        </w:types>
        <w:behaviors>
          <w:behavior w:val="content"/>
        </w:behaviors>
        <w:description w:val=""/>
        <w:guid w:val="{9256736C-8F18-4016-95E4-DD0A3DD49F18}"/>
      </w:docPartPr>
      <w:docPartBody>
        <w:p w14:paraId="4DDFA12F">
          <w:r>
            <w:rPr>
              <w:color w:val="808080"/>
            </w:rPr>
            <w:t>单击此处输入文字。</w:t>
          </w:r>
        </w:p>
      </w:docPartBody>
    </w:docPart>
    <w:docPart>
      <w:docPartPr>
        <w:name w:val="{b9bc4572-71e3-47eb-a234-a57a255cf664}"/>
        <w:style w:val=""/>
        <w:category>
          <w:name w:val="常规"/>
          <w:gallery w:val="placeholder"/>
        </w:category>
        <w:types>
          <w:type w:val="bbPlcHdr"/>
        </w:types>
        <w:behaviors>
          <w:behavior w:val="content"/>
        </w:behaviors>
        <w:description w:val=""/>
        <w:guid w:val="{B9BC4572-71E3-47EB-A234-A57A255CF664}"/>
      </w:docPartPr>
      <w:docPartBody>
        <w:p w14:paraId="37ADBD0E">
          <w:r>
            <w:rPr>
              <w:color w:val="808080"/>
            </w:rPr>
            <w:t>单击此处输入文字。</w:t>
          </w:r>
        </w:p>
      </w:docPartBody>
    </w:docPart>
    <w:docPart>
      <w:docPartPr>
        <w:name w:val="{2accd3e8-0e4d-4389-8e5b-46b533b2472f}"/>
        <w:style w:val=""/>
        <w:category>
          <w:name w:val="常规"/>
          <w:gallery w:val="placeholder"/>
        </w:category>
        <w:types>
          <w:type w:val="bbPlcHdr"/>
        </w:types>
        <w:behaviors>
          <w:behavior w:val="content"/>
        </w:behaviors>
        <w:description w:val=""/>
        <w:guid w:val="{2ACCD3E8-0E4D-4389-8E5B-46B533B2472F}"/>
      </w:docPartPr>
      <w:docPartBody>
        <w:p w14:paraId="48FAF563">
          <w:r>
            <w:rPr>
              <w:color w:val="808080"/>
            </w:rPr>
            <w:t>单击此处输入文字。</w:t>
          </w:r>
        </w:p>
      </w:docPartBody>
    </w:docPart>
    <w:docPart>
      <w:docPartPr>
        <w:name w:val="{96203934-d095-4be2-b6cf-80e84c0b8e2c}"/>
        <w:style w:val=""/>
        <w:category>
          <w:name w:val="常规"/>
          <w:gallery w:val="placeholder"/>
        </w:category>
        <w:types>
          <w:type w:val="bbPlcHdr"/>
        </w:types>
        <w:behaviors>
          <w:behavior w:val="content"/>
        </w:behaviors>
        <w:description w:val=""/>
        <w:guid w:val="{96203934-D095-4BE2-B6CF-80E84C0B8E2C}"/>
      </w:docPartPr>
      <w:docPartBody>
        <w:p w14:paraId="71533B80">
          <w:r>
            <w:rPr>
              <w:color w:val="808080"/>
            </w:rPr>
            <w:t>单击此处输入文字。</w:t>
          </w:r>
        </w:p>
      </w:docPartBody>
    </w:docPart>
    <w:docPart>
      <w:docPartPr>
        <w:name w:val="{28c069f0-5dc0-440f-8e27-13367af4120e}"/>
        <w:style w:val=""/>
        <w:category>
          <w:name w:val="常规"/>
          <w:gallery w:val="placeholder"/>
        </w:category>
        <w:types>
          <w:type w:val="bbPlcHdr"/>
        </w:types>
        <w:behaviors>
          <w:behavior w:val="content"/>
        </w:behaviors>
        <w:description w:val=""/>
        <w:guid w:val="{28C069F0-5DC0-440F-8E27-13367AF4120E}"/>
      </w:docPartPr>
      <w:docPartBody>
        <w:p w14:paraId="4817E441">
          <w:r>
            <w:rPr>
              <w:color w:val="808080"/>
            </w:rPr>
            <w:t>单击此处输入文字。</w:t>
          </w:r>
        </w:p>
      </w:docPartBody>
    </w:docPart>
    <w:docPart>
      <w:docPartPr>
        <w:name w:val="{a397594a-4013-4f6a-833b-385be5384998}"/>
        <w:style w:val=""/>
        <w:category>
          <w:name w:val="常规"/>
          <w:gallery w:val="placeholder"/>
        </w:category>
        <w:types>
          <w:type w:val="bbPlcHdr"/>
        </w:types>
        <w:behaviors>
          <w:behavior w:val="content"/>
        </w:behaviors>
        <w:description w:val=""/>
        <w:guid w:val="{A397594A-4013-4F6A-833B-385BE5384998}"/>
      </w:docPartPr>
      <w:docPartBody>
        <w:p w14:paraId="38B16011">
          <w:r>
            <w:rPr>
              <w:color w:val="808080"/>
            </w:rPr>
            <w:t>单击此处输入文字。</w:t>
          </w:r>
        </w:p>
      </w:docPartBody>
    </w:docPart>
    <w:docPart>
      <w:docPartPr>
        <w:name w:val="{0d1f5685-4a1a-46d1-9e5e-0573f4b437ba}"/>
        <w:style w:val=""/>
        <w:category>
          <w:name w:val="常规"/>
          <w:gallery w:val="placeholder"/>
        </w:category>
        <w:types>
          <w:type w:val="bbPlcHdr"/>
        </w:types>
        <w:behaviors>
          <w:behavior w:val="content"/>
        </w:behaviors>
        <w:description w:val=""/>
        <w:guid w:val="{0D1F5685-4A1A-46D1-9E5E-0573F4B437BA}"/>
      </w:docPartPr>
      <w:docPartBody>
        <w:p w14:paraId="4DA7C8F3">
          <w:r>
            <w:rPr>
              <w:color w:val="808080"/>
            </w:rPr>
            <w:t>单击此处输入文字。</w:t>
          </w:r>
        </w:p>
      </w:docPartBody>
    </w:docPart>
    <w:docPart>
      <w:docPartPr>
        <w:name w:val="{ae27bc1c-4179-491a-b73e-f34bf74c42cf}"/>
        <w:style w:val=""/>
        <w:category>
          <w:name w:val="常规"/>
          <w:gallery w:val="placeholder"/>
        </w:category>
        <w:types>
          <w:type w:val="bbPlcHdr"/>
        </w:types>
        <w:behaviors>
          <w:behavior w:val="content"/>
        </w:behaviors>
        <w:description w:val=""/>
        <w:guid w:val="{AE27BC1C-4179-491A-B73E-F34BF74C42CF}"/>
      </w:docPartPr>
      <w:docPartBody>
        <w:p w14:paraId="73EB0686">
          <w:r>
            <w:rPr>
              <w:color w:val="808080"/>
            </w:rPr>
            <w:t>单击此处输入文字。</w:t>
          </w:r>
        </w:p>
      </w:docPartBody>
    </w:docPart>
    <w:docPart>
      <w:docPartPr>
        <w:name w:val="{cedb37b1-1007-4251-9670-d0129c8018d7}"/>
        <w:style w:val=""/>
        <w:category>
          <w:name w:val="常规"/>
          <w:gallery w:val="placeholder"/>
        </w:category>
        <w:types>
          <w:type w:val="bbPlcHdr"/>
        </w:types>
        <w:behaviors>
          <w:behavior w:val="content"/>
        </w:behaviors>
        <w:description w:val=""/>
        <w:guid w:val="{CEDB37B1-1007-4251-9670-D0129C8018D7}"/>
      </w:docPartPr>
      <w:docPartBody>
        <w:p w14:paraId="1879B2F7">
          <w:r>
            <w:rPr>
              <w:color w:val="808080"/>
            </w:rPr>
            <w:t>单击此处输入文字。</w:t>
          </w:r>
        </w:p>
      </w:docPartBody>
    </w:docPart>
    <w:docPart>
      <w:docPartPr>
        <w:name w:val="{f51a1877-b280-4ba1-a8b9-01aa5082db22}"/>
        <w:style w:val=""/>
        <w:category>
          <w:name w:val="常规"/>
          <w:gallery w:val="placeholder"/>
        </w:category>
        <w:types>
          <w:type w:val="bbPlcHdr"/>
        </w:types>
        <w:behaviors>
          <w:behavior w:val="content"/>
        </w:behaviors>
        <w:description w:val=""/>
        <w:guid w:val="{F51A1877-B280-4BA1-A8B9-01AA5082DB22}"/>
      </w:docPartPr>
      <w:docPartBody>
        <w:p w14:paraId="2969A487">
          <w:r>
            <w:rPr>
              <w:color w:val="808080"/>
            </w:rPr>
            <w:t>单击此处输入文字。</w:t>
          </w:r>
        </w:p>
      </w:docPartBody>
    </w:docPart>
    <w:docPart>
      <w:docPartPr>
        <w:name w:val="{5099e653-f5e7-4816-b44a-1b68abeb78ad}"/>
        <w:style w:val=""/>
        <w:category>
          <w:name w:val="常规"/>
          <w:gallery w:val="placeholder"/>
        </w:category>
        <w:types>
          <w:type w:val="bbPlcHdr"/>
        </w:types>
        <w:behaviors>
          <w:behavior w:val="content"/>
        </w:behaviors>
        <w:description w:val=""/>
        <w:guid w:val="{5099E653-F5E7-4816-B44A-1B68ABEB78AD}"/>
      </w:docPartPr>
      <w:docPartBody>
        <w:p w14:paraId="49C99DCB">
          <w:r>
            <w:rPr>
              <w:color w:val="808080"/>
            </w:rPr>
            <w:t>单击此处输入文字。</w:t>
          </w:r>
        </w:p>
      </w:docPartBody>
    </w:docPart>
    <w:docPart>
      <w:docPartPr>
        <w:name w:val="{82c10f51-1c38-46bd-b04a-61cd8baf4242}"/>
        <w:style w:val=""/>
        <w:category>
          <w:name w:val="常规"/>
          <w:gallery w:val="placeholder"/>
        </w:category>
        <w:types>
          <w:type w:val="bbPlcHdr"/>
        </w:types>
        <w:behaviors>
          <w:behavior w:val="content"/>
        </w:behaviors>
        <w:description w:val=""/>
        <w:guid w:val="{82C10F51-1C38-46BD-B04A-61CD8BAF4242}"/>
      </w:docPartPr>
      <w:docPartBody>
        <w:p w14:paraId="5F1E05DE">
          <w:r>
            <w:rPr>
              <w:color w:val="808080"/>
            </w:rPr>
            <w:t>单击此处输入文字。</w:t>
          </w:r>
        </w:p>
      </w:docPartBody>
    </w:docPart>
    <w:docPart>
      <w:docPartPr>
        <w:name w:val="{2eb6074b-5853-491a-a36d-0799906c0029}"/>
        <w:style w:val=""/>
        <w:category>
          <w:name w:val="常规"/>
          <w:gallery w:val="placeholder"/>
        </w:category>
        <w:types>
          <w:type w:val="bbPlcHdr"/>
        </w:types>
        <w:behaviors>
          <w:behavior w:val="content"/>
        </w:behaviors>
        <w:description w:val=""/>
        <w:guid w:val="{2EB6074B-5853-491A-A36D-0799906C0029}"/>
      </w:docPartPr>
      <w:docPartBody>
        <w:p w14:paraId="5C4EF965">
          <w:r>
            <w:rPr>
              <w:color w:val="808080"/>
            </w:rPr>
            <w:t>单击此处输入文字。</w:t>
          </w:r>
        </w:p>
      </w:docPartBody>
    </w:docPart>
    <w:docPart>
      <w:docPartPr>
        <w:name w:val="{08c07cfe-4f3b-4ecf-81e2-c9f98dae03dc}"/>
        <w:style w:val=""/>
        <w:category>
          <w:name w:val="常规"/>
          <w:gallery w:val="placeholder"/>
        </w:category>
        <w:types>
          <w:type w:val="bbPlcHdr"/>
        </w:types>
        <w:behaviors>
          <w:behavior w:val="content"/>
        </w:behaviors>
        <w:description w:val=""/>
        <w:guid w:val="{08C07CFE-4F3B-4ECF-81E2-C9F98DAE03DC}"/>
      </w:docPartPr>
      <w:docPartBody>
        <w:p w14:paraId="3BAACF08">
          <w:r>
            <w:rPr>
              <w:color w:val="808080"/>
            </w:rPr>
            <w:t>单击此处输入文字。</w:t>
          </w:r>
        </w:p>
      </w:docPartBody>
    </w:docPart>
    <w:docPart>
      <w:docPartPr>
        <w:name w:val="{32a66411-594b-4d45-a359-4e28c7533d49}"/>
        <w:style w:val=""/>
        <w:category>
          <w:name w:val="常规"/>
          <w:gallery w:val="placeholder"/>
        </w:category>
        <w:types>
          <w:type w:val="bbPlcHdr"/>
        </w:types>
        <w:behaviors>
          <w:behavior w:val="content"/>
        </w:behaviors>
        <w:description w:val=""/>
        <w:guid w:val="{32A66411-594B-4D45-A359-4E28C7533D49}"/>
      </w:docPartPr>
      <w:docPartBody>
        <w:p w14:paraId="5389BCD4">
          <w:r>
            <w:rPr>
              <w:color w:val="808080"/>
            </w:rPr>
            <w:t>单击此处输入文字。</w:t>
          </w:r>
        </w:p>
      </w:docPartBody>
    </w:docPart>
    <w:docPart>
      <w:docPartPr>
        <w:name w:val="{5ffe5820-05c2-4e45-bba2-97ad62ffcf64}"/>
        <w:style w:val=""/>
        <w:category>
          <w:name w:val="常规"/>
          <w:gallery w:val="placeholder"/>
        </w:category>
        <w:types>
          <w:type w:val="bbPlcHdr"/>
        </w:types>
        <w:behaviors>
          <w:behavior w:val="content"/>
        </w:behaviors>
        <w:description w:val=""/>
        <w:guid w:val="{5FFE5820-05C2-4E45-BBA2-97AD62FFCF64}"/>
      </w:docPartPr>
      <w:docPartBody>
        <w:p w14:paraId="32EBE2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0470"/>
    <w:rsid w:val="00163538"/>
    <w:rsid w:val="00197E79"/>
    <w:rsid w:val="004F49F9"/>
    <w:rsid w:val="005479D7"/>
    <w:rsid w:val="005511B1"/>
    <w:rsid w:val="009D61EF"/>
    <w:rsid w:val="00C00470"/>
    <w:rsid w:val="00C01B35"/>
    <w:rsid w:val="00C6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28830</Words>
  <Characters>29621</Characters>
  <Lines>222</Lines>
  <Paragraphs>62</Paragraphs>
  <TotalTime>46</TotalTime>
  <ScaleCrop>false</ScaleCrop>
  <LinksUpToDate>false</LinksUpToDate>
  <CharactersWithSpaces>29730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2022-07-19T05:25:00Z</dcterms:created>
  <dc:creator>Administrator</dc:creator>
  <cp:lastModifiedBy>政务公开室</cp:lastModifiedBy>
  <cp:lastPrinted>2022-08-17T02:38:00Z</cp:lastPrinted>
  <dcterms:modified xsi:type="dcterms:W3CDTF">2025-04-25T07:25:17Z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0D934B2ACD984FC382DE8E31302C6B34_12</vt:lpwstr>
  </property>
  <property fmtid="{D5CDD505-2E9C-101B-9397-08002B2CF9AE}" pid="4" name="KSOTemplateDocerSaveRecord">
    <vt:lpwstr>eyJoZGlkIjoiMmQxNzk2NGIzYmY1NTUxMzkyODJmNDYwYzUzN2JkOTQiLCJ1c2VySWQiOiIyNDc1MjUzMDgifQ==</vt:lpwstr>
  </property>
</Properties>
</file>