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ind w:firstLine="975" w:firstLineChars="750"/>
        <w:jc w:val="both"/>
        <w:rPr>
          <w:rFonts w:hint="eastAsia" w:ascii="仿宋" w:hAnsi="仿宋" w:eastAsia="仿宋" w:cs="仿宋"/>
          <w:sz w:val="13"/>
          <w:szCs w:val="13"/>
        </w:rPr>
      </w:pPr>
    </w:p>
    <w:p>
      <w:pPr>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鄂尔多斯市水镜湖沙漠旅游开发有限公司</w:t>
      </w: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水镜湖沙漠旅游区建设项目取水许可</w:t>
      </w:r>
    </w:p>
    <w:p>
      <w:pPr>
        <w:spacing w:line="360" w:lineRule="auto"/>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审批准予行政许可决定书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鄂尔多斯市水镜湖沙漠旅游开发有限公司：</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单位提交的鄂尔多斯市水镜湖沙漠旅游开发有限公司水镜湖沙漠旅游区建设项目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numPr>
          <w:ilvl w:val="0"/>
          <w:numId w:val="1"/>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项目位于鄂尔多斯市达拉特旗风水梁镇乌兰壕村，该项目于2021年8月3日由达拉特旗发展和改革委员会进行了备案，项目代码：2018-150621-04-01-678284。该项目为新建项目，拟于2023年5月开工，2023年10月竣工。 </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二、结合区域水资源条件，项目施工期及运营期生产、生活取水水源均为地下水，由项目区内已有的自备水源井提供。水源井坐标：E：110°38′51.4″，N：40°4′13.583″，水源选取基本合理。 </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经水平衡计算和用水合理性分析，该项目施工期生产及生活用水量为1965m³。运营期旺季日最大取水量30.15m³/d，旺季运营天数100d，</w:t>
      </w:r>
      <w:bookmarkStart w:id="1" w:name="_GoBack"/>
      <w:bookmarkEnd w:id="1"/>
      <w:r>
        <w:rPr>
          <w:rFonts w:hint="eastAsia" w:ascii="仿宋_GB2312" w:hAnsi="仿宋_GB2312" w:eastAsia="仿宋_GB2312" w:cs="仿宋_GB2312"/>
          <w:color w:val="000000"/>
          <w:kern w:val="0"/>
          <w:sz w:val="32"/>
          <w:szCs w:val="32"/>
          <w:lang w:val="en-US" w:eastAsia="zh-CN" w:bidi="ar"/>
        </w:rPr>
        <w:t xml:space="preserve">淡季日最大取水量20.7m³/d，淡季天数80d，则项目年用水量4671m³/a。水源井位于项目区，不考虑输水损失，则该项目取水量为0.47万m³/a。核定后，项目区职工办公用水量为30L/（人·d），游客冲厕用水量为4.5L/（人·次），符合《内蒙古自治区地方标准 行业用水定额》（DB15/T385-2020）的要求。审查认为，项目取用水规模、用水分析及相关参数选取基本合理。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三、基本同意《报告书》中提出的水质分析标准，地下水水质符合《生活饮用水卫生标准》（GB5749-2006）的指标要求。满足本项目用水水质要求。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基本同意《报告书》提出的废污水处理回用及退水影响分析结论。该项目施工期及运营期生活污水经管网收集后排入水镜湖休闲度假旅游区二期项目配套的污水处理站，该污水处理站的剩余处理能力完全可接纳该项目的污水量，处理后再生水水质达到《城市污水再生利用 城市杂用水水质标准》（GB/T18920-2020），处理达标后的再生水回用于旅游区的生态补水。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《取水许可管理办法》第二十二条规定，取水工程或者设施建成并试运行满30日，且计量和监测设备能稳定读取水量数据后，向我局报送取水工程（设施）建设和运行报告，申请核发取水许可证。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附件：1.《取水许可申请书》</w:t>
      </w:r>
    </w:p>
    <w:p>
      <w:pPr>
        <w:keepNext w:val="0"/>
        <w:keepLines w:val="0"/>
        <w:pageBreakBefore w:val="0"/>
        <w:widowControl/>
        <w:suppressLineNumbers w:val="0"/>
        <w:kinsoku/>
        <w:wordWrap/>
        <w:overflowPunct/>
        <w:topLinePunct w:val="0"/>
        <w:autoSpaceDE/>
        <w:autoSpaceDN/>
        <w:bidi w:val="0"/>
        <w:spacing w:line="560" w:lineRule="exact"/>
        <w:ind w:firstLine="1600" w:firstLineChars="5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2.鄂尔多斯市水镜湖沙漠旅游开发有限公司水镜湖沙漠旅游区建设项目水资源论证报告书技术审查意见</w:t>
      </w: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2023年1月16日</w:t>
      </w:r>
    </w:p>
    <w:p>
      <w:pPr>
        <w:spacing w:line="600" w:lineRule="exact"/>
        <w:rPr>
          <w:rFonts w:hint="eastAsia" w:ascii="仿宋_GB2312" w:eastAsia="仿宋_GB2312"/>
          <w:color w:val="auto"/>
          <w:sz w:val="28"/>
          <w:szCs w:val="28"/>
          <w:lang w:val="en-US" w:eastAsia="zh-CN"/>
        </w:rPr>
      </w:pPr>
    </w:p>
    <w:p>
      <w:pPr>
        <w:spacing w:line="600" w:lineRule="exact"/>
        <w:rPr>
          <w:rFonts w:hint="eastAsia" w:ascii="仿宋_GB2312" w:eastAsia="仿宋_GB2312"/>
          <w:color w:val="auto"/>
          <w:sz w:val="28"/>
          <w:szCs w:val="28"/>
          <w:lang w:val="en-US" w:eastAsia="zh-CN"/>
        </w:rPr>
      </w:pPr>
    </w:p>
    <w:p>
      <w:pPr>
        <w:pStyle w:val="8"/>
        <w:rPr>
          <w:rFonts w:hint="eastAsia"/>
          <w:lang w:val="en-US" w:eastAsia="zh-CN"/>
        </w:rPr>
      </w:pPr>
    </w:p>
    <w:p>
      <w:pPr>
        <w:spacing w:line="600" w:lineRule="exact"/>
        <w:rPr>
          <w:rFonts w:hint="eastAsia" w:ascii="仿宋_GB2312" w:eastAsia="仿宋_GB2312"/>
          <w:color w:val="auto"/>
          <w:sz w:val="28"/>
          <w:szCs w:val="28"/>
          <w:lang w:val="en-US" w:eastAsia="zh-CN"/>
        </w:rPr>
      </w:pPr>
    </w:p>
    <w:p>
      <w:pPr>
        <w:pStyle w:val="8"/>
        <w:rPr>
          <w:rFonts w:hint="eastAsia" w:ascii="仿宋_GB2312" w:eastAsia="仿宋_GB2312"/>
          <w:color w:val="auto"/>
          <w:sz w:val="28"/>
          <w:szCs w:val="28"/>
          <w:lang w:val="en-US" w:eastAsia="zh-CN"/>
        </w:rPr>
      </w:pPr>
    </w:p>
    <w:p>
      <w:pPr>
        <w:pStyle w:val="11"/>
        <w:rPr>
          <w:rFonts w:hint="eastAsia" w:ascii="仿宋_GB2312" w:eastAsia="仿宋_GB2312"/>
          <w:color w:val="auto"/>
          <w:sz w:val="28"/>
          <w:szCs w:val="28"/>
          <w:lang w:val="en-US" w:eastAsia="zh-CN"/>
        </w:rPr>
      </w:pPr>
    </w:p>
    <w:p>
      <w:pPr>
        <w:pStyle w:val="12"/>
        <w:rPr>
          <w:rFonts w:hint="eastAsia" w:ascii="仿宋_GB2312" w:eastAsia="仿宋_GB2312"/>
          <w:color w:val="auto"/>
          <w:sz w:val="28"/>
          <w:szCs w:val="28"/>
          <w:lang w:val="en-US" w:eastAsia="zh-CN"/>
        </w:rPr>
      </w:pPr>
    </w:p>
    <w:p>
      <w:pPr>
        <w:pStyle w:val="3"/>
        <w:rPr>
          <w:rFonts w:hint="eastAsia" w:ascii="仿宋_GB2312" w:eastAsia="仿宋_GB2312"/>
          <w:color w:val="auto"/>
          <w:sz w:val="28"/>
          <w:szCs w:val="28"/>
          <w:lang w:val="en-US" w:eastAsia="zh-CN"/>
        </w:rPr>
      </w:pPr>
    </w:p>
    <w:p>
      <w:pPr>
        <w:rPr>
          <w:rFonts w:hint="eastAsia" w:ascii="仿宋_GB2312" w:eastAsia="仿宋_GB2312"/>
          <w:color w:val="auto"/>
          <w:sz w:val="28"/>
          <w:szCs w:val="28"/>
          <w:lang w:val="en-US" w:eastAsia="zh-CN"/>
        </w:rPr>
      </w:pPr>
    </w:p>
    <w:p>
      <w:pPr>
        <w:pStyle w:val="8"/>
        <w:rPr>
          <w:rFonts w:hint="eastAsia" w:ascii="仿宋_GB2312" w:eastAsia="仿宋_GB2312"/>
          <w:color w:val="auto"/>
          <w:sz w:val="28"/>
          <w:szCs w:val="28"/>
          <w:lang w:val="en-US" w:eastAsia="zh-CN"/>
        </w:rPr>
      </w:pPr>
    </w:p>
    <w:p>
      <w:pPr>
        <w:pStyle w:val="8"/>
        <w:ind w:left="0" w:leftChars="0" w:firstLine="0" w:firstLineChars="0"/>
        <w:rPr>
          <w:rFonts w:hint="eastAsia"/>
          <w:lang w:val="en-US" w:eastAsia="zh-CN"/>
        </w:rPr>
      </w:pPr>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1</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16</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52B58"/>
    <w:multiLevelType w:val="singleLevel"/>
    <w:tmpl w:val="74A52B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3F1DFE"/>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D81DFD"/>
    <w:rsid w:val="0C031CBF"/>
    <w:rsid w:val="0C446C2E"/>
    <w:rsid w:val="0C840F9D"/>
    <w:rsid w:val="0D0510BF"/>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0FD41A3B"/>
    <w:rsid w:val="10226E6C"/>
    <w:rsid w:val="10D45A55"/>
    <w:rsid w:val="117C7CAB"/>
    <w:rsid w:val="11984429"/>
    <w:rsid w:val="11C65F78"/>
    <w:rsid w:val="11CD0FFB"/>
    <w:rsid w:val="120C223D"/>
    <w:rsid w:val="12525E03"/>
    <w:rsid w:val="129D071B"/>
    <w:rsid w:val="12EE5BBC"/>
    <w:rsid w:val="132940E2"/>
    <w:rsid w:val="13A35305"/>
    <w:rsid w:val="13E56EA9"/>
    <w:rsid w:val="14182743"/>
    <w:rsid w:val="1426228F"/>
    <w:rsid w:val="144E576A"/>
    <w:rsid w:val="14754FA0"/>
    <w:rsid w:val="15205AE9"/>
    <w:rsid w:val="158E52DA"/>
    <w:rsid w:val="15C15DC1"/>
    <w:rsid w:val="16107A4D"/>
    <w:rsid w:val="162D6387"/>
    <w:rsid w:val="16AB3398"/>
    <w:rsid w:val="16F25BF5"/>
    <w:rsid w:val="17492B6A"/>
    <w:rsid w:val="175541D3"/>
    <w:rsid w:val="175C5B35"/>
    <w:rsid w:val="175F1BF3"/>
    <w:rsid w:val="177F3F63"/>
    <w:rsid w:val="17A259EB"/>
    <w:rsid w:val="17D952DF"/>
    <w:rsid w:val="18000BA1"/>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7C72475"/>
    <w:rsid w:val="27FC7B73"/>
    <w:rsid w:val="28AF305B"/>
    <w:rsid w:val="28D37F04"/>
    <w:rsid w:val="2922155C"/>
    <w:rsid w:val="2A170307"/>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741B6D"/>
    <w:rsid w:val="2F8F3EA1"/>
    <w:rsid w:val="2F8F6560"/>
    <w:rsid w:val="30411EB0"/>
    <w:rsid w:val="306010C3"/>
    <w:rsid w:val="30656241"/>
    <w:rsid w:val="30694EE9"/>
    <w:rsid w:val="30BC4505"/>
    <w:rsid w:val="3101042C"/>
    <w:rsid w:val="312B32FF"/>
    <w:rsid w:val="313D6BFF"/>
    <w:rsid w:val="31420BAE"/>
    <w:rsid w:val="320C2BE0"/>
    <w:rsid w:val="329A03DE"/>
    <w:rsid w:val="32DC3EBE"/>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F63B8"/>
    <w:rsid w:val="3A124633"/>
    <w:rsid w:val="3A41052A"/>
    <w:rsid w:val="3AB100C5"/>
    <w:rsid w:val="3B3F6234"/>
    <w:rsid w:val="3B761719"/>
    <w:rsid w:val="3BA16BC5"/>
    <w:rsid w:val="3C433B5C"/>
    <w:rsid w:val="3C9A7B68"/>
    <w:rsid w:val="3D3E73C3"/>
    <w:rsid w:val="3DF04A32"/>
    <w:rsid w:val="3DF06634"/>
    <w:rsid w:val="3E441102"/>
    <w:rsid w:val="3E4F4FB5"/>
    <w:rsid w:val="3E93792F"/>
    <w:rsid w:val="3EC5725A"/>
    <w:rsid w:val="3F7E7D58"/>
    <w:rsid w:val="3FA2402D"/>
    <w:rsid w:val="3FBE7495"/>
    <w:rsid w:val="3FC4365A"/>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A43377"/>
    <w:rsid w:val="48C478D0"/>
    <w:rsid w:val="492A3BEC"/>
    <w:rsid w:val="493F6E01"/>
    <w:rsid w:val="49B44BED"/>
    <w:rsid w:val="49C369D7"/>
    <w:rsid w:val="4A4B30E2"/>
    <w:rsid w:val="4B3914BA"/>
    <w:rsid w:val="4B6A26A3"/>
    <w:rsid w:val="4B9F0D30"/>
    <w:rsid w:val="4BED4FF0"/>
    <w:rsid w:val="4C115F72"/>
    <w:rsid w:val="4C3B00CB"/>
    <w:rsid w:val="4C410A70"/>
    <w:rsid w:val="4C531DA4"/>
    <w:rsid w:val="4CA701BE"/>
    <w:rsid w:val="4CF71E1E"/>
    <w:rsid w:val="4D5034B3"/>
    <w:rsid w:val="4D674705"/>
    <w:rsid w:val="4D6B4D1A"/>
    <w:rsid w:val="4E97435F"/>
    <w:rsid w:val="4EEA3531"/>
    <w:rsid w:val="4F0D3F35"/>
    <w:rsid w:val="4FA0200C"/>
    <w:rsid w:val="50614CBD"/>
    <w:rsid w:val="51DA2954"/>
    <w:rsid w:val="5205051C"/>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8C00A66"/>
    <w:rsid w:val="59692187"/>
    <w:rsid w:val="597063F8"/>
    <w:rsid w:val="59A42E61"/>
    <w:rsid w:val="59C91724"/>
    <w:rsid w:val="5A0F2FF6"/>
    <w:rsid w:val="5A1237E0"/>
    <w:rsid w:val="5A76594E"/>
    <w:rsid w:val="5AED6748"/>
    <w:rsid w:val="5B161069"/>
    <w:rsid w:val="5B8501A8"/>
    <w:rsid w:val="5B8715D2"/>
    <w:rsid w:val="5BBC7991"/>
    <w:rsid w:val="5C0F53A9"/>
    <w:rsid w:val="5C2A10A8"/>
    <w:rsid w:val="5C657195"/>
    <w:rsid w:val="5CE8150D"/>
    <w:rsid w:val="5DB71576"/>
    <w:rsid w:val="5E407ECD"/>
    <w:rsid w:val="5EA15BD5"/>
    <w:rsid w:val="5F247461"/>
    <w:rsid w:val="5F382BCD"/>
    <w:rsid w:val="5F6E627D"/>
    <w:rsid w:val="5FB93F77"/>
    <w:rsid w:val="604D3C61"/>
    <w:rsid w:val="613368D3"/>
    <w:rsid w:val="61B61536"/>
    <w:rsid w:val="629E491B"/>
    <w:rsid w:val="62C3483E"/>
    <w:rsid w:val="63667667"/>
    <w:rsid w:val="64EA5B43"/>
    <w:rsid w:val="64F70509"/>
    <w:rsid w:val="66FB2F5F"/>
    <w:rsid w:val="67074CD3"/>
    <w:rsid w:val="679C490D"/>
    <w:rsid w:val="67B23715"/>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515A7E"/>
    <w:rsid w:val="6DE808FC"/>
    <w:rsid w:val="6E2222BB"/>
    <w:rsid w:val="6E390823"/>
    <w:rsid w:val="6EA94ABC"/>
    <w:rsid w:val="6ECA2AEA"/>
    <w:rsid w:val="6EDA040B"/>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6715C1"/>
    <w:rsid w:val="75B173E7"/>
    <w:rsid w:val="761415DE"/>
    <w:rsid w:val="764E73BA"/>
    <w:rsid w:val="773A5475"/>
    <w:rsid w:val="77D243F1"/>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C28382B"/>
    <w:rsid w:val="7C3976EC"/>
    <w:rsid w:val="7C4E2A32"/>
    <w:rsid w:val="7C542B1B"/>
    <w:rsid w:val="7CCB48DE"/>
    <w:rsid w:val="7CE608AF"/>
    <w:rsid w:val="7CFA35B7"/>
    <w:rsid w:val="7D17503F"/>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4">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ind w:firstLine="630"/>
    </w:pPr>
    <w:rPr>
      <w:rFonts w:ascii="Times New Roman" w:hAnsi="Times New Roman"/>
      <w:sz w:val="32"/>
      <w:szCs w:val="24"/>
    </w:rPr>
  </w:style>
  <w:style w:type="paragraph" w:styleId="5">
    <w:name w:val="table of authorities"/>
    <w:basedOn w:val="1"/>
    <w:next w:val="1"/>
    <w:qFormat/>
    <w:uiPriority w:val="0"/>
    <w:pPr>
      <w:ind w:left="420" w:leftChars="200" w:firstLine="562"/>
    </w:pPr>
    <w:rPr>
      <w:rFonts w:ascii="仿宋" w:hAnsi="仿宋" w:eastAsia="仿宋"/>
    </w:rPr>
  </w:style>
  <w:style w:type="paragraph" w:styleId="6">
    <w:name w:val="Normal Indent"/>
    <w:basedOn w:val="1"/>
    <w:qFormat/>
    <w:uiPriority w:val="0"/>
    <w:pPr>
      <w:adjustRightInd w:val="0"/>
      <w:ind w:firstLine="420"/>
      <w:jc w:val="left"/>
      <w:textAlignment w:val="baseline"/>
    </w:pPr>
    <w:rPr>
      <w:rFonts w:ascii="宋体"/>
      <w:kern w:val="0"/>
      <w:sz w:val="24"/>
      <w:szCs w:val="20"/>
    </w:rPr>
  </w:style>
  <w:style w:type="paragraph" w:styleId="7">
    <w:name w:val="Body Text"/>
    <w:basedOn w:val="1"/>
    <w:next w:val="8"/>
    <w:qFormat/>
    <w:uiPriority w:val="0"/>
    <w:pPr>
      <w:spacing w:after="120"/>
    </w:pPr>
  </w:style>
  <w:style w:type="paragraph" w:styleId="8">
    <w:name w:val="Body Text First Indent 2"/>
    <w:basedOn w:val="9"/>
    <w:next w:val="11"/>
    <w:qFormat/>
    <w:uiPriority w:val="0"/>
    <w:pPr>
      <w:ind w:firstLine="420"/>
    </w:pPr>
  </w:style>
  <w:style w:type="paragraph" w:styleId="9">
    <w:name w:val="Body Text Indent"/>
    <w:basedOn w:val="1"/>
    <w:next w:val="10"/>
    <w:qFormat/>
    <w:uiPriority w:val="0"/>
    <w:pPr>
      <w:autoSpaceDE w:val="0"/>
      <w:autoSpaceDN w:val="0"/>
      <w:adjustRightInd w:val="0"/>
      <w:spacing w:line="360" w:lineRule="auto"/>
      <w:ind w:right="156" w:firstLine="480" w:firstLineChars="200"/>
    </w:pPr>
    <w:rPr>
      <w:sz w:val="24"/>
    </w:rPr>
  </w:style>
  <w:style w:type="paragraph" w:customStyle="1" w:styleId="10">
    <w:name w:val="样式 正文文本缩进 + 行距: 1.5 倍行距"/>
    <w:basedOn w:val="1"/>
    <w:qFormat/>
    <w:uiPriority w:val="0"/>
    <w:pPr>
      <w:spacing w:after="120" w:line="360" w:lineRule="auto"/>
      <w:ind w:left="90" w:leftChars="32" w:firstLine="560" w:firstLineChars="200"/>
    </w:pPr>
    <w:rPr>
      <w:rFonts w:cs="宋体"/>
    </w:rPr>
  </w:style>
  <w:style w:type="paragraph" w:styleId="11">
    <w:name w:val="Body Text First Indent"/>
    <w:basedOn w:val="7"/>
    <w:next w:val="12"/>
    <w:qFormat/>
    <w:uiPriority w:val="0"/>
    <w:pPr>
      <w:ind w:firstLine="420" w:firstLineChars="100"/>
    </w:pPr>
  </w:style>
  <w:style w:type="paragraph" w:customStyle="1" w:styleId="12">
    <w:name w:val="样式 宋体 小四 行距: 1.5 倍行距"/>
    <w:basedOn w:val="1"/>
    <w:next w:val="3"/>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3">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4">
    <w:name w:val="Date"/>
    <w:basedOn w:val="1"/>
    <w:next w:val="1"/>
    <w:link w:val="25"/>
    <w:semiHidden/>
    <w:unhideWhenUsed/>
    <w:qFormat/>
    <w:uiPriority w:val="99"/>
    <w:pPr>
      <w:ind w:left="100" w:leftChars="2500"/>
    </w:pPr>
  </w:style>
  <w:style w:type="paragraph" w:styleId="15">
    <w:name w:val="Balloon Text"/>
    <w:basedOn w:val="1"/>
    <w:link w:val="27"/>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jc w:val="left"/>
    </w:pPr>
    <w:rPr>
      <w:rFonts w:ascii="宋体" w:hAnsi="宋体" w:eastAsia="宋体" w:cs="宋体"/>
      <w:kern w:val="0"/>
      <w:sz w:val="24"/>
      <w:szCs w:val="24"/>
    </w:rPr>
  </w:style>
  <w:style w:type="character" w:styleId="21">
    <w:name w:val="page number"/>
    <w:basedOn w:val="20"/>
    <w:qFormat/>
    <w:uiPriority w:val="0"/>
  </w:style>
  <w:style w:type="paragraph" w:customStyle="1" w:styleId="22">
    <w:name w:val="BodyText1I"/>
    <w:basedOn w:val="1"/>
    <w:qFormat/>
    <w:uiPriority w:val="0"/>
    <w:pPr>
      <w:ind w:firstLine="420" w:firstLineChars="100"/>
      <w:jc w:val="both"/>
      <w:textAlignment w:val="baseline"/>
    </w:p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日期 Char"/>
    <w:basedOn w:val="20"/>
    <w:link w:val="14"/>
    <w:semiHidden/>
    <w:qFormat/>
    <w:uiPriority w:val="99"/>
  </w:style>
  <w:style w:type="paragraph" w:customStyle="1" w:styleId="26">
    <w:name w:val="4 Char"/>
    <w:basedOn w:val="1"/>
    <w:qFormat/>
    <w:uiPriority w:val="0"/>
    <w:rPr>
      <w:rFonts w:ascii="Times New Roman" w:hAnsi="Times New Roman" w:eastAsia="宋体" w:cs="Times New Roman"/>
      <w:szCs w:val="24"/>
    </w:rPr>
  </w:style>
  <w:style w:type="character" w:customStyle="1" w:styleId="27">
    <w:name w:val="批注框文本 Char"/>
    <w:basedOn w:val="20"/>
    <w:link w:val="15"/>
    <w:semiHidden/>
    <w:qFormat/>
    <w:uiPriority w:val="99"/>
    <w:rPr>
      <w:sz w:val="18"/>
      <w:szCs w:val="18"/>
    </w:rPr>
  </w:style>
  <w:style w:type="character" w:customStyle="1" w:styleId="28">
    <w:name w:val="fontstyle01"/>
    <w:qFormat/>
    <w:uiPriority w:val="0"/>
    <w:rPr>
      <w:rFonts w:hint="default" w:ascii="F1" w:hAnsi="F1"/>
      <w:color w:val="000000"/>
      <w:sz w:val="28"/>
      <w:szCs w:val="28"/>
    </w:rPr>
  </w:style>
  <w:style w:type="paragraph" w:customStyle="1" w:styleId="29">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1398</Words>
  <Characters>1538</Characters>
  <Lines>8</Lines>
  <Paragraphs>2</Paragraphs>
  <TotalTime>5</TotalTime>
  <ScaleCrop>false</ScaleCrop>
  <LinksUpToDate>false</LinksUpToDate>
  <CharactersWithSpaces>1587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2017-06-19T08:13:00Z</dcterms:created>
  <dc:creator>1</dc:creator>
  <cp:lastModifiedBy>安吉拉</cp:lastModifiedBy>
  <cp:lastPrinted>2022-06-08T03:38:00Z</cp:lastPrinted>
  <dcterms:modified xsi:type="dcterms:W3CDTF">2023-02-08T02:41:55Z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18F56E52C95E4549A41ADB6E4381677B</vt:lpwstr>
  </property>
</Properties>
</file>