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rPr>
          <w:rFonts w:hint="eastAsia"/>
        </w:rPr>
      </w:pPr>
    </w:p>
    <w:p>
      <w:pPr>
        <w:pStyle w:val="2"/>
        <w:rPr>
          <w:rFonts w:hint="eastAsia"/>
        </w:rPr>
      </w:pPr>
    </w:p>
    <w:p>
      <w:pPr>
        <w:jc w:val="center"/>
        <w:rPr>
          <w:rFonts w:ascii="仿宋" w:hAnsi="仿宋" w:eastAsia="仿宋" w:cs="仿宋"/>
          <w:sz w:val="32"/>
          <w:szCs w:val="32"/>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高头窑煤矿至达拉特经济开发区疏干水</w:t>
      </w:r>
    </w:p>
    <w:p>
      <w:pPr>
        <w:pStyle w:val="5"/>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供水工程水土保持方案审批报告书</w:t>
      </w:r>
    </w:p>
    <w:p>
      <w:pPr>
        <w:pStyle w:val="5"/>
        <w:keepNext w:val="0"/>
        <w:keepLines w:val="0"/>
        <w:pageBreakBefore w:val="0"/>
        <w:widowControl w:val="0"/>
        <w:kinsoku/>
        <w:wordWrap/>
        <w:overflowPunct/>
        <w:topLinePunct w:val="0"/>
        <w:autoSpaceDE/>
        <w:autoSpaceDN/>
        <w:bidi w:val="0"/>
        <w:adjustRightInd/>
        <w:snapToGrid/>
        <w:spacing w:line="560" w:lineRule="exact"/>
        <w:ind w:left="1151" w:hanging="1151"/>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240" w:lineRule="atLeast"/>
        <w:jc w:val="left"/>
        <w:outlineLvl w:val="0"/>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内蒙古北联电能源开发有限责任公司高头窑煤矿：</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你单位《关于申请审查高头窑煤矿至达拉特经济开发区疏干水供水工程的请示》已收悉。经审核，基本同意该水土保持方案，现批复如下：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一、项目建设内容及项目区概况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高头窑煤矿至达拉特经济开发区疏干水供水工程位于内蒙古鄂尔多斯市达拉特旗境内，沿线涉及 3 个镇（苏木）， </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即昭君镇、展旦召苏木、树林召镇，起点接高头窑煤矿已建疏干水蓄水池（坐标：东经 109°38′12.74″ ；北纬 40°1′23.08″。），终点到达三垧梁工业园区润达水厂调节水池（坐标：东经 110°3′15.22″ ；北纬 40°18′57.01″），管道总长度 64.553km，年供水量 540 万 m³。</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2022 年 8 月 12 日取得达拉特旗发展和改革委员会《高头窑煤矿至达拉特经济开发区疏干水供水工程备案告知书》（达拉特旗发展和改革委员会，2208-150621-04-01-462396），后因项目工程量改变，建设 </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单位重新备案，于 2023 年 2 月 17 日重新取得《高头窑煤矿至达拉特经济开发区疏干水供水工程项目备案告知书》（达拉特旗发展和改革委员会，2208-150621-04-01-462396）。</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本项目属新建建设类项目,工程年供水能力 540万m³，输水管线总长度64.553km，管网为单回路管网。本项目由输水工程、调流调压阀室工程及施工场地区组成。项目区总征占地面积为 142.54h㎡，其中永久占地 0.04h㎡，临时占地142.50h㎡，占地类型为耕地、林地、草地、交通运输用地、河床沟道和其他用地。工程共动用土石方总量 89.18</w:t>
      </w:r>
      <w:r>
        <w:rPr>
          <w:rFonts w:hint="default" w:ascii="仿宋_GB2312" w:hAnsi="仿宋_GB2312" w:eastAsia="仿宋_GB2312" w:cs="仿宋_GB2312"/>
          <w:color w:val="000000"/>
          <w:kern w:val="0"/>
          <w:sz w:val="32"/>
          <w:szCs w:val="32"/>
          <w:lang w:eastAsia="zh-CN" w:bidi="ar"/>
        </w:rPr>
        <w:t>万m³</w:t>
      </w:r>
      <w:r>
        <w:rPr>
          <w:rFonts w:hint="eastAsia" w:ascii="仿宋_GB2312" w:hAnsi="仿宋_GB2312" w:eastAsia="仿宋_GB2312" w:cs="仿宋_GB2312"/>
          <w:color w:val="000000"/>
          <w:kern w:val="0"/>
          <w:sz w:val="32"/>
          <w:szCs w:val="32"/>
          <w:lang w:val="en-US" w:eastAsia="zh-CN" w:bidi="ar"/>
        </w:rPr>
        <w:t>，其中挖方 44.59</w:t>
      </w:r>
      <w:r>
        <w:rPr>
          <w:rFonts w:hint="default" w:ascii="仿宋_GB2312" w:hAnsi="仿宋_GB2312" w:eastAsia="仿宋_GB2312" w:cs="仿宋_GB2312"/>
          <w:color w:val="000000"/>
          <w:kern w:val="0"/>
          <w:sz w:val="32"/>
          <w:szCs w:val="32"/>
          <w:lang w:eastAsia="zh-CN" w:bidi="ar"/>
        </w:rPr>
        <w:t>万m³</w:t>
      </w:r>
      <w:r>
        <w:rPr>
          <w:rFonts w:hint="eastAsia" w:ascii="仿宋_GB2312" w:hAnsi="仿宋_GB2312" w:eastAsia="仿宋_GB2312" w:cs="仿宋_GB2312"/>
          <w:color w:val="000000"/>
          <w:kern w:val="0"/>
          <w:sz w:val="32"/>
          <w:szCs w:val="32"/>
          <w:lang w:val="en-US" w:eastAsia="zh-CN" w:bidi="ar"/>
        </w:rPr>
        <w:t>（含表土剥离），填方 44.59</w:t>
      </w:r>
      <w:r>
        <w:rPr>
          <w:rFonts w:hint="default" w:ascii="仿宋_GB2312" w:hAnsi="仿宋_GB2312" w:eastAsia="仿宋_GB2312" w:cs="仿宋_GB2312"/>
          <w:color w:val="000000"/>
          <w:kern w:val="0"/>
          <w:sz w:val="32"/>
          <w:szCs w:val="32"/>
          <w:lang w:eastAsia="zh-CN" w:bidi="ar"/>
        </w:rPr>
        <w:t>万m³</w:t>
      </w:r>
      <w:r>
        <w:rPr>
          <w:rFonts w:hint="eastAsia" w:ascii="仿宋_GB2312" w:hAnsi="仿宋_GB2312" w:eastAsia="仿宋_GB2312" w:cs="仿宋_GB2312"/>
          <w:color w:val="000000"/>
          <w:kern w:val="0"/>
          <w:sz w:val="32"/>
          <w:szCs w:val="32"/>
          <w:lang w:val="en-US" w:eastAsia="zh-CN" w:bidi="ar"/>
        </w:rPr>
        <w:t>（含表土回覆），挖填平衡，无弃方。工程计划于 2023 年 3 月开工建设，预计 2023 年 12 月完工，总工期10 个月。工程总投资 8521.48 万元，其中土建投资 3664.23 万元，资金来源为企业自筹。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项目管道沿线经过丘陵沟壑区、风沙区两类地貌，项目区属中温带半干旱大陆性气候，多年平均气温 6.1°C，多年平均降水量 310.3mm，多年平均蒸发量 2161.3mm；年平均风速 3.2m/s，大风日数 24d；最大冻土深度 1.62m，无霜期 135d。丘陵沟壑区段土壤以栗钙土为主，植被类型属典型草原植被，植被盖度为 30%；风沙区段土壤以风沙土为 主。植被类型属沙生植被，植被盖度在 10%~30%间。项目丘陵沟壑区侵蚀模数为：水力侵蚀模数为 4000t/k㎡•a，风力侵蚀模数为1500t/k㎡•a；风沙区（流动沙丘段）水力侵蚀模数为 500t/k㎡•a，风力侵蚀模数为 8000t/k㎡•a；风沙区（固定半固定段）水力侵蚀模数为 500t/k㎡•a，风力侵蚀模数为 4500t/k㎡•a。属黄河多沙粗沙国家级水土流失重点治理区。项目区土壤容许流失量为1000t/k㎡·a。</w:t>
      </w:r>
    </w:p>
    <w:p>
      <w:pPr>
        <w:pStyle w:val="5"/>
        <w:keepNext w:val="0"/>
        <w:keepLines w:val="0"/>
        <w:pageBreakBefore w:val="0"/>
        <w:widowControl w:val="0"/>
        <w:kinsoku/>
        <w:wordWrap/>
        <w:overflowPunct/>
        <w:topLinePunct w:val="0"/>
        <w:autoSpaceDE/>
        <w:autoSpaceDN/>
        <w:bidi w:val="0"/>
        <w:adjustRightInd/>
        <w:snapToGrid/>
        <w:spacing w:line="560" w:lineRule="exact"/>
        <w:ind w:left="1356" w:leftChars="268" w:hanging="793" w:hangingChars="248"/>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方案设计水平年为</w:t>
      </w:r>
      <w:r>
        <w:rPr>
          <w:rFonts w:hint="default" w:ascii="仿宋_GB2312" w:hAnsi="仿宋_GB2312" w:eastAsia="仿宋_GB2312" w:cs="仿宋_GB2312"/>
          <w:color w:val="000000"/>
          <w:kern w:val="0"/>
          <w:sz w:val="32"/>
          <w:szCs w:val="32"/>
          <w:lang w:val="en-US" w:eastAsia="zh-CN" w:bidi="ar"/>
        </w:rPr>
        <w:t>20</w:t>
      </w:r>
      <w:r>
        <w:rPr>
          <w:rFonts w:hint="eastAsia" w:ascii="仿宋_GB2312" w:hAnsi="仿宋_GB2312" w:eastAsia="仿宋_GB2312" w:cs="仿宋_GB2312"/>
          <w:color w:val="000000"/>
          <w:kern w:val="0"/>
          <w:sz w:val="32"/>
          <w:szCs w:val="32"/>
          <w:lang w:val="en-US" w:eastAsia="zh-CN" w:bidi="ar"/>
        </w:rPr>
        <w:t>24年，届时方案确定的各项水土保</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持措施均应实施完成并初步发挥效应，满足水土保持专项验</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收的要求。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二、主体工程水土保持分析与评价</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对主体工程水土保持制约性因素的分析与评价结论，工程建设基本不存在制约性因素；项目建设区地处生态环境脆弱区，工程建设中应当提高防治标准，优化施工工艺，减少植被扰动和损坏土地范围；基本同意对工程占地、土石方平衡、施工工艺及方法等的分析与评价；基本同意对主体设计中具有水土保持功能工程的界定和评价。</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三、水土流失防治责任范围</w:t>
      </w:r>
    </w:p>
    <w:p>
      <w:pPr>
        <w:pStyle w:val="7"/>
        <w:keepNext w:val="0"/>
        <w:keepLines w:val="0"/>
        <w:pageBreakBefore w:val="0"/>
        <w:kinsoku/>
        <w:wordWrap/>
        <w:overflowPunct/>
        <w:topLinePunct w:val="0"/>
        <w:autoSpaceDE/>
        <w:autoSpaceDN/>
        <w:bidi w:val="0"/>
        <w:spacing w:line="560" w:lineRule="exact"/>
        <w:ind w:firstLine="55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项目区水土流失防治责任范围142.54h㎡。</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四、水土流失调查</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基本同意水土流失防治目标为：水土流失治理度93%、土壤流失控制比0.8、渣土防护率 92%、表土保护率 90%、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林草植被恢复率 95%、林草覆盖率23%。调查工程建设扰动损坏地表面积140.10h㎡，工程施工建设造成的水土流失总量为82115t，其中新增水土流失量为38496t。</w:t>
      </w:r>
    </w:p>
    <w:p>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五、水土流失防治分区及分区防治措施</w:t>
      </w:r>
    </w:p>
    <w:p>
      <w:pPr>
        <w:pStyle w:val="7"/>
        <w:keepNext w:val="0"/>
        <w:keepLines w:val="0"/>
        <w:pageBreakBefore w:val="0"/>
        <w:kinsoku/>
        <w:wordWrap/>
        <w:overflowPunct/>
        <w:topLinePunct w:val="0"/>
        <w:autoSpaceDE/>
        <w:autoSpaceDN/>
        <w:bidi w:val="0"/>
        <w:spacing w:line="560" w:lineRule="exact"/>
        <w:ind w:firstLine="550"/>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sz w:val="32"/>
          <w:szCs w:val="32"/>
        </w:rPr>
        <w:t>同</w:t>
      </w:r>
      <w:r>
        <w:rPr>
          <w:rFonts w:hint="eastAsia" w:ascii="仿宋_GB2312" w:hAnsi="仿宋_GB2312" w:eastAsia="仿宋_GB2312" w:cs="仿宋_GB2312"/>
          <w:color w:val="000000"/>
          <w:kern w:val="0"/>
          <w:sz w:val="32"/>
          <w:szCs w:val="32"/>
          <w:lang w:val="en-US" w:eastAsia="zh-CN" w:bidi="ar"/>
        </w:rPr>
        <w:t>意项目水土流失防治执行西北黄土高原区一级标准。</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项目防治分区划分为：丘陵沟壑区划分为输水工程、施工场地区2个防治区；风沙区（流动沙丘段）划分为输水工程1个防治区；风沙区（固定半固定沙丘段）划分为输水工程、调流调压阀室工程2个防治区。方案水土流失防治措施体系为工程措施、植物措施和临时措施组成。</w:t>
      </w:r>
      <w:r>
        <w:rPr>
          <w:rFonts w:hint="eastAsia" w:ascii="仿宋_GB2312" w:hAnsi="仿宋_GB2312" w:eastAsia="仿宋_GB2312" w:cs="仿宋_GB2312"/>
          <w:b/>
          <w:bCs/>
          <w:color w:val="000000"/>
          <w:kern w:val="0"/>
          <w:sz w:val="32"/>
          <w:szCs w:val="32"/>
          <w:lang w:val="en-US" w:eastAsia="zh-CN" w:bidi="ar"/>
        </w:rPr>
        <w:t>（一）施工场地区</w:t>
      </w:r>
      <w:r>
        <w:rPr>
          <w:rFonts w:hint="eastAsia" w:ascii="仿宋_GB2312" w:hAnsi="仿宋_GB2312" w:eastAsia="仿宋_GB2312" w:cs="仿宋_GB2312"/>
          <w:color w:val="000000"/>
          <w:kern w:val="0"/>
          <w:sz w:val="32"/>
          <w:szCs w:val="32"/>
          <w:lang w:val="en-US" w:eastAsia="zh-CN" w:bidi="ar"/>
        </w:rPr>
        <w:t>，（1）工程措施：</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1 \* GB3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①</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表土剥离：剥离厚度0.30m，剥离面积0.51h㎡，剥离土方1530m³。</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 2 \* GB3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②</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土地整治（含表土回覆）：0.51h㎡，回覆表土1530m³。（2）植物措施：人工种草0.51h㎡，共计披碱草8kg、沙生冰草8kg；（3）临时措施：密目网苫盖1225㎡，纤维土袋拦挡30m³。</w:t>
      </w:r>
      <w:r>
        <w:rPr>
          <w:rFonts w:hint="eastAsia" w:ascii="仿宋_GB2312" w:hAnsi="仿宋_GB2312" w:eastAsia="仿宋_GB2312" w:cs="仿宋_GB2312"/>
          <w:b/>
          <w:bCs/>
          <w:color w:val="000000"/>
          <w:kern w:val="0"/>
          <w:sz w:val="32"/>
          <w:szCs w:val="32"/>
          <w:lang w:val="en-US" w:eastAsia="zh-CN" w:bidi="ar"/>
        </w:rPr>
        <w:t>（二）输水工程区</w:t>
      </w:r>
      <w:r>
        <w:rPr>
          <w:rFonts w:hint="eastAsia" w:ascii="仿宋_GB2312" w:hAnsi="仿宋_GB2312" w:eastAsia="仿宋_GB2312" w:cs="仿宋_GB2312"/>
          <w:color w:val="000000"/>
          <w:kern w:val="0"/>
          <w:sz w:val="32"/>
          <w:szCs w:val="32"/>
          <w:lang w:val="en-US" w:eastAsia="zh-CN" w:bidi="ar"/>
        </w:rPr>
        <w:t>（1）工程措施：土地复耕20.35h㎡，土地整治91.29h㎡，布设沙障26.39h㎡，使用沙柳83.16万kg；（2）植物措施：造林种草117.68h㎡，共计披碱草960kg、柠条籽138kg、扬柴396kg、沙生冰草1356kg；（3）临时措施：密目网苫盖3224㎡，纤维土袋拦挡</w:t>
      </w: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317.5m³</w:t>
      </w:r>
      <w:r>
        <w:rPr>
          <w:rFonts w:hint="eastAsia" w:ascii="仿宋_GB2312" w:hAnsi="仿宋_GB2312" w:eastAsia="仿宋_GB2312" w:cs="仿宋_GB2312"/>
          <w:b/>
          <w:bCs/>
          <w:color w:val="000000"/>
          <w:kern w:val="0"/>
          <w:sz w:val="32"/>
          <w:szCs w:val="32"/>
          <w:lang w:val="en-US" w:eastAsia="zh-CN" w:bidi="ar"/>
        </w:rPr>
        <w:t>（三）调流调压阀室工程</w:t>
      </w:r>
      <w:r>
        <w:rPr>
          <w:rFonts w:hint="eastAsia" w:ascii="仿宋_GB2312" w:hAnsi="仿宋_GB2312" w:eastAsia="仿宋_GB2312" w:cs="仿宋_GB2312"/>
          <w:color w:val="000000"/>
          <w:kern w:val="0"/>
          <w:sz w:val="32"/>
          <w:szCs w:val="32"/>
          <w:lang w:val="en-US" w:eastAsia="zh-CN" w:bidi="ar"/>
        </w:rPr>
        <w:t>（1）工程措施：表土剥离30m³；（2）临时措施：密目网苫盖45㎡，纤维土袋拦挡3m³</w:t>
      </w:r>
    </w:p>
    <w:p>
      <w:pPr>
        <w:keepNext w:val="0"/>
        <w:keepLines w:val="0"/>
        <w:pageBreakBefore w:val="0"/>
        <w:kinsoku/>
        <w:wordWrap/>
        <w:overflowPunct/>
        <w:topLinePunct w:val="0"/>
        <w:autoSpaceDE/>
        <w:autoSpaceDN/>
        <w:bidi w:val="0"/>
        <w:snapToGrid w:val="0"/>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六、水土保持投资</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意水土保持投资估算编制的原则、依据和方法。本工程水土保持估算总投资539.07万元，其中工程措施投资154.49万元，植物措施投资53.38万元，临时措施投资25.17万元，独立费用46.91万元（水土保持工程监理费8.50万元，水土保持监测费8.14万元），基本预备费16.80万元，水土保持补偿费242.318万元。</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七、建设单位在工程建设中应重点做好以下工作</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ascii="仿宋" w:hAnsi="仿宋" w:eastAsia="仿宋" w:cs="仿宋"/>
          <w:color w:val="000000"/>
          <w:kern w:val="0"/>
          <w:sz w:val="31"/>
          <w:szCs w:val="31"/>
          <w:lang w:val="en-US" w:eastAsia="zh-CN" w:bidi="ar"/>
        </w:rPr>
        <w:t>（</w:t>
      </w:r>
      <w:r>
        <w:rPr>
          <w:rFonts w:hint="eastAsia" w:ascii="仿宋_GB2312" w:hAnsi="仿宋_GB2312" w:eastAsia="仿宋_GB2312" w:cs="仿宋_GB2312"/>
          <w:color w:val="000000"/>
          <w:kern w:val="0"/>
          <w:sz w:val="32"/>
          <w:szCs w:val="32"/>
          <w:lang w:val="en-US" w:eastAsia="zh-CN" w:bidi="ar"/>
        </w:rPr>
        <w:t xml:space="preserve">一）生产建设单位在项目建设中应全面落实《中华人民共和国水土保持法》的各项要求，按照批准的水土保持方案， 做好水土保持措施后续设计，加强施工组织管理工作，切实落实水土保持“三同时”制度。认真实施各项水土保持措施，尽快补交水土保持补偿费，在各项水土保持措施完成后，及时组织水土保持方案专项自主验收，并按水利部相关文件要求到我局报备。 </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（二）工程建设中各类施工活动严格限定在用地范围内，禁止随意占压、扰动和破坏地表。</w:t>
      </w:r>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（三）本</w:t>
      </w:r>
      <w:r>
        <w:rPr>
          <w:rFonts w:hint="eastAsia" w:ascii="仿宋_GB2312" w:hAnsi="仿宋_GB2312" w:eastAsia="仿宋_GB2312" w:cs="仿宋_GB2312"/>
          <w:color w:val="000000"/>
          <w:kern w:val="0"/>
          <w:sz w:val="32"/>
          <w:szCs w:val="32"/>
          <w:lang w:val="en-US" w:eastAsia="zh-CN" w:bidi="ar"/>
        </w:rPr>
        <w:t>项目的规模如发生重大变化，或者水土保持方案实施过程中水土保持措施发生重大变更，应补充或者修改水土保持方案，报我局审批。在生产过程中如需新设弃渣场，应在弃渣前编制水土保持方案，报我局审批。</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highlight w:val="none"/>
        </w:rPr>
      </w:pPr>
      <w:r>
        <w:rPr>
          <w:rFonts w:hint="eastAsia" w:ascii="仿宋_GB2312" w:hAnsi="仿宋_GB2312" w:eastAsia="仿宋_GB2312" w:cs="仿宋_GB2312"/>
          <w:color w:val="000000"/>
          <w:kern w:val="0"/>
          <w:sz w:val="32"/>
          <w:szCs w:val="32"/>
          <w:highlight w:val="none"/>
          <w:lang w:val="en-US" w:eastAsia="zh-CN" w:bidi="ar"/>
        </w:rPr>
        <w:t>（四）水土保持方案自批准之日起满 3 年，生产建设项目方开工建设的，其水土保持方案应当报原审批部门重新审核。</w:t>
      </w:r>
      <w:bookmarkStart w:id="1" w:name="_GoBack"/>
      <w:bookmarkEnd w:id="1"/>
    </w:p>
    <w:p>
      <w:pPr>
        <w:keepNext w:val="0"/>
        <w:keepLines w:val="0"/>
        <w:pageBreakBefore w:val="0"/>
        <w:widowControl/>
        <w:suppressLineNumbers w:val="0"/>
        <w:kinsoku/>
        <w:wordWrap/>
        <w:overflowPunct/>
        <w:topLinePunct w:val="0"/>
        <w:autoSpaceDE/>
        <w:autoSpaceDN/>
        <w:bidi w:val="0"/>
        <w:spacing w:line="560" w:lineRule="exact"/>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w:t>
      </w:r>
      <w:r>
        <w:rPr>
          <w:rFonts w:hint="eastAsia" w:ascii="仿宋_GB2312" w:hAnsi="仿宋_GB2312" w:eastAsia="仿宋_GB2312" w:cs="仿宋_GB2312"/>
          <w:color w:val="000000"/>
          <w:kern w:val="0"/>
          <w:sz w:val="32"/>
          <w:szCs w:val="32"/>
          <w:lang w:val="en-US" w:eastAsia="zh-CN" w:bidi="ar"/>
        </w:rPr>
        <w:t>本项目水土保持设施未经验收或验收不合格的，生产建设项目不得继续生产。</w:t>
      </w:r>
      <w:r>
        <w:rPr>
          <w:rFonts w:hint="eastAsia" w:ascii="仿宋" w:hAnsi="仿宋" w:eastAsia="仿宋" w:cs="仿宋"/>
          <w:color w:val="000000"/>
          <w:kern w:val="0"/>
          <w:sz w:val="31"/>
          <w:szCs w:val="31"/>
          <w:lang w:val="en-US" w:eastAsia="zh-CN" w:bidi="ar"/>
        </w:rPr>
        <w:t xml:space="preserve"> </w:t>
      </w:r>
    </w:p>
    <w:p>
      <w:pPr>
        <w:rPr>
          <w:rFonts w:hint="eastAsia"/>
          <w:lang w:val="en-US" w:eastAsia="zh-CN"/>
        </w:rPr>
      </w:pPr>
    </w:p>
    <w:p>
      <w:pPr>
        <w:pStyle w:val="22"/>
        <w:rPr>
          <w:rFonts w:hint="eastAsia"/>
          <w:lang w:val="en-US" w:eastAsia="zh-CN"/>
        </w:rPr>
      </w:pP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达拉特旗水利局</w:t>
      </w:r>
    </w:p>
    <w:p>
      <w:pPr>
        <w:keepNext w:val="0"/>
        <w:keepLines w:val="0"/>
        <w:widowControl/>
        <w:suppressLineNumbers w:val="0"/>
        <w:ind w:firstLine="4960" w:firstLineChars="16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2023年3月13日</w:t>
      </w: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5"/>
        <w:ind w:left="0" w:leftChars="0" w:firstLine="0" w:firstLineChars="0"/>
        <w:rPr>
          <w:rFonts w:hint="default"/>
          <w:lang w:val="en-US" w:eastAsia="zh-CN"/>
        </w:rPr>
      </w:pPr>
    </w:p>
    <w:p>
      <w:pPr>
        <w:rPr>
          <w:rFonts w:hint="default"/>
          <w:lang w:val="en-US" w:eastAsia="zh-CN"/>
        </w:rPr>
      </w:pPr>
    </w:p>
    <w:p>
      <w:pPr>
        <w:spacing w:line="600" w:lineRule="exact"/>
        <w:rPr>
          <w:rFonts w:hint="default" w:ascii="仿宋_GB2312" w:eastAsia="仿宋_GB2312"/>
          <w:color w:val="auto"/>
          <w:sz w:val="28"/>
          <w:szCs w:val="28"/>
          <w:lang w:val="en-US"/>
        </w:rPr>
      </w:pPr>
      <w:r>
        <w:rPr>
          <w:sz w:val="28"/>
        </w:rPr>
        <w:pict>
          <v:line id="_x0000_s1039" o:spid="_x0000_s1039"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40"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rFonts w:hint="eastAsia"/>
        </w:rPr>
        <w:sectPr>
          <w:footerReference r:id="rId3" w:type="default"/>
          <w:pgSz w:w="11906" w:h="16838"/>
          <w:pgMar w:top="1440" w:right="1797" w:bottom="1644" w:left="1797" w:header="851" w:footer="992" w:gutter="0"/>
          <w:pgNumType w:fmt="numberInDash"/>
          <w:cols w:space="425" w:num="1"/>
          <w:docGrid w:type="lines" w:linePitch="312" w:charSpace="0"/>
        </w:sectPr>
      </w:pPr>
      <w:r>
        <w:rPr>
          <w:rFonts w:hint="eastAsia" w:ascii="仿宋_GB2312" w:hAnsi="华文仿宋" w:eastAsia="仿宋_GB2312"/>
          <w:color w:val="auto"/>
          <w:sz w:val="28"/>
          <w:szCs w:val="28"/>
        </w:rPr>
        <w:pict>
          <v:line id="Line 4" o:spid="_x0000_s1041"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20</w:t>
      </w:r>
      <w:r>
        <w:rPr>
          <w:rFonts w:hint="eastAsia" w:ascii="仿宋_GB2312" w:hAnsi="华文仿宋" w:eastAsia="仿宋_GB2312"/>
          <w:color w:val="auto"/>
          <w:sz w:val="28"/>
          <w:szCs w:val="28"/>
          <w:lang w:val="en-US" w:eastAsia="zh-CN"/>
        </w:rPr>
        <w:t>23年 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13</w:t>
      </w:r>
      <w:r>
        <w:rPr>
          <w:rFonts w:hint="eastAsia" w:ascii="仿宋_GB2312" w:hAnsi="华文仿宋" w:eastAsia="仿宋_GB2312"/>
          <w:color w:val="auto"/>
          <w:sz w:val="28"/>
          <w:szCs w:val="28"/>
        </w:rPr>
        <w:t>日</w:t>
      </w:r>
    </w:p>
    <w:p>
      <w:pPr>
        <w:snapToGrid w:val="0"/>
        <w:spacing w:line="360" w:lineRule="auto"/>
        <w:ind w:right="210" w:rightChars="100"/>
        <w:rPr>
          <w:color w:val="auto"/>
        </w:rPr>
      </w:pPr>
    </w:p>
    <w:sectPr>
      <w:footerReference r:id="rId4"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9.45pt;width:38.5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 w:name="KSO_WPS_MARK_KEY" w:val="bb968390-a863-4877-8806-582e0f05ae4c"/>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2F44773"/>
    <w:rsid w:val="03447F50"/>
    <w:rsid w:val="038016F5"/>
    <w:rsid w:val="03994A5E"/>
    <w:rsid w:val="03C423D0"/>
    <w:rsid w:val="03E6144D"/>
    <w:rsid w:val="03F4572B"/>
    <w:rsid w:val="040358FF"/>
    <w:rsid w:val="04577CE5"/>
    <w:rsid w:val="046B3039"/>
    <w:rsid w:val="04BA5E1C"/>
    <w:rsid w:val="05194270"/>
    <w:rsid w:val="053D154A"/>
    <w:rsid w:val="0542129D"/>
    <w:rsid w:val="05456F4C"/>
    <w:rsid w:val="056E65E8"/>
    <w:rsid w:val="05833338"/>
    <w:rsid w:val="05BA3B13"/>
    <w:rsid w:val="06304A7B"/>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A8345E"/>
    <w:rsid w:val="0BD81DFD"/>
    <w:rsid w:val="0C031CBF"/>
    <w:rsid w:val="0C4D1E2F"/>
    <w:rsid w:val="0C840F9D"/>
    <w:rsid w:val="0D1439B3"/>
    <w:rsid w:val="0D1D3713"/>
    <w:rsid w:val="0D246507"/>
    <w:rsid w:val="0D2F198E"/>
    <w:rsid w:val="0D59791F"/>
    <w:rsid w:val="0D717D76"/>
    <w:rsid w:val="0D767A72"/>
    <w:rsid w:val="0D8508D0"/>
    <w:rsid w:val="0D8D6C0B"/>
    <w:rsid w:val="0DBF5657"/>
    <w:rsid w:val="0DC336FB"/>
    <w:rsid w:val="0DDC2F39"/>
    <w:rsid w:val="0DE7036E"/>
    <w:rsid w:val="0DFD6734"/>
    <w:rsid w:val="0E2F5D7E"/>
    <w:rsid w:val="0E415359"/>
    <w:rsid w:val="0ED077EF"/>
    <w:rsid w:val="0F1503A2"/>
    <w:rsid w:val="0FA5685F"/>
    <w:rsid w:val="10226E6C"/>
    <w:rsid w:val="10D45A55"/>
    <w:rsid w:val="117C7CAB"/>
    <w:rsid w:val="11984429"/>
    <w:rsid w:val="11C65F78"/>
    <w:rsid w:val="11CD0FFB"/>
    <w:rsid w:val="120C223D"/>
    <w:rsid w:val="12525E03"/>
    <w:rsid w:val="12942368"/>
    <w:rsid w:val="129D071B"/>
    <w:rsid w:val="12EE5BBC"/>
    <w:rsid w:val="132940E2"/>
    <w:rsid w:val="13A35305"/>
    <w:rsid w:val="13C11691"/>
    <w:rsid w:val="14182743"/>
    <w:rsid w:val="1426228F"/>
    <w:rsid w:val="144E576A"/>
    <w:rsid w:val="14754FA0"/>
    <w:rsid w:val="158E52DA"/>
    <w:rsid w:val="15C15DC1"/>
    <w:rsid w:val="160E3771"/>
    <w:rsid w:val="16107A4D"/>
    <w:rsid w:val="162D6387"/>
    <w:rsid w:val="16AB3398"/>
    <w:rsid w:val="16F25BF5"/>
    <w:rsid w:val="16FF7344"/>
    <w:rsid w:val="17492B6A"/>
    <w:rsid w:val="175541D3"/>
    <w:rsid w:val="175C5B35"/>
    <w:rsid w:val="175F1BF3"/>
    <w:rsid w:val="177F3F63"/>
    <w:rsid w:val="17A259EB"/>
    <w:rsid w:val="17B04328"/>
    <w:rsid w:val="17D952DF"/>
    <w:rsid w:val="18000BA1"/>
    <w:rsid w:val="184024E5"/>
    <w:rsid w:val="18810900"/>
    <w:rsid w:val="18843358"/>
    <w:rsid w:val="1A10695B"/>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1F9C7E9E"/>
    <w:rsid w:val="203F463E"/>
    <w:rsid w:val="20986C08"/>
    <w:rsid w:val="20ED22CF"/>
    <w:rsid w:val="20FA7CA7"/>
    <w:rsid w:val="21264386"/>
    <w:rsid w:val="214A3729"/>
    <w:rsid w:val="219C70A1"/>
    <w:rsid w:val="22103B97"/>
    <w:rsid w:val="22577506"/>
    <w:rsid w:val="22D22E42"/>
    <w:rsid w:val="233018D6"/>
    <w:rsid w:val="233405C6"/>
    <w:rsid w:val="23370D3A"/>
    <w:rsid w:val="23462F2B"/>
    <w:rsid w:val="23E5437F"/>
    <w:rsid w:val="244F181B"/>
    <w:rsid w:val="24717D39"/>
    <w:rsid w:val="247A4D5F"/>
    <w:rsid w:val="248A62F0"/>
    <w:rsid w:val="248A723C"/>
    <w:rsid w:val="249E544E"/>
    <w:rsid w:val="24F10F33"/>
    <w:rsid w:val="25274D09"/>
    <w:rsid w:val="257E0222"/>
    <w:rsid w:val="263B2F02"/>
    <w:rsid w:val="26402578"/>
    <w:rsid w:val="26437493"/>
    <w:rsid w:val="27C72475"/>
    <w:rsid w:val="27FC7B73"/>
    <w:rsid w:val="28AF305B"/>
    <w:rsid w:val="28D37F04"/>
    <w:rsid w:val="28F5537A"/>
    <w:rsid w:val="2922155C"/>
    <w:rsid w:val="2A170307"/>
    <w:rsid w:val="2ABE15D1"/>
    <w:rsid w:val="2AFE5BCB"/>
    <w:rsid w:val="2BA90673"/>
    <w:rsid w:val="2BDA2989"/>
    <w:rsid w:val="2BE7095E"/>
    <w:rsid w:val="2C406815"/>
    <w:rsid w:val="2C9B733B"/>
    <w:rsid w:val="2CC25275"/>
    <w:rsid w:val="2D947069"/>
    <w:rsid w:val="2DFB343C"/>
    <w:rsid w:val="2E135CD8"/>
    <w:rsid w:val="2E324B49"/>
    <w:rsid w:val="2E4E06BC"/>
    <w:rsid w:val="2E553938"/>
    <w:rsid w:val="2EA36753"/>
    <w:rsid w:val="2F8F3EA1"/>
    <w:rsid w:val="2FFE58DC"/>
    <w:rsid w:val="30411EB0"/>
    <w:rsid w:val="306010C3"/>
    <w:rsid w:val="30656241"/>
    <w:rsid w:val="30694EE9"/>
    <w:rsid w:val="30BC4505"/>
    <w:rsid w:val="3101042C"/>
    <w:rsid w:val="312B32FF"/>
    <w:rsid w:val="313D6BFF"/>
    <w:rsid w:val="31420BAE"/>
    <w:rsid w:val="320C2BE0"/>
    <w:rsid w:val="329A03DE"/>
    <w:rsid w:val="32DC3EBE"/>
    <w:rsid w:val="339C1440"/>
    <w:rsid w:val="33D2477A"/>
    <w:rsid w:val="33E9274A"/>
    <w:rsid w:val="34ED4076"/>
    <w:rsid w:val="34FF01D5"/>
    <w:rsid w:val="350158F9"/>
    <w:rsid w:val="353F7A8B"/>
    <w:rsid w:val="35B85686"/>
    <w:rsid w:val="36184F27"/>
    <w:rsid w:val="365E3131"/>
    <w:rsid w:val="36AA1A1D"/>
    <w:rsid w:val="374D731E"/>
    <w:rsid w:val="376E0AE1"/>
    <w:rsid w:val="37B41116"/>
    <w:rsid w:val="37C420EC"/>
    <w:rsid w:val="37D312D1"/>
    <w:rsid w:val="382A263C"/>
    <w:rsid w:val="391C7093"/>
    <w:rsid w:val="3947572A"/>
    <w:rsid w:val="395442E9"/>
    <w:rsid w:val="39CF56BF"/>
    <w:rsid w:val="39DF63B8"/>
    <w:rsid w:val="3A124633"/>
    <w:rsid w:val="3A41052A"/>
    <w:rsid w:val="3AB100C5"/>
    <w:rsid w:val="3B141037"/>
    <w:rsid w:val="3B3F6234"/>
    <w:rsid w:val="3B606001"/>
    <w:rsid w:val="3B761719"/>
    <w:rsid w:val="3C433B5C"/>
    <w:rsid w:val="3C9A7B68"/>
    <w:rsid w:val="3D3E73C3"/>
    <w:rsid w:val="3DED4DA8"/>
    <w:rsid w:val="3DF04A32"/>
    <w:rsid w:val="3DF06634"/>
    <w:rsid w:val="3DFA4898"/>
    <w:rsid w:val="3E441102"/>
    <w:rsid w:val="3E93792F"/>
    <w:rsid w:val="3E9B6D2E"/>
    <w:rsid w:val="3EC5725A"/>
    <w:rsid w:val="3F7E7D58"/>
    <w:rsid w:val="3FA2402D"/>
    <w:rsid w:val="3FBE7495"/>
    <w:rsid w:val="3FC4365A"/>
    <w:rsid w:val="40D1076D"/>
    <w:rsid w:val="40EC7F3E"/>
    <w:rsid w:val="424A6050"/>
    <w:rsid w:val="424E7C19"/>
    <w:rsid w:val="429C6972"/>
    <w:rsid w:val="42C33578"/>
    <w:rsid w:val="431662B2"/>
    <w:rsid w:val="43842D4F"/>
    <w:rsid w:val="43DC589E"/>
    <w:rsid w:val="44143F62"/>
    <w:rsid w:val="4414436D"/>
    <w:rsid w:val="445B0D2C"/>
    <w:rsid w:val="44FA05EA"/>
    <w:rsid w:val="454E1E7D"/>
    <w:rsid w:val="46A21068"/>
    <w:rsid w:val="46B25817"/>
    <w:rsid w:val="46BA5754"/>
    <w:rsid w:val="46BF224D"/>
    <w:rsid w:val="46EE2A12"/>
    <w:rsid w:val="475970A9"/>
    <w:rsid w:val="477056E0"/>
    <w:rsid w:val="477C03B2"/>
    <w:rsid w:val="47D748C8"/>
    <w:rsid w:val="47DE6225"/>
    <w:rsid w:val="481B3E68"/>
    <w:rsid w:val="48A43377"/>
    <w:rsid w:val="48C478D0"/>
    <w:rsid w:val="492A3BEC"/>
    <w:rsid w:val="493F6E01"/>
    <w:rsid w:val="49B44BED"/>
    <w:rsid w:val="49C369D7"/>
    <w:rsid w:val="4A4B30E2"/>
    <w:rsid w:val="4B3914BA"/>
    <w:rsid w:val="4B6A26A3"/>
    <w:rsid w:val="4BED4FF0"/>
    <w:rsid w:val="4C115F72"/>
    <w:rsid w:val="4C3B00CB"/>
    <w:rsid w:val="4C410A70"/>
    <w:rsid w:val="4C531DA4"/>
    <w:rsid w:val="4CA701BE"/>
    <w:rsid w:val="4CF71E1E"/>
    <w:rsid w:val="4D5034B3"/>
    <w:rsid w:val="4D674705"/>
    <w:rsid w:val="4D6B4D1A"/>
    <w:rsid w:val="4E97435F"/>
    <w:rsid w:val="4EEA3531"/>
    <w:rsid w:val="4F7C1C09"/>
    <w:rsid w:val="4FA0200C"/>
    <w:rsid w:val="50614CBD"/>
    <w:rsid w:val="51585CF5"/>
    <w:rsid w:val="51DA2954"/>
    <w:rsid w:val="5205051C"/>
    <w:rsid w:val="52580C58"/>
    <w:rsid w:val="52A4738B"/>
    <w:rsid w:val="52B92B7C"/>
    <w:rsid w:val="53593B0C"/>
    <w:rsid w:val="53952657"/>
    <w:rsid w:val="540C3F99"/>
    <w:rsid w:val="548B7562"/>
    <w:rsid w:val="54B40625"/>
    <w:rsid w:val="54BA6028"/>
    <w:rsid w:val="54E9550A"/>
    <w:rsid w:val="54FB67B0"/>
    <w:rsid w:val="55793696"/>
    <w:rsid w:val="560D1BF6"/>
    <w:rsid w:val="562A1D1A"/>
    <w:rsid w:val="56A60927"/>
    <w:rsid w:val="56BE1886"/>
    <w:rsid w:val="56DF2530"/>
    <w:rsid w:val="56F87F14"/>
    <w:rsid w:val="576B3890"/>
    <w:rsid w:val="57F814AD"/>
    <w:rsid w:val="583F3C9B"/>
    <w:rsid w:val="58847504"/>
    <w:rsid w:val="59692187"/>
    <w:rsid w:val="597063F8"/>
    <w:rsid w:val="59A42E61"/>
    <w:rsid w:val="59C91724"/>
    <w:rsid w:val="5A0F056A"/>
    <w:rsid w:val="5A0F2FF6"/>
    <w:rsid w:val="5A1237E0"/>
    <w:rsid w:val="5A76594E"/>
    <w:rsid w:val="5AED6748"/>
    <w:rsid w:val="5B161069"/>
    <w:rsid w:val="5B8501A8"/>
    <w:rsid w:val="5B8715D2"/>
    <w:rsid w:val="5B935681"/>
    <w:rsid w:val="5BBC7991"/>
    <w:rsid w:val="5C0F53A9"/>
    <w:rsid w:val="5C2A10A8"/>
    <w:rsid w:val="5C657195"/>
    <w:rsid w:val="5CE8150D"/>
    <w:rsid w:val="5DB71576"/>
    <w:rsid w:val="5DBE5A62"/>
    <w:rsid w:val="5E407ECD"/>
    <w:rsid w:val="5EA15BD5"/>
    <w:rsid w:val="5EE112B3"/>
    <w:rsid w:val="5F247461"/>
    <w:rsid w:val="5F382BCD"/>
    <w:rsid w:val="5F6E627D"/>
    <w:rsid w:val="5FB93F77"/>
    <w:rsid w:val="604D3C61"/>
    <w:rsid w:val="611C2580"/>
    <w:rsid w:val="613368D3"/>
    <w:rsid w:val="61B61536"/>
    <w:rsid w:val="629E491B"/>
    <w:rsid w:val="62C3483E"/>
    <w:rsid w:val="63347FB1"/>
    <w:rsid w:val="63667667"/>
    <w:rsid w:val="64EA5B43"/>
    <w:rsid w:val="67074CD3"/>
    <w:rsid w:val="678B445E"/>
    <w:rsid w:val="679C490D"/>
    <w:rsid w:val="67E3112E"/>
    <w:rsid w:val="681B3B4E"/>
    <w:rsid w:val="6845113F"/>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0262E2"/>
    <w:rsid w:val="6D4545F8"/>
    <w:rsid w:val="6D515A7E"/>
    <w:rsid w:val="6D9D63FA"/>
    <w:rsid w:val="6DE808FC"/>
    <w:rsid w:val="6E390823"/>
    <w:rsid w:val="6EA94ABC"/>
    <w:rsid w:val="6ECA2AEA"/>
    <w:rsid w:val="6EDA040B"/>
    <w:rsid w:val="6F3365CC"/>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B173E7"/>
    <w:rsid w:val="761415DE"/>
    <w:rsid w:val="764E73BA"/>
    <w:rsid w:val="76B76805"/>
    <w:rsid w:val="76DEB6AB"/>
    <w:rsid w:val="773A5475"/>
    <w:rsid w:val="77D243F1"/>
    <w:rsid w:val="78376601"/>
    <w:rsid w:val="78437072"/>
    <w:rsid w:val="78776EDC"/>
    <w:rsid w:val="787966D3"/>
    <w:rsid w:val="787A6B86"/>
    <w:rsid w:val="78C97697"/>
    <w:rsid w:val="795E526C"/>
    <w:rsid w:val="7990680D"/>
    <w:rsid w:val="79E90EE7"/>
    <w:rsid w:val="7A3A7450"/>
    <w:rsid w:val="7AB32755"/>
    <w:rsid w:val="7B83737D"/>
    <w:rsid w:val="7C28382B"/>
    <w:rsid w:val="7C3976EC"/>
    <w:rsid w:val="7C4E2A32"/>
    <w:rsid w:val="7C542B1B"/>
    <w:rsid w:val="7CCB48DE"/>
    <w:rsid w:val="7CE608AF"/>
    <w:rsid w:val="7CFA35B7"/>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5">
    <w:name w:val="heading 6"/>
    <w:basedOn w:val="1"/>
    <w:next w:val="1"/>
    <w:qFormat/>
    <w:uiPriority w:val="9"/>
    <w:pPr>
      <w:tabs>
        <w:tab w:val="left" w:pos="980"/>
        <w:tab w:val="left" w:pos="1152"/>
      </w:tabs>
      <w:ind w:left="1152" w:hanging="1152"/>
      <w:outlineLvl w:val="5"/>
    </w:p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autoSpaceDE w:val="0"/>
      <w:autoSpaceDN w:val="0"/>
      <w:adjustRightInd w:val="0"/>
      <w:spacing w:line="360" w:lineRule="auto"/>
      <w:ind w:right="156" w:firstLine="480" w:firstLineChars="200"/>
    </w:pPr>
    <w:rPr>
      <w:sz w:val="24"/>
    </w:rPr>
  </w:style>
  <w:style w:type="paragraph" w:styleId="6">
    <w:name w:val="table of authorities"/>
    <w:basedOn w:val="1"/>
    <w:next w:val="1"/>
    <w:qFormat/>
    <w:uiPriority w:val="0"/>
    <w:pPr>
      <w:ind w:left="420" w:leftChars="200" w:firstLine="562"/>
    </w:pPr>
    <w:rPr>
      <w:rFonts w:ascii="仿宋" w:hAnsi="仿宋" w:eastAsia="仿宋"/>
    </w:rPr>
  </w:style>
  <w:style w:type="paragraph" w:styleId="7">
    <w:name w:val="Normal Indent"/>
    <w:basedOn w:val="1"/>
    <w:qFormat/>
    <w:uiPriority w:val="0"/>
    <w:pPr>
      <w:adjustRightInd w:val="0"/>
      <w:ind w:firstLine="420"/>
      <w:jc w:val="left"/>
      <w:textAlignment w:val="baseline"/>
    </w:pPr>
    <w:rPr>
      <w:rFonts w:ascii="宋体"/>
      <w:kern w:val="0"/>
      <w:sz w:val="24"/>
      <w:szCs w:val="20"/>
    </w:rPr>
  </w:style>
  <w:style w:type="paragraph" w:styleId="8">
    <w:name w:val="Body Text"/>
    <w:basedOn w:val="1"/>
    <w:next w:val="2"/>
    <w:qFormat/>
    <w:uiPriority w:val="0"/>
    <w:pPr>
      <w:spacing w:after="120"/>
    </w:pPr>
  </w:style>
  <w:style w:type="paragraph" w:styleId="9">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0">
    <w:name w:val="Date"/>
    <w:basedOn w:val="1"/>
    <w:next w:val="1"/>
    <w:link w:val="26"/>
    <w:semiHidden/>
    <w:unhideWhenUsed/>
    <w:qFormat/>
    <w:uiPriority w:val="99"/>
    <w:pPr>
      <w:ind w:left="100" w:leftChars="2500"/>
    </w:pPr>
  </w:style>
  <w:style w:type="paragraph" w:styleId="11">
    <w:name w:val="Body Text Indent 2"/>
    <w:basedOn w:val="1"/>
    <w:next w:val="1"/>
    <w:qFormat/>
    <w:uiPriority w:val="0"/>
    <w:pPr>
      <w:ind w:firstLine="630"/>
    </w:pPr>
    <w:rPr>
      <w:rFonts w:ascii="Times New Roman" w:hAnsi="Times New Roman"/>
      <w:sz w:val="32"/>
      <w:szCs w:val="24"/>
    </w:rPr>
  </w:style>
  <w:style w:type="paragraph" w:styleId="12">
    <w:name w:val="Balloon Text"/>
    <w:basedOn w:val="1"/>
    <w:link w:val="28"/>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jc w:val="left"/>
    </w:pPr>
    <w:rPr>
      <w:rFonts w:ascii="宋体" w:hAnsi="宋体" w:eastAsia="宋体" w:cs="宋体"/>
      <w:kern w:val="0"/>
      <w:sz w:val="24"/>
      <w:szCs w:val="24"/>
    </w:rPr>
  </w:style>
  <w:style w:type="paragraph" w:styleId="16">
    <w:name w:val="Body Text First Indent"/>
    <w:basedOn w:val="8"/>
    <w:next w:val="17"/>
    <w:qFormat/>
    <w:uiPriority w:val="0"/>
    <w:pPr>
      <w:ind w:firstLine="420" w:firstLineChars="100"/>
    </w:pPr>
  </w:style>
  <w:style w:type="paragraph" w:customStyle="1" w:styleId="17">
    <w:name w:val="样式 宋体 小四 行距: 1.5 倍行距"/>
    <w:basedOn w:val="1"/>
    <w:next w:val="4"/>
    <w:qFormat/>
    <w:uiPriority w:val="0"/>
    <w:pPr>
      <w:widowControl/>
      <w:spacing w:after="120" w:line="360" w:lineRule="auto"/>
      <w:ind w:firstLine="480" w:firstLineChars="200"/>
      <w:textAlignment w:val="baseline"/>
    </w:pPr>
    <w:rPr>
      <w:rFonts w:ascii="宋体" w:hAnsi="宋体" w:cs="宋体"/>
      <w:kern w:val="0"/>
      <w:sz w:val="24"/>
      <w:szCs w:val="20"/>
    </w:rPr>
  </w:style>
  <w:style w:type="character" w:styleId="20">
    <w:name w:val="page number"/>
    <w:basedOn w:val="19"/>
    <w:qFormat/>
    <w:uiPriority w:val="0"/>
  </w:style>
  <w:style w:type="paragraph" w:customStyle="1" w:styleId="21">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22">
    <w:name w:val="Body Text 21"/>
    <w:basedOn w:val="1"/>
    <w:next w:val="1"/>
    <w:qFormat/>
    <w:uiPriority w:val="0"/>
    <w:pPr>
      <w:spacing w:after="120" w:line="480" w:lineRule="auto"/>
    </w:pPr>
  </w:style>
  <w:style w:type="paragraph" w:customStyle="1" w:styleId="23">
    <w:name w:val="BodyText1I"/>
    <w:basedOn w:val="1"/>
    <w:qFormat/>
    <w:uiPriority w:val="0"/>
    <w:pPr>
      <w:ind w:firstLine="420" w:firstLineChars="100"/>
      <w:jc w:val="both"/>
      <w:textAlignment w:val="baseline"/>
    </w:pPr>
  </w:style>
  <w:style w:type="character" w:customStyle="1" w:styleId="24">
    <w:name w:val="页眉 Char"/>
    <w:basedOn w:val="19"/>
    <w:link w:val="14"/>
    <w:qFormat/>
    <w:uiPriority w:val="99"/>
    <w:rPr>
      <w:sz w:val="18"/>
      <w:szCs w:val="18"/>
    </w:rPr>
  </w:style>
  <w:style w:type="character" w:customStyle="1" w:styleId="25">
    <w:name w:val="页脚 Char"/>
    <w:basedOn w:val="19"/>
    <w:link w:val="13"/>
    <w:qFormat/>
    <w:uiPriority w:val="99"/>
    <w:rPr>
      <w:sz w:val="18"/>
      <w:szCs w:val="18"/>
    </w:rPr>
  </w:style>
  <w:style w:type="character" w:customStyle="1" w:styleId="26">
    <w:name w:val="日期 Char"/>
    <w:basedOn w:val="19"/>
    <w:link w:val="10"/>
    <w:semiHidden/>
    <w:qFormat/>
    <w:uiPriority w:val="99"/>
  </w:style>
  <w:style w:type="paragraph" w:customStyle="1" w:styleId="27">
    <w:name w:val="4 Char"/>
    <w:basedOn w:val="1"/>
    <w:qFormat/>
    <w:uiPriority w:val="0"/>
    <w:rPr>
      <w:rFonts w:ascii="Times New Roman" w:hAnsi="Times New Roman" w:eastAsia="宋体" w:cs="Times New Roman"/>
      <w:szCs w:val="24"/>
    </w:rPr>
  </w:style>
  <w:style w:type="character" w:customStyle="1" w:styleId="28">
    <w:name w:val="批注框文本 Char"/>
    <w:basedOn w:val="19"/>
    <w:link w:val="12"/>
    <w:semiHidden/>
    <w:qFormat/>
    <w:uiPriority w:val="99"/>
    <w:rPr>
      <w:sz w:val="18"/>
      <w:szCs w:val="18"/>
    </w:rPr>
  </w:style>
  <w:style w:type="character" w:customStyle="1" w:styleId="29">
    <w:name w:val="fontstyle01"/>
    <w:qFormat/>
    <w:uiPriority w:val="0"/>
    <w:rPr>
      <w:rFonts w:hint="default" w:ascii="F1" w:hAnsi="F1"/>
      <w:color w:val="000000"/>
      <w:sz w:val="28"/>
      <w:szCs w:val="28"/>
    </w:rPr>
  </w:style>
  <w:style w:type="paragraph" w:customStyle="1" w:styleId="30">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1">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2">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3">
    <w:name w:val="NormalCharacter"/>
    <w:qFormat/>
    <w:uiPriority w:val="0"/>
    <w:rPr>
      <w:kern w:val="2"/>
      <w:sz w:val="21"/>
      <w:szCs w:val="24"/>
      <w:lang w:val="en-US" w:eastAsia="zh-CN" w:bidi="ar-SA"/>
    </w:rPr>
  </w:style>
  <w:style w:type="paragraph" w:customStyle="1" w:styleId="34">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 w:type="paragraph" w:customStyle="1" w:styleId="35">
    <w:name w:val="⑨正文（武潇）"/>
    <w:basedOn w:val="16"/>
    <w:qFormat/>
    <w:uiPriority w:val="0"/>
    <w:pPr>
      <w:autoSpaceDE w:val="0"/>
      <w:autoSpaceDN w:val="0"/>
      <w:adjustRightInd w:val="0"/>
      <w:snapToGrid w:val="0"/>
      <w:spacing w:after="0" w:line="360" w:lineRule="auto"/>
      <w:ind w:firstLine="200" w:firstLineChars="200"/>
    </w:pPr>
    <w:rPr>
      <w:bCs/>
      <w:sz w:val="28"/>
      <w:szCs w:val="28"/>
    </w:rPr>
  </w:style>
  <w:style w:type="paragraph" w:customStyle="1" w:styleId="36">
    <w:name w:val="正文26"/>
    <w:basedOn w:val="1"/>
    <w:qFormat/>
    <w:uiPriority w:val="0"/>
    <w:pPr>
      <w:widowControl w:val="0"/>
      <w:overflowPunct w:val="0"/>
      <w:topLinePunct/>
      <w:snapToGrid w:val="0"/>
      <w:spacing w:line="520" w:lineRule="exact"/>
      <w:ind w:firstLine="482"/>
      <w:jc w:val="both"/>
    </w:pPr>
    <w:rPr>
      <w:rFonts w:cs="Times New Roman"/>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Pages>
  <Words>2372</Words>
  <Characters>2786</Characters>
  <Lines>8</Lines>
  <Paragraphs>2</Paragraphs>
  <TotalTime>112</TotalTime>
  <ScaleCrop>false</ScaleCrop>
  <LinksUpToDate>false</LinksUpToDate>
  <CharactersWithSpaces>2895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2017-06-19T16:13:00Z</dcterms:created>
  <dc:creator>1</dc:creator>
  <cp:lastModifiedBy>安吉拉</cp:lastModifiedBy>
  <cp:lastPrinted>2023-06-07T00:40:20Z</cp:lastPrinted>
  <dcterms:modified xsi:type="dcterms:W3CDTF">2023-06-07T00:50:57Z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18F56E52C95E4549A41ADB6E4381677B</vt:lpwstr>
  </property>
</Properties>
</file>