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1" w:name="_GoBack"/>
      <w:bookmarkEnd w:id="1"/>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rPr>
          <w:rFonts w:hint="eastAsia"/>
          <w:sz w:val="13"/>
          <w:szCs w:val="13"/>
        </w:rPr>
      </w:pPr>
    </w:p>
    <w:p>
      <w:pPr>
        <w:pStyle w:val="2"/>
        <w:rPr>
          <w:rFonts w:hint="eastAsia"/>
        </w:rPr>
      </w:pPr>
    </w:p>
    <w:p>
      <w:pPr>
        <w:jc w:val="center"/>
        <w:rPr>
          <w:rFonts w:ascii="仿宋" w:hAnsi="仿宋" w:eastAsia="仿宋" w:cs="仿宋"/>
          <w:sz w:val="32"/>
          <w:szCs w:val="32"/>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青达门红色革命教育中心建设项目</w:t>
      </w:r>
    </w:p>
    <w:p>
      <w:pPr>
        <w:pStyle w:val="2"/>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水土保持方案审批报告书</w:t>
      </w:r>
    </w:p>
    <w:p>
      <w:pPr>
        <w:pStyle w:val="2"/>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240" w:lineRule="atLeast"/>
        <w:jc w:val="left"/>
        <w:outlineLvl w:val="0"/>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达拉特旗展旦召苏木人民政府：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你单位《关于申请审查青达门红色革命教育中心建设项目的请示》已收悉。经审核，基本同意该水土保持方案，现批复如下：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一、项目建设内容及项目区概况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青达门红色革命教育中心建设项目位于内蒙古自治区鄂尔多斯市达拉特旗展旦召苏木青达门村邱家渠社，行政区划隶属鄂尔多斯市达拉特旗展旦召苏木。项目区中心坐标为：东经：109°46′33.77″,北纬：40°01′4.80″。2022年8月18日，取得达拉特旗发展和改革委员会《关于青达门红色革命教育中心项目可行性研究报告的批复》，项目代码：2112-150621-04-01-330309。</w:t>
      </w:r>
    </w:p>
    <w:p>
      <w:pPr>
        <w:pStyle w:val="2"/>
        <w:keepNext w:val="0"/>
        <w:keepLines w:val="0"/>
        <w:pageBreakBefore w:val="0"/>
        <w:widowControl w:val="0"/>
        <w:kinsoku/>
        <w:wordWrap/>
        <w:overflowPunct/>
        <w:topLinePunct w:val="0"/>
        <w:autoSpaceDE/>
        <w:autoSpaceDN/>
        <w:bidi w:val="0"/>
        <w:adjustRightInd/>
        <w:snapToGrid/>
        <w:spacing w:line="560" w:lineRule="exact"/>
        <w:ind w:left="1356" w:leftChars="268" w:hanging="793" w:hangingChars="248"/>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本项目属新建建设类项目,建设规模为设纪念馆一座、综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合楼一座、民居一处、三个窑洞翻修改造。本项目由建筑工程区、道路广场区和景观绿化区三个防治区组成。项目总占地面积2.63h㎡，全部为永久占地，占地类型为荒草地。工程建设期挖填土石方总量13.36万m³（包含表土0.79万m³），其中挖方6.68万m³（包含表土0.79万m³），填方6.68万m³，无弃方。本项目于2021年11月开工建设，于2022年9月建成投产，总建设工期11个月。本项目建设总投资为1888.55万元，其中土建投资1473.07万元。工程资金全部由政府自筹解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区属中温带半干旱大陆性气候区。项目区多年平均气温6.1℃，多年平均降水量310.3mm，最大冻土深162cm,多年平均风速3.2m/s,无霜期135d。项目所在区域土壤主要为栗钙土，植被类型属典型草原植被，植被覆盖度在15-30%左右。项目区风力侵蚀模数2000t/k㎡·a，水蚀模数为6000t/k㎡·a，属黄河多沙粗沙国家级水土流失重点治理区。项目区土壤容许流失量为1000t/k㎡·a。</w:t>
      </w:r>
    </w:p>
    <w:p>
      <w:pPr>
        <w:pStyle w:val="2"/>
        <w:keepNext w:val="0"/>
        <w:keepLines w:val="0"/>
        <w:pageBreakBefore w:val="0"/>
        <w:widowControl w:val="0"/>
        <w:kinsoku/>
        <w:wordWrap/>
        <w:overflowPunct/>
        <w:topLinePunct w:val="0"/>
        <w:autoSpaceDE/>
        <w:autoSpaceDN/>
        <w:bidi w:val="0"/>
        <w:adjustRightInd/>
        <w:snapToGrid/>
        <w:spacing w:line="560" w:lineRule="exact"/>
        <w:ind w:left="1356" w:leftChars="268" w:hanging="793" w:hangingChars="248"/>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方案设计水平年为</w:t>
      </w:r>
      <w:r>
        <w:rPr>
          <w:rFonts w:hint="default" w:ascii="仿宋_GB2312" w:hAnsi="仿宋_GB2312" w:eastAsia="仿宋_GB2312" w:cs="仿宋_GB2312"/>
          <w:color w:val="000000"/>
          <w:kern w:val="0"/>
          <w:sz w:val="32"/>
          <w:szCs w:val="32"/>
          <w:lang w:val="en-US" w:eastAsia="zh-CN" w:bidi="ar"/>
        </w:rPr>
        <w:t>20</w:t>
      </w:r>
      <w:r>
        <w:rPr>
          <w:rFonts w:hint="eastAsia" w:ascii="仿宋_GB2312" w:hAnsi="仿宋_GB2312" w:eastAsia="仿宋_GB2312" w:cs="仿宋_GB2312"/>
          <w:color w:val="000000"/>
          <w:kern w:val="0"/>
          <w:sz w:val="32"/>
          <w:szCs w:val="32"/>
          <w:lang w:val="en-US" w:eastAsia="zh-CN" w:bidi="ar"/>
        </w:rPr>
        <w:t>23年，届时方案确定的各项水土保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持措施均应实施完成并初步发挥效应，满足水土保持专项验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收的要求。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二、主体工程水土保持分析与评价</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对主体工程水土保持制约性因素的分析与评价结论，工程建设基本不存在制约性因素；项目建设区地处生态环境脆弱区，工程建设中应当提高防治标准，优化施工工艺，减少植被扰动和损坏土地范围；基本同意对工程占地、土石方平衡、施工工艺及方法等的分析与评价；基本同意对主体设计中具有水土保持功能工程的界定和评价。</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三、水土流失防治责任范围</w:t>
      </w:r>
    </w:p>
    <w:p>
      <w:pPr>
        <w:pStyle w:val="5"/>
        <w:keepNext w:val="0"/>
        <w:keepLines w:val="0"/>
        <w:pageBreakBefore w:val="0"/>
        <w:kinsoku/>
        <w:wordWrap/>
        <w:overflowPunct/>
        <w:topLinePunct w:val="0"/>
        <w:autoSpaceDE/>
        <w:autoSpaceDN/>
        <w:bidi w:val="0"/>
        <w:spacing w:line="560" w:lineRule="exact"/>
        <w:ind w:firstLine="55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项目区水土流失防治责任范围2.63h㎡。</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四、水土流失调查</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基本同意水土流失防治目标为：水土流失治理度98.66%、土壤流失控制比0.8、渣土防护率 92%、表土保护率 90%、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林草植被恢复率 96%、林草覆盖率28.84%。调查工程建设扰动损坏地表面积2.63h㎡，工程施工建设造成的水土流失总量为901t，其中新增水土流失量为408t。</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五、水土流失防治分区及分区防治措施</w:t>
      </w:r>
    </w:p>
    <w:p>
      <w:pPr>
        <w:pStyle w:val="5"/>
        <w:keepNext w:val="0"/>
        <w:keepLines w:val="0"/>
        <w:pageBreakBefore w:val="0"/>
        <w:kinsoku/>
        <w:wordWrap/>
        <w:overflowPunct/>
        <w:topLinePunct w:val="0"/>
        <w:autoSpaceDE/>
        <w:autoSpaceDN/>
        <w:bidi w:val="0"/>
        <w:spacing w:line="560" w:lineRule="exact"/>
        <w:ind w:firstLine="550"/>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sz w:val="32"/>
          <w:szCs w:val="32"/>
        </w:rPr>
        <w:t>同</w:t>
      </w:r>
      <w:r>
        <w:rPr>
          <w:rFonts w:hint="eastAsia" w:ascii="仿宋_GB2312" w:hAnsi="仿宋_GB2312" w:eastAsia="仿宋_GB2312" w:cs="仿宋_GB2312"/>
          <w:color w:val="000000"/>
          <w:kern w:val="0"/>
          <w:sz w:val="32"/>
          <w:szCs w:val="32"/>
          <w:lang w:val="en-US" w:eastAsia="zh-CN" w:bidi="ar"/>
        </w:rPr>
        <w:t>意项目水土流失防治执行建设类项目一级标准。</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lang w:val="en-US" w:eastAsia="zh-CN"/>
        </w:rPr>
      </w:pPr>
      <w:r>
        <w:rPr>
          <w:rFonts w:hint="eastAsia" w:ascii="仿宋_GB2312" w:hAnsi="仿宋_GB2312" w:eastAsia="仿宋_GB2312" w:cs="仿宋_GB2312"/>
          <w:color w:val="000000"/>
          <w:kern w:val="0"/>
          <w:sz w:val="32"/>
          <w:szCs w:val="32"/>
          <w:lang w:val="en-US" w:eastAsia="zh-CN" w:bidi="ar"/>
        </w:rPr>
        <w:t>基本同意项目防治分区划分为建筑工程区、道路广场区和景观绿化区三个防治区。方案水土流失防治措施体系为工程措施、植物措施和临时措施组成。</w:t>
      </w:r>
      <w:r>
        <w:rPr>
          <w:rFonts w:hint="eastAsia" w:ascii="仿宋_GB2312" w:hAnsi="仿宋_GB2312" w:eastAsia="仿宋_GB2312" w:cs="仿宋_GB2312"/>
          <w:b/>
          <w:bCs/>
          <w:color w:val="000000"/>
          <w:kern w:val="0"/>
          <w:sz w:val="32"/>
          <w:szCs w:val="32"/>
          <w:lang w:val="en-US" w:eastAsia="zh-CN" w:bidi="ar"/>
        </w:rPr>
        <w:t>建筑工程区</w:t>
      </w:r>
      <w:r>
        <w:rPr>
          <w:rFonts w:hint="eastAsia" w:ascii="仿宋_GB2312" w:hAnsi="仿宋_GB2312" w:eastAsia="仿宋_GB2312" w:cs="仿宋_GB2312"/>
          <w:color w:val="000000"/>
          <w:kern w:val="0"/>
          <w:sz w:val="32"/>
          <w:szCs w:val="32"/>
          <w:lang w:val="en-US" w:eastAsia="zh-CN" w:bidi="ar"/>
        </w:rPr>
        <w:t>，工程措施：表土剥离0.05万m³, 临时措施：表土密目网临时苫盖925㎡。</w:t>
      </w:r>
      <w:r>
        <w:rPr>
          <w:rFonts w:hint="eastAsia" w:ascii="仿宋_GB2312" w:hAnsi="仿宋_GB2312" w:eastAsia="仿宋_GB2312" w:cs="仿宋_GB2312"/>
          <w:b/>
          <w:bCs/>
          <w:color w:val="000000"/>
          <w:kern w:val="0"/>
          <w:sz w:val="32"/>
          <w:szCs w:val="32"/>
          <w:lang w:val="en-US" w:eastAsia="zh-CN" w:bidi="ar"/>
        </w:rPr>
        <w:t>道路广场区，工</w:t>
      </w:r>
      <w:r>
        <w:rPr>
          <w:rFonts w:hint="eastAsia" w:ascii="仿宋_GB2312" w:hAnsi="仿宋_GB2312" w:eastAsia="仿宋_GB2312" w:cs="仿宋_GB2312"/>
          <w:color w:val="000000"/>
          <w:kern w:val="0"/>
          <w:sz w:val="32"/>
          <w:szCs w:val="32"/>
          <w:lang w:val="en-US" w:eastAsia="zh-CN" w:bidi="ar"/>
        </w:rPr>
        <w:t>程措施：表土剥离0.5万m³，布设梯形排水沟240m，布设矩形排水沟130m，挡墙浆砌石护坡1170㎡，铺设透水砖0.08h㎡，路面平台铺设透水砖1.49h㎡，临时措施：表土密目网苫盖4650㎡，</w:t>
      </w:r>
      <w:r>
        <w:rPr>
          <w:rFonts w:hint="eastAsia" w:ascii="仿宋_GB2312" w:hAnsi="仿宋_GB2312" w:eastAsia="仿宋_GB2312" w:cs="仿宋_GB2312"/>
          <w:b/>
          <w:bCs/>
          <w:color w:val="000000"/>
          <w:kern w:val="0"/>
          <w:sz w:val="32"/>
          <w:szCs w:val="32"/>
          <w:lang w:val="en-US" w:eastAsia="zh-CN" w:bidi="ar"/>
        </w:rPr>
        <w:t>景观绿化区，工</w:t>
      </w:r>
      <w:r>
        <w:rPr>
          <w:rFonts w:hint="eastAsia" w:ascii="仿宋_GB2312" w:hAnsi="仿宋_GB2312" w:eastAsia="仿宋_GB2312" w:cs="仿宋_GB2312"/>
          <w:color w:val="000000"/>
          <w:kern w:val="0"/>
          <w:sz w:val="32"/>
          <w:szCs w:val="32"/>
          <w:lang w:val="en-US" w:eastAsia="zh-CN" w:bidi="ar"/>
        </w:rPr>
        <w:t>程措施：表土剥离0.24万m³，绿化覆土0.79万m³，土地整治0.79h㎡，；绿化灌溉0.79h㎡，边坡围梗960㎡；植物措施：场地内空地绿化美化0.79h㎡，栽植乔木1752株，花灌木及小灌木340株，栽植各类草本花蕊7050㎡；临时措施：表土密目网苫盖2548㎡。</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六、水土保持投资</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意水土保持投资估算编制的原则、依据和方法。项目水土保持工程概算总投资358.17万元，其中工程措施投资126.75万元，植物措施投资169.04万元，临时措施投资11.70万元，独立费用46.21万元（其中建设管理费6.15万元、水土保持监理费8万元，监测费10.06万元、勘测设计费7万元、水土保持设施验收费15万元），水土保持补偿费4.471万元。</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七、建设单位在工程建设中应重点做好以下工作</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ascii="仿宋" w:hAnsi="仿宋" w:eastAsia="仿宋" w:cs="仿宋"/>
          <w:color w:val="000000"/>
          <w:kern w:val="0"/>
          <w:sz w:val="31"/>
          <w:szCs w:val="31"/>
          <w:lang w:val="en-US" w:eastAsia="zh-CN" w:bidi="ar"/>
        </w:rPr>
        <w:t>（</w:t>
      </w:r>
      <w:r>
        <w:rPr>
          <w:rFonts w:hint="eastAsia" w:ascii="仿宋_GB2312" w:hAnsi="仿宋_GB2312" w:eastAsia="仿宋_GB2312" w:cs="仿宋_GB2312"/>
          <w:color w:val="000000"/>
          <w:kern w:val="0"/>
          <w:sz w:val="32"/>
          <w:szCs w:val="32"/>
          <w:lang w:val="en-US" w:eastAsia="zh-CN" w:bidi="ar"/>
        </w:rPr>
        <w:t xml:space="preserve">一）生产建设单位在项目建设中应全面落实《中华人民共和国水土保持法》的各项要求，按照批准的水土保持方案，认真落实各项水土保持措施，尽快补交水土保持补偿费，在各项水土保持措施完成后，及时组织水土保持方案专项自主验收，并按水利部相关文件要求到我局报备。 </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（二）本项目属水土保持“未批先建”项目，生产建设单位要深刻吸取教训，严格执行水土保持法，杜绝此类行为再次发生，我局要按规定组织人员加强后续监督检查工作。</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（三）本</w:t>
      </w:r>
      <w:r>
        <w:rPr>
          <w:rFonts w:hint="eastAsia" w:ascii="仿宋_GB2312" w:hAnsi="仿宋_GB2312" w:eastAsia="仿宋_GB2312" w:cs="仿宋_GB2312"/>
          <w:color w:val="000000"/>
          <w:kern w:val="0"/>
          <w:sz w:val="32"/>
          <w:szCs w:val="32"/>
          <w:lang w:val="en-US" w:eastAsia="zh-CN" w:bidi="ar"/>
        </w:rPr>
        <w:t>项目的规模如发生重大变化，或者水土保持方案实施过程中水土保持措施发生重大变更，应补充或者修改水土保持方案，报我局审批。在生产过程中如需新设弃渣场，应在弃渣前编制水土保持方案，报我局审批。</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highlight w:val="none"/>
        </w:rPr>
      </w:pPr>
      <w:r>
        <w:rPr>
          <w:rFonts w:hint="eastAsia" w:ascii="仿宋_GB2312" w:hAnsi="仿宋_GB2312" w:eastAsia="仿宋_GB2312" w:cs="仿宋_GB2312"/>
          <w:color w:val="000000"/>
          <w:kern w:val="0"/>
          <w:sz w:val="32"/>
          <w:szCs w:val="32"/>
          <w:highlight w:val="none"/>
          <w:lang w:val="en-US" w:eastAsia="zh-CN" w:bidi="ar"/>
        </w:rPr>
        <w:t>（四）水土保持方案自批准之日起满 3 年，生产建设项目方开工建设的，其水土保持方案应当报原审批部门重新审核。</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w:t>
      </w:r>
      <w:r>
        <w:rPr>
          <w:rFonts w:hint="eastAsia" w:ascii="仿宋_GB2312" w:hAnsi="仿宋_GB2312" w:eastAsia="仿宋_GB2312" w:cs="仿宋_GB2312"/>
          <w:color w:val="000000"/>
          <w:kern w:val="0"/>
          <w:sz w:val="32"/>
          <w:szCs w:val="32"/>
          <w:lang w:val="en-US" w:eastAsia="zh-CN" w:bidi="ar"/>
        </w:rPr>
        <w:t>本项目水土保持设施未经验收或验收不合格的，生产建设项目不得继续生产。</w:t>
      </w:r>
      <w:r>
        <w:rPr>
          <w:rFonts w:hint="eastAsia" w:ascii="仿宋" w:hAnsi="仿宋" w:eastAsia="仿宋" w:cs="仿宋"/>
          <w:color w:val="000000"/>
          <w:kern w:val="0"/>
          <w:sz w:val="31"/>
          <w:szCs w:val="31"/>
          <w:lang w:val="en-US" w:eastAsia="zh-CN" w:bidi="ar"/>
        </w:rPr>
        <w:t xml:space="preserve"> </w:t>
      </w:r>
    </w:p>
    <w:p>
      <w:pPr>
        <w:rPr>
          <w:rFonts w:hint="eastAsia"/>
          <w:lang w:val="en-US" w:eastAsia="zh-CN"/>
        </w:rPr>
      </w:pPr>
    </w:p>
    <w:p>
      <w:pPr>
        <w:pStyle w:val="22"/>
        <w:rPr>
          <w:rFonts w:hint="eastAsia"/>
          <w:lang w:val="en-US" w:eastAsia="zh-CN"/>
        </w:rPr>
      </w:pP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达拉特旗水利局</w:t>
      </w: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2023年3月9日</w:t>
      </w: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600" w:lineRule="exact"/>
        <w:rPr>
          <w:rFonts w:hint="default" w:ascii="仿宋_GB2312" w:eastAsia="仿宋_GB2312"/>
          <w:color w:val="auto"/>
          <w:sz w:val="28"/>
          <w:szCs w:val="28"/>
          <w:lang w:val="en-US"/>
        </w:rPr>
      </w:pPr>
      <w:r>
        <w:rPr>
          <w:sz w:val="28"/>
        </w:rPr>
        <w:pict>
          <v:line id="_x0000_s1039" o:spid="_x0000_s1039"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40"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rFonts w:hint="eastAsia"/>
        </w:rPr>
        <w:sectPr>
          <w:footerReference r:id="rId3" w:type="default"/>
          <w:pgSz w:w="11906" w:h="16838"/>
          <w:pgMar w:top="1440" w:right="1797" w:bottom="1644" w:left="1797" w:header="851" w:footer="992" w:gutter="0"/>
          <w:pgNumType w:fmt="numberInDash"/>
          <w:cols w:space="425" w:num="1"/>
          <w:docGrid w:type="lines" w:linePitch="312" w:charSpace="0"/>
        </w:sectPr>
      </w:pPr>
      <w:r>
        <w:rPr>
          <w:rFonts w:hint="eastAsia" w:ascii="仿宋_GB2312" w:hAnsi="华文仿宋" w:eastAsia="仿宋_GB2312"/>
          <w:color w:val="auto"/>
          <w:sz w:val="28"/>
          <w:szCs w:val="28"/>
        </w:rPr>
        <w:pict>
          <v:line id="Line 4" o:spid="_x0000_s1041"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20</w:t>
      </w:r>
      <w:r>
        <w:rPr>
          <w:rFonts w:hint="eastAsia" w:ascii="仿宋_GB2312" w:hAnsi="华文仿宋" w:eastAsia="仿宋_GB2312"/>
          <w:color w:val="auto"/>
          <w:sz w:val="28"/>
          <w:szCs w:val="28"/>
          <w:lang w:val="en-US" w:eastAsia="zh-CN"/>
        </w:rPr>
        <w:t>23年 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9</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p>
      <w:pPr>
        <w:snapToGrid w:val="0"/>
        <w:spacing w:line="360" w:lineRule="auto"/>
        <w:ind w:right="210" w:rightChars="100"/>
        <w:rPr>
          <w:color w:val="auto"/>
        </w:rPr>
      </w:pPr>
    </w:p>
    <w:sectPr>
      <w:footerReference r:id="rId4"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9.45pt;width:38.5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zk2NGIzYmY1NTUxMzkyODJmNDYwYzUzN2JkOTQifQ=="/>
    <w:docVar w:name="KSO_WPS_MARK_KEY" w:val="bb968390-a863-4877-8806-582e0f05ae4c"/>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2F44773"/>
    <w:rsid w:val="03447F50"/>
    <w:rsid w:val="038016F5"/>
    <w:rsid w:val="03994A5E"/>
    <w:rsid w:val="03C423D0"/>
    <w:rsid w:val="03E6144D"/>
    <w:rsid w:val="03F4572B"/>
    <w:rsid w:val="040358FF"/>
    <w:rsid w:val="04577CE5"/>
    <w:rsid w:val="046B3039"/>
    <w:rsid w:val="04BA5E1C"/>
    <w:rsid w:val="05194270"/>
    <w:rsid w:val="053D154A"/>
    <w:rsid w:val="0542129D"/>
    <w:rsid w:val="05456F4C"/>
    <w:rsid w:val="056E65E8"/>
    <w:rsid w:val="05833338"/>
    <w:rsid w:val="05BA3B13"/>
    <w:rsid w:val="06304A7B"/>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A8345E"/>
    <w:rsid w:val="0BD81DFD"/>
    <w:rsid w:val="0BFE5703"/>
    <w:rsid w:val="0C031CBF"/>
    <w:rsid w:val="0C4D1E2F"/>
    <w:rsid w:val="0C840F9D"/>
    <w:rsid w:val="0D1439B3"/>
    <w:rsid w:val="0D1D3713"/>
    <w:rsid w:val="0D246507"/>
    <w:rsid w:val="0D2F198E"/>
    <w:rsid w:val="0D59791F"/>
    <w:rsid w:val="0D717D76"/>
    <w:rsid w:val="0D767A72"/>
    <w:rsid w:val="0D8508D0"/>
    <w:rsid w:val="0D8D6C0B"/>
    <w:rsid w:val="0DBF5657"/>
    <w:rsid w:val="0DC336FB"/>
    <w:rsid w:val="0DDC2F39"/>
    <w:rsid w:val="0DE7036E"/>
    <w:rsid w:val="0DFD6734"/>
    <w:rsid w:val="0E2F5D7E"/>
    <w:rsid w:val="0E415359"/>
    <w:rsid w:val="0ED077EF"/>
    <w:rsid w:val="0F1503A2"/>
    <w:rsid w:val="0FA5685F"/>
    <w:rsid w:val="10226E6C"/>
    <w:rsid w:val="10D45A55"/>
    <w:rsid w:val="117C7CAB"/>
    <w:rsid w:val="11984429"/>
    <w:rsid w:val="11C65F78"/>
    <w:rsid w:val="11CD0FFB"/>
    <w:rsid w:val="120C223D"/>
    <w:rsid w:val="12525E03"/>
    <w:rsid w:val="12942368"/>
    <w:rsid w:val="129D071B"/>
    <w:rsid w:val="12EE5BBC"/>
    <w:rsid w:val="132940E2"/>
    <w:rsid w:val="13A35305"/>
    <w:rsid w:val="13C11691"/>
    <w:rsid w:val="14182743"/>
    <w:rsid w:val="1426228F"/>
    <w:rsid w:val="144E576A"/>
    <w:rsid w:val="14754FA0"/>
    <w:rsid w:val="158E52DA"/>
    <w:rsid w:val="15C15DC1"/>
    <w:rsid w:val="160E3771"/>
    <w:rsid w:val="16107A4D"/>
    <w:rsid w:val="162D6387"/>
    <w:rsid w:val="16AB3398"/>
    <w:rsid w:val="16F25BF5"/>
    <w:rsid w:val="16FF7344"/>
    <w:rsid w:val="17492B6A"/>
    <w:rsid w:val="175541D3"/>
    <w:rsid w:val="175C5B35"/>
    <w:rsid w:val="175F1BF3"/>
    <w:rsid w:val="177F3F63"/>
    <w:rsid w:val="17A259EB"/>
    <w:rsid w:val="17B04328"/>
    <w:rsid w:val="17D952DF"/>
    <w:rsid w:val="18000BA1"/>
    <w:rsid w:val="184024E5"/>
    <w:rsid w:val="18810900"/>
    <w:rsid w:val="18843358"/>
    <w:rsid w:val="1A10695B"/>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1F9C7E9E"/>
    <w:rsid w:val="203F463E"/>
    <w:rsid w:val="20986C08"/>
    <w:rsid w:val="20ED22CF"/>
    <w:rsid w:val="20FA7CA7"/>
    <w:rsid w:val="21264386"/>
    <w:rsid w:val="214A3729"/>
    <w:rsid w:val="219C70A1"/>
    <w:rsid w:val="22103B97"/>
    <w:rsid w:val="22577506"/>
    <w:rsid w:val="22D22E42"/>
    <w:rsid w:val="233018D6"/>
    <w:rsid w:val="233405C6"/>
    <w:rsid w:val="23370D3A"/>
    <w:rsid w:val="23462F2B"/>
    <w:rsid w:val="23E5437F"/>
    <w:rsid w:val="244F181B"/>
    <w:rsid w:val="24717D39"/>
    <w:rsid w:val="247A4D5F"/>
    <w:rsid w:val="248A62F0"/>
    <w:rsid w:val="248A723C"/>
    <w:rsid w:val="249E544E"/>
    <w:rsid w:val="24F10F33"/>
    <w:rsid w:val="25274D09"/>
    <w:rsid w:val="257E0222"/>
    <w:rsid w:val="263B2F02"/>
    <w:rsid w:val="26402578"/>
    <w:rsid w:val="26437493"/>
    <w:rsid w:val="27C72475"/>
    <w:rsid w:val="27FC7B73"/>
    <w:rsid w:val="28AF305B"/>
    <w:rsid w:val="28D37F04"/>
    <w:rsid w:val="28F5537A"/>
    <w:rsid w:val="2922155C"/>
    <w:rsid w:val="2A170307"/>
    <w:rsid w:val="2ABE15D1"/>
    <w:rsid w:val="2AFE5BCB"/>
    <w:rsid w:val="2BA90673"/>
    <w:rsid w:val="2BDA2989"/>
    <w:rsid w:val="2BE7095E"/>
    <w:rsid w:val="2C406815"/>
    <w:rsid w:val="2C9B733B"/>
    <w:rsid w:val="2CC25275"/>
    <w:rsid w:val="2DFB343C"/>
    <w:rsid w:val="2E135CD8"/>
    <w:rsid w:val="2E324B49"/>
    <w:rsid w:val="2E4E06BC"/>
    <w:rsid w:val="2E553938"/>
    <w:rsid w:val="2EA36753"/>
    <w:rsid w:val="2F8F3EA1"/>
    <w:rsid w:val="2FFE58DC"/>
    <w:rsid w:val="30411EB0"/>
    <w:rsid w:val="306010C3"/>
    <w:rsid w:val="30656241"/>
    <w:rsid w:val="30694EE9"/>
    <w:rsid w:val="30BC4505"/>
    <w:rsid w:val="3101042C"/>
    <w:rsid w:val="312B32FF"/>
    <w:rsid w:val="313D6BFF"/>
    <w:rsid w:val="31420BAE"/>
    <w:rsid w:val="320C2BE0"/>
    <w:rsid w:val="329A03DE"/>
    <w:rsid w:val="32DC3EBE"/>
    <w:rsid w:val="339C1440"/>
    <w:rsid w:val="33D2477A"/>
    <w:rsid w:val="33E9274A"/>
    <w:rsid w:val="34ED4076"/>
    <w:rsid w:val="34FF01D5"/>
    <w:rsid w:val="350158F9"/>
    <w:rsid w:val="353F7A8B"/>
    <w:rsid w:val="35B85686"/>
    <w:rsid w:val="36184F27"/>
    <w:rsid w:val="365E3131"/>
    <w:rsid w:val="36AA1A1D"/>
    <w:rsid w:val="374D731E"/>
    <w:rsid w:val="376E0AE1"/>
    <w:rsid w:val="37B41116"/>
    <w:rsid w:val="37C420EC"/>
    <w:rsid w:val="37D312D1"/>
    <w:rsid w:val="382A263C"/>
    <w:rsid w:val="391C7093"/>
    <w:rsid w:val="3947572A"/>
    <w:rsid w:val="395442E9"/>
    <w:rsid w:val="39CF56BF"/>
    <w:rsid w:val="39DF63B8"/>
    <w:rsid w:val="3A124633"/>
    <w:rsid w:val="3A41052A"/>
    <w:rsid w:val="3AB100C5"/>
    <w:rsid w:val="3B141037"/>
    <w:rsid w:val="3B3F6234"/>
    <w:rsid w:val="3B606001"/>
    <w:rsid w:val="3B761719"/>
    <w:rsid w:val="3C433B5C"/>
    <w:rsid w:val="3C9A7B68"/>
    <w:rsid w:val="3D3E73C3"/>
    <w:rsid w:val="3DED4DA8"/>
    <w:rsid w:val="3DF04A32"/>
    <w:rsid w:val="3DF06634"/>
    <w:rsid w:val="3E441102"/>
    <w:rsid w:val="3E93792F"/>
    <w:rsid w:val="3E9B6D2E"/>
    <w:rsid w:val="3EC5725A"/>
    <w:rsid w:val="3F7E7D58"/>
    <w:rsid w:val="3FA2402D"/>
    <w:rsid w:val="3FBE7495"/>
    <w:rsid w:val="3FC4365A"/>
    <w:rsid w:val="40D1076D"/>
    <w:rsid w:val="40EC7F3E"/>
    <w:rsid w:val="413147B9"/>
    <w:rsid w:val="424A6050"/>
    <w:rsid w:val="424E7C19"/>
    <w:rsid w:val="429C6972"/>
    <w:rsid w:val="42C33578"/>
    <w:rsid w:val="431662B2"/>
    <w:rsid w:val="43842D4F"/>
    <w:rsid w:val="43DC589E"/>
    <w:rsid w:val="44143F62"/>
    <w:rsid w:val="4414436D"/>
    <w:rsid w:val="445B0D2C"/>
    <w:rsid w:val="44FA05EA"/>
    <w:rsid w:val="454E1E7D"/>
    <w:rsid w:val="46A21068"/>
    <w:rsid w:val="46B25817"/>
    <w:rsid w:val="46BA5754"/>
    <w:rsid w:val="46BF224D"/>
    <w:rsid w:val="46EE2A12"/>
    <w:rsid w:val="475970A9"/>
    <w:rsid w:val="477056E0"/>
    <w:rsid w:val="477C03B2"/>
    <w:rsid w:val="47D748C8"/>
    <w:rsid w:val="47DE6225"/>
    <w:rsid w:val="481B3E68"/>
    <w:rsid w:val="48A43377"/>
    <w:rsid w:val="48C478D0"/>
    <w:rsid w:val="492A3BEC"/>
    <w:rsid w:val="493F6E01"/>
    <w:rsid w:val="49B44BED"/>
    <w:rsid w:val="49C369D7"/>
    <w:rsid w:val="4A4B30E2"/>
    <w:rsid w:val="4B3914BA"/>
    <w:rsid w:val="4B6A26A3"/>
    <w:rsid w:val="4BED4FF0"/>
    <w:rsid w:val="4C115F72"/>
    <w:rsid w:val="4C3B00CB"/>
    <w:rsid w:val="4C410A70"/>
    <w:rsid w:val="4C531DA4"/>
    <w:rsid w:val="4CA701BE"/>
    <w:rsid w:val="4CF71E1E"/>
    <w:rsid w:val="4D5034B3"/>
    <w:rsid w:val="4D674705"/>
    <w:rsid w:val="4D6B4D1A"/>
    <w:rsid w:val="4E97435F"/>
    <w:rsid w:val="4EEA3531"/>
    <w:rsid w:val="4FA0200C"/>
    <w:rsid w:val="50614CBD"/>
    <w:rsid w:val="51585CF5"/>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A60927"/>
    <w:rsid w:val="56BE1886"/>
    <w:rsid w:val="56DF2530"/>
    <w:rsid w:val="56F87F14"/>
    <w:rsid w:val="576B3890"/>
    <w:rsid w:val="57F814AD"/>
    <w:rsid w:val="583F3C9B"/>
    <w:rsid w:val="58847504"/>
    <w:rsid w:val="59692187"/>
    <w:rsid w:val="597063F8"/>
    <w:rsid w:val="59A42E61"/>
    <w:rsid w:val="59C91724"/>
    <w:rsid w:val="5A0F2FF6"/>
    <w:rsid w:val="5A1237E0"/>
    <w:rsid w:val="5A76594E"/>
    <w:rsid w:val="5AED6748"/>
    <w:rsid w:val="5B161069"/>
    <w:rsid w:val="5B8501A8"/>
    <w:rsid w:val="5B8715D2"/>
    <w:rsid w:val="5B935681"/>
    <w:rsid w:val="5BBC7991"/>
    <w:rsid w:val="5C0F53A9"/>
    <w:rsid w:val="5C2A10A8"/>
    <w:rsid w:val="5C657195"/>
    <w:rsid w:val="5CE8150D"/>
    <w:rsid w:val="5DB71576"/>
    <w:rsid w:val="5DBE5A62"/>
    <w:rsid w:val="5E407ECD"/>
    <w:rsid w:val="5EA15BD5"/>
    <w:rsid w:val="5EE112B3"/>
    <w:rsid w:val="5F247461"/>
    <w:rsid w:val="5F382BCD"/>
    <w:rsid w:val="5F6E627D"/>
    <w:rsid w:val="5FB93F77"/>
    <w:rsid w:val="604D3C61"/>
    <w:rsid w:val="611C2580"/>
    <w:rsid w:val="613368D3"/>
    <w:rsid w:val="61B61536"/>
    <w:rsid w:val="629E491B"/>
    <w:rsid w:val="62C3483E"/>
    <w:rsid w:val="63347FB1"/>
    <w:rsid w:val="63667667"/>
    <w:rsid w:val="64EA5B43"/>
    <w:rsid w:val="67074CD3"/>
    <w:rsid w:val="678B445E"/>
    <w:rsid w:val="679C490D"/>
    <w:rsid w:val="67E3112E"/>
    <w:rsid w:val="681B3B4E"/>
    <w:rsid w:val="6845113F"/>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0262E2"/>
    <w:rsid w:val="6D4545F8"/>
    <w:rsid w:val="6D515A7E"/>
    <w:rsid w:val="6D9D63FA"/>
    <w:rsid w:val="6DE808FC"/>
    <w:rsid w:val="6E390823"/>
    <w:rsid w:val="6EA94ABC"/>
    <w:rsid w:val="6ECA2AEA"/>
    <w:rsid w:val="6EDA040B"/>
    <w:rsid w:val="6F3365CC"/>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B173E7"/>
    <w:rsid w:val="761415DE"/>
    <w:rsid w:val="764E73BA"/>
    <w:rsid w:val="76B76805"/>
    <w:rsid w:val="773A5475"/>
    <w:rsid w:val="77D243F1"/>
    <w:rsid w:val="78376601"/>
    <w:rsid w:val="78437072"/>
    <w:rsid w:val="78776EDC"/>
    <w:rsid w:val="787966D3"/>
    <w:rsid w:val="787A6B86"/>
    <w:rsid w:val="78C97697"/>
    <w:rsid w:val="795E526C"/>
    <w:rsid w:val="7990680D"/>
    <w:rsid w:val="79E90EE7"/>
    <w:rsid w:val="7A3A7450"/>
    <w:rsid w:val="7AB32755"/>
    <w:rsid w:val="7B83737D"/>
    <w:rsid w:val="7C28382B"/>
    <w:rsid w:val="7C3976EC"/>
    <w:rsid w:val="7C4E2A32"/>
    <w:rsid w:val="7C542B1B"/>
    <w:rsid w:val="7CCB48DE"/>
    <w:rsid w:val="7CE608AF"/>
    <w:rsid w:val="7CFA35B7"/>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2">
    <w:name w:val="heading 6"/>
    <w:basedOn w:val="1"/>
    <w:next w:val="1"/>
    <w:autoRedefine/>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firstLine="562"/>
    </w:pPr>
    <w:rPr>
      <w:rFonts w:ascii="仿宋" w:hAnsi="仿宋" w:eastAsia="仿宋"/>
    </w:rPr>
  </w:style>
  <w:style w:type="paragraph" w:styleId="5">
    <w:name w:val="Normal Indent"/>
    <w:basedOn w:val="1"/>
    <w:autoRedefine/>
    <w:qFormat/>
    <w:uiPriority w:val="0"/>
    <w:pPr>
      <w:adjustRightInd w:val="0"/>
      <w:ind w:firstLine="420"/>
      <w:jc w:val="left"/>
      <w:textAlignment w:val="baseline"/>
    </w:pPr>
    <w:rPr>
      <w:rFonts w:ascii="宋体"/>
      <w:kern w:val="0"/>
      <w:sz w:val="24"/>
      <w:szCs w:val="20"/>
    </w:rPr>
  </w:style>
  <w:style w:type="paragraph" w:styleId="6">
    <w:name w:val="Body Text"/>
    <w:basedOn w:val="1"/>
    <w:next w:val="7"/>
    <w:qFormat/>
    <w:uiPriority w:val="0"/>
    <w:pPr>
      <w:spacing w:after="120"/>
    </w:pPr>
  </w:style>
  <w:style w:type="paragraph" w:styleId="7">
    <w:name w:val="Body Text First Indent 2"/>
    <w:basedOn w:val="8"/>
    <w:next w:val="1"/>
    <w:qFormat/>
    <w:uiPriority w:val="0"/>
    <w:pPr>
      <w:ind w:firstLine="420"/>
    </w:pPr>
  </w:style>
  <w:style w:type="paragraph" w:styleId="8">
    <w:name w:val="Body Text Indent"/>
    <w:basedOn w:val="1"/>
    <w:next w:val="9"/>
    <w:qFormat/>
    <w:uiPriority w:val="0"/>
    <w:pPr>
      <w:autoSpaceDE w:val="0"/>
      <w:autoSpaceDN w:val="0"/>
      <w:adjustRightInd w:val="0"/>
      <w:spacing w:line="360" w:lineRule="auto"/>
      <w:ind w:right="156" w:firstLine="480" w:firstLineChars="200"/>
    </w:pPr>
    <w:rPr>
      <w:sz w:val="24"/>
    </w:rPr>
  </w:style>
  <w:style w:type="paragraph" w:customStyle="1" w:styleId="9">
    <w:name w:val="样式 正文文本缩进 + 行距: 1.5 倍行距"/>
    <w:basedOn w:val="1"/>
    <w:autoRedefine/>
    <w:qFormat/>
    <w:uiPriority w:val="0"/>
    <w:pPr>
      <w:spacing w:after="120" w:line="360" w:lineRule="auto"/>
      <w:ind w:left="90" w:leftChars="32" w:firstLine="560" w:firstLineChars="200"/>
    </w:pPr>
    <w:rPr>
      <w:rFonts w:cs="宋体"/>
    </w:rPr>
  </w:style>
  <w:style w:type="paragraph" w:styleId="10">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1">
    <w:name w:val="Date"/>
    <w:basedOn w:val="1"/>
    <w:next w:val="1"/>
    <w:link w:val="26"/>
    <w:semiHidden/>
    <w:unhideWhenUsed/>
    <w:qFormat/>
    <w:uiPriority w:val="99"/>
    <w:pPr>
      <w:ind w:left="100" w:leftChars="2500"/>
    </w:pPr>
  </w:style>
  <w:style w:type="paragraph" w:styleId="12">
    <w:name w:val="Body Text Indent 2"/>
    <w:basedOn w:val="1"/>
    <w:next w:val="1"/>
    <w:autoRedefine/>
    <w:qFormat/>
    <w:uiPriority w:val="0"/>
    <w:pPr>
      <w:ind w:firstLine="630"/>
    </w:pPr>
    <w:rPr>
      <w:rFonts w:ascii="Times New Roman" w:hAnsi="Times New Roman"/>
      <w:sz w:val="32"/>
      <w:szCs w:val="24"/>
    </w:rPr>
  </w:style>
  <w:style w:type="paragraph" w:styleId="13">
    <w:name w:val="Balloon Text"/>
    <w:basedOn w:val="1"/>
    <w:link w:val="28"/>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unhideWhenUsed/>
    <w:qFormat/>
    <w:uiPriority w:val="99"/>
    <w:pPr>
      <w:widowControl/>
      <w:jc w:val="left"/>
    </w:pPr>
    <w:rPr>
      <w:rFonts w:ascii="宋体" w:hAnsi="宋体" w:eastAsia="宋体" w:cs="宋体"/>
      <w:kern w:val="0"/>
      <w:sz w:val="24"/>
      <w:szCs w:val="24"/>
    </w:rPr>
  </w:style>
  <w:style w:type="paragraph" w:styleId="17">
    <w:name w:val="Body Text First Indent"/>
    <w:basedOn w:val="6"/>
    <w:next w:val="18"/>
    <w:qFormat/>
    <w:uiPriority w:val="0"/>
    <w:pPr>
      <w:ind w:firstLine="420" w:firstLineChars="100"/>
    </w:pPr>
  </w:style>
  <w:style w:type="paragraph" w:customStyle="1" w:styleId="18">
    <w:name w:val="样式 宋体 小四 行距: 1.5 倍行距"/>
    <w:basedOn w:val="1"/>
    <w:next w:val="3"/>
    <w:qFormat/>
    <w:uiPriority w:val="0"/>
    <w:pPr>
      <w:widowControl/>
      <w:spacing w:after="120" w:line="360" w:lineRule="auto"/>
      <w:ind w:firstLine="480" w:firstLineChars="200"/>
      <w:textAlignment w:val="baseline"/>
    </w:pPr>
    <w:rPr>
      <w:rFonts w:ascii="宋体" w:hAnsi="宋体" w:cs="宋体"/>
      <w:kern w:val="0"/>
      <w:sz w:val="24"/>
      <w:szCs w:val="20"/>
    </w:rPr>
  </w:style>
  <w:style w:type="character" w:styleId="21">
    <w:name w:val="page number"/>
    <w:basedOn w:val="20"/>
    <w:qFormat/>
    <w:uiPriority w:val="0"/>
  </w:style>
  <w:style w:type="paragraph" w:customStyle="1" w:styleId="22">
    <w:name w:val="Body Text 21"/>
    <w:basedOn w:val="1"/>
    <w:next w:val="1"/>
    <w:qFormat/>
    <w:uiPriority w:val="0"/>
    <w:pPr>
      <w:spacing w:after="120" w:line="480" w:lineRule="auto"/>
    </w:pPr>
  </w:style>
  <w:style w:type="paragraph" w:customStyle="1" w:styleId="23">
    <w:name w:val="BodyText1I"/>
    <w:basedOn w:val="1"/>
    <w:autoRedefine/>
    <w:qFormat/>
    <w:uiPriority w:val="0"/>
    <w:pPr>
      <w:ind w:firstLine="420" w:firstLineChars="100"/>
      <w:jc w:val="both"/>
      <w:textAlignment w:val="baseline"/>
    </w:pPr>
  </w:style>
  <w:style w:type="character" w:customStyle="1" w:styleId="24">
    <w:name w:val="页眉 Char"/>
    <w:basedOn w:val="20"/>
    <w:link w:val="15"/>
    <w:qFormat/>
    <w:uiPriority w:val="99"/>
    <w:rPr>
      <w:sz w:val="18"/>
      <w:szCs w:val="18"/>
    </w:rPr>
  </w:style>
  <w:style w:type="character" w:customStyle="1" w:styleId="25">
    <w:name w:val="页脚 Char"/>
    <w:basedOn w:val="20"/>
    <w:link w:val="14"/>
    <w:autoRedefine/>
    <w:qFormat/>
    <w:uiPriority w:val="99"/>
    <w:rPr>
      <w:sz w:val="18"/>
      <w:szCs w:val="18"/>
    </w:rPr>
  </w:style>
  <w:style w:type="character" w:customStyle="1" w:styleId="26">
    <w:name w:val="日期 Char"/>
    <w:basedOn w:val="20"/>
    <w:link w:val="11"/>
    <w:semiHidden/>
    <w:qFormat/>
    <w:uiPriority w:val="99"/>
  </w:style>
  <w:style w:type="paragraph" w:customStyle="1" w:styleId="27">
    <w:name w:val="4 Char"/>
    <w:basedOn w:val="1"/>
    <w:qFormat/>
    <w:uiPriority w:val="0"/>
    <w:rPr>
      <w:rFonts w:ascii="Times New Roman" w:hAnsi="Times New Roman" w:eastAsia="宋体" w:cs="Times New Roman"/>
      <w:szCs w:val="24"/>
    </w:rPr>
  </w:style>
  <w:style w:type="character" w:customStyle="1" w:styleId="28">
    <w:name w:val="批注框文本 Char"/>
    <w:basedOn w:val="20"/>
    <w:link w:val="13"/>
    <w:semiHidden/>
    <w:qFormat/>
    <w:uiPriority w:val="99"/>
    <w:rPr>
      <w:sz w:val="18"/>
      <w:szCs w:val="18"/>
    </w:rPr>
  </w:style>
  <w:style w:type="character" w:customStyle="1" w:styleId="29">
    <w:name w:val="fontstyle01"/>
    <w:qFormat/>
    <w:uiPriority w:val="0"/>
    <w:rPr>
      <w:rFonts w:hint="default" w:ascii="F1" w:hAnsi="F1"/>
      <w:color w:val="000000"/>
      <w:sz w:val="28"/>
      <w:szCs w:val="28"/>
    </w:rPr>
  </w:style>
  <w:style w:type="paragraph" w:customStyle="1" w:styleId="30">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1">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2">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3">
    <w:name w:val="NormalCharacter"/>
    <w:qFormat/>
    <w:uiPriority w:val="0"/>
    <w:rPr>
      <w:kern w:val="2"/>
      <w:sz w:val="21"/>
      <w:szCs w:val="24"/>
      <w:lang w:val="en-US" w:eastAsia="zh-CN" w:bidi="ar-SA"/>
    </w:rPr>
  </w:style>
  <w:style w:type="paragraph" w:customStyle="1" w:styleId="34">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 w:type="paragraph" w:customStyle="1" w:styleId="35">
    <w:name w:val="⑨正文（武潇）"/>
    <w:basedOn w:val="17"/>
    <w:qFormat/>
    <w:uiPriority w:val="0"/>
    <w:pPr>
      <w:autoSpaceDE w:val="0"/>
      <w:autoSpaceDN w:val="0"/>
      <w:adjustRightInd w:val="0"/>
      <w:snapToGrid w:val="0"/>
      <w:spacing w:after="0" w:line="360" w:lineRule="auto"/>
      <w:ind w:firstLine="200" w:firstLineChars="200"/>
    </w:pPr>
    <w:rPr>
      <w:bCs/>
      <w:sz w:val="28"/>
      <w:szCs w:val="28"/>
    </w:rPr>
  </w:style>
  <w:style w:type="paragraph" w:customStyle="1" w:styleId="36">
    <w:name w:val="正文26"/>
    <w:basedOn w:val="1"/>
    <w:qFormat/>
    <w:uiPriority w:val="0"/>
    <w:pPr>
      <w:widowControl w:val="0"/>
      <w:overflowPunct w:val="0"/>
      <w:topLinePunct/>
      <w:snapToGrid w:val="0"/>
      <w:spacing w:line="520" w:lineRule="exact"/>
      <w:ind w:firstLine="482"/>
      <w:jc w:val="both"/>
    </w:pPr>
    <w:rPr>
      <w:rFonts w:cs="Times New Roman"/>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1692</Words>
  <Characters>1961</Characters>
  <Lines>8</Lines>
  <Paragraphs>2</Paragraphs>
  <TotalTime>48</TotalTime>
  <ScaleCrop>false</ScaleCrop>
  <LinksUpToDate>false</LinksUpToDate>
  <CharactersWithSpaces>1993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Lenovo</cp:lastModifiedBy>
  <cp:lastPrinted>2023-09-12T07:34:00Z</cp:lastPrinted>
  <dcterms:modified xsi:type="dcterms:W3CDTF">2023-12-19T08:14:57Z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18F56E52C95E4549A41ADB6E4381677B</vt:lpwstr>
  </property>
</Properties>
</file>