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rPr>
          <w:rFonts w:ascii="方正小标宋简体" w:eastAsia="方正小标宋简体"/>
          <w:sz w:val="44"/>
          <w:szCs w:val="44"/>
        </w:rPr>
      </w:pPr>
    </w:p>
    <w:p>
      <w:pPr>
        <w:jc w:val="right"/>
        <w:rPr>
          <w:rFonts w:hint="eastAsia" w:ascii="仿宋" w:hAnsi="仿宋" w:eastAsia="仿宋" w:cs="仿宋"/>
          <w:sz w:val="32"/>
          <w:szCs w:val="32"/>
        </w:rPr>
      </w:pPr>
      <w:bookmarkStart w:id="0" w:name="OLE_LINK1"/>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rPr>
          <w:rFonts w:hint="eastAsia"/>
        </w:rPr>
      </w:pPr>
    </w:p>
    <w:p>
      <w:pPr>
        <w:jc w:val="center"/>
        <w:rPr>
          <w:rFonts w:ascii="仿宋" w:hAnsi="仿宋" w:eastAsia="仿宋" w:cs="仿宋"/>
          <w:sz w:val="32"/>
          <w:szCs w:val="32"/>
        </w:rPr>
      </w:pPr>
      <w:r>
        <w:rPr>
          <w:rFonts w:hint="eastAsia" w:ascii="仿宋" w:hAnsi="仿宋" w:eastAsia="仿宋" w:cs="仿宋"/>
          <w:sz w:val="32"/>
          <w:szCs w:val="32"/>
        </w:rPr>
        <w:t>达水</w:t>
      </w:r>
      <w:r>
        <w:rPr>
          <w:rFonts w:hint="eastAsia" w:ascii="仿宋" w:hAnsi="仿宋" w:eastAsia="仿宋" w:cs="仿宋"/>
          <w:sz w:val="32"/>
          <w:szCs w:val="32"/>
          <w:lang w:val="en-US" w:eastAsia="zh-CN"/>
        </w:rPr>
        <w:t>审批发</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16</w:t>
      </w:r>
      <w:r>
        <w:rPr>
          <w:rFonts w:hint="eastAsia" w:ascii="仿宋" w:hAnsi="仿宋" w:eastAsia="仿宋" w:cs="仿宋"/>
          <w:sz w:val="32"/>
          <w:szCs w:val="32"/>
        </w:rPr>
        <w:t>号</w:t>
      </w:r>
      <w:bookmarkEnd w:id="0"/>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1151" w:hanging="1151"/>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内蒙古长河亿动石英砂有限公司石英砂</w:t>
      </w:r>
    </w:p>
    <w:p>
      <w:pPr>
        <w:pStyle w:val="2"/>
        <w:keepNext w:val="0"/>
        <w:keepLines w:val="0"/>
        <w:pageBreakBefore w:val="0"/>
        <w:widowControl w:val="0"/>
        <w:kinsoku/>
        <w:wordWrap/>
        <w:overflowPunct/>
        <w:topLinePunct w:val="0"/>
        <w:autoSpaceDE/>
        <w:autoSpaceDN/>
        <w:bidi w:val="0"/>
        <w:adjustRightInd/>
        <w:snapToGrid/>
        <w:spacing w:line="560" w:lineRule="exact"/>
        <w:ind w:left="1151" w:hanging="1151"/>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深加工项目水土保持方案审批报告书</w:t>
      </w:r>
    </w:p>
    <w:p>
      <w:pPr>
        <w:pStyle w:val="2"/>
        <w:keepNext w:val="0"/>
        <w:keepLines w:val="0"/>
        <w:pageBreakBefore w:val="0"/>
        <w:widowControl w:val="0"/>
        <w:kinsoku/>
        <w:wordWrap/>
        <w:overflowPunct/>
        <w:topLinePunct w:val="0"/>
        <w:autoSpaceDE/>
        <w:autoSpaceDN/>
        <w:bidi w:val="0"/>
        <w:adjustRightInd/>
        <w:snapToGrid/>
        <w:spacing w:line="560" w:lineRule="exact"/>
        <w:ind w:left="1151" w:hanging="1151"/>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准予行政许可决定书</w:t>
      </w:r>
    </w:p>
    <w:p>
      <w:pPr>
        <w:spacing w:line="240" w:lineRule="atLeast"/>
        <w:jc w:val="left"/>
        <w:outlineLvl w:val="0"/>
        <w:rPr>
          <w:rFonts w:hint="eastAsia" w:ascii="仿宋" w:hAnsi="仿宋" w:eastAsia="仿宋" w:cs="仿宋"/>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内蒙古长河亿动石英砂有限公司：</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你单位《关于申请审查内蒙古长河亿动石英砂有限公司石英砂深加工项目的请示》已收悉。经审核，基本同意该水土保持方案，现批复如下：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一、项目建设内容及项目区概况</w:t>
      </w:r>
    </w:p>
    <w:p>
      <w:pPr>
        <w:pStyle w:val="2"/>
        <w:keepNext w:val="0"/>
        <w:keepLines w:val="0"/>
        <w:pageBreakBefore w:val="0"/>
        <w:widowControl w:val="0"/>
        <w:kinsoku/>
        <w:wordWrap/>
        <w:overflowPunct/>
        <w:topLinePunct w:val="0"/>
        <w:autoSpaceDE/>
        <w:autoSpaceDN/>
        <w:bidi w:val="0"/>
        <w:adjustRightInd/>
        <w:snapToGrid/>
        <w:spacing w:line="560" w:lineRule="exact"/>
        <w:ind w:left="1356" w:leftChars="268" w:hanging="793" w:hangingChars="248"/>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内蒙古长河亿动石英砂有限公司石英砂深加工项目位于</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内蒙古鄂尔多斯市达拉特经济开发区-风水梁产业园文明街南、敬业大道北、法制路西、工业路东，地理中心坐标为：东经 110°17′19″；北纬 40°07′02″。2022年6月，达拉特旗发展和改革委员会</w:t>
      </w:r>
      <w:bookmarkStart w:id="1" w:name="_GoBack"/>
      <w:bookmarkEnd w:id="1"/>
      <w:r>
        <w:rPr>
          <w:rFonts w:hint="eastAsia" w:ascii="仿宋_GB2312" w:hAnsi="仿宋_GB2312" w:eastAsia="仿宋_GB2312" w:cs="仿宋_GB2312"/>
          <w:color w:val="000000"/>
          <w:kern w:val="0"/>
          <w:sz w:val="32"/>
          <w:szCs w:val="32"/>
          <w:lang w:val="en-US" w:eastAsia="zh-CN" w:bidi="ar"/>
        </w:rPr>
        <w:t>下发了《内蒙古长河亿动石英砂有限公司石英砂深加工项目备案告知书》（2206-150621-04-01-141050）。</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本项目属新建建设类项目,建设规模为年产高纯石英砂 480 万吨。本项目由厂区组成，厂区包括办公生活区和生产区、厂内道路。本项目总占地面积32.31h㎡，全部为永久占地，占用类型为天然草地；建设期挖填土石方总量22.88万m³，其中挖方11.44万m³，填方11.44万m³，无弃方。工程计划于 2023 年 9 月开工，预计 2024 年 5 月完工，建设总工期为 9 个月。本工程总投资为 24000 万元，其中土建投资 1515.88 万元，全部为自有资金。</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项目区属中温带半干旱大陆性气候区。项目区多年平均气温6.1℃，多年平均降水量310.3mm，最大冻土深162cm,多年平均风速3.2m/s,无霜期135d。项项目所在区域地带性土壤为风沙土。植被类型为沙生植被，植被覆盖度 30%左右。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项目区风力侵蚀模数4500t/k㎡·a，水蚀模数为500t/㎡·a，</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属黄河多沙粗沙国家级水土流失重点治理区。项目区土壤容</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许流失量为1000t/k㎡·a。</w:t>
      </w:r>
    </w:p>
    <w:p>
      <w:pPr>
        <w:pStyle w:val="2"/>
        <w:keepNext w:val="0"/>
        <w:keepLines w:val="0"/>
        <w:pageBreakBefore w:val="0"/>
        <w:widowControl w:val="0"/>
        <w:kinsoku/>
        <w:wordWrap/>
        <w:overflowPunct/>
        <w:topLinePunct w:val="0"/>
        <w:autoSpaceDE/>
        <w:autoSpaceDN/>
        <w:bidi w:val="0"/>
        <w:adjustRightInd/>
        <w:snapToGrid/>
        <w:spacing w:line="560" w:lineRule="exact"/>
        <w:ind w:left="1356" w:leftChars="268" w:hanging="793" w:hangingChars="248"/>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方案设计水平年为</w:t>
      </w:r>
      <w:r>
        <w:rPr>
          <w:rFonts w:hint="default" w:ascii="仿宋_GB2312" w:hAnsi="仿宋_GB2312" w:eastAsia="仿宋_GB2312" w:cs="仿宋_GB2312"/>
          <w:color w:val="000000"/>
          <w:kern w:val="0"/>
          <w:sz w:val="32"/>
          <w:szCs w:val="32"/>
          <w:lang w:val="en-US" w:eastAsia="zh-CN" w:bidi="ar"/>
        </w:rPr>
        <w:t>20</w:t>
      </w:r>
      <w:r>
        <w:rPr>
          <w:rFonts w:hint="eastAsia" w:ascii="仿宋_GB2312" w:hAnsi="仿宋_GB2312" w:eastAsia="仿宋_GB2312" w:cs="仿宋_GB2312"/>
          <w:color w:val="000000"/>
          <w:kern w:val="0"/>
          <w:sz w:val="32"/>
          <w:szCs w:val="32"/>
          <w:lang w:val="en-US" w:eastAsia="zh-CN" w:bidi="ar"/>
        </w:rPr>
        <w:t>24年，届时方案确定的各项水土保</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持措施均应实施完成并初步发挥效应，满足水土保持专项验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收的要求。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二、主体工程水土保持分析与评价</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基本同意对主体工程水土保持制约性因素的分析与评价结论，工程建设基本不存在制约性因素；项目建设区地处生态环境脆弱区，工程建设中应当提高防治标准，优化施工工艺，减少植被扰动和损坏土地范围；基本同意对工程占地、土石方平衡、施工工艺及方法等的分析与评价；基本同意对主体设计中具有水土保持功能工程的界定和评价。</w:t>
      </w:r>
    </w:p>
    <w:p>
      <w:pPr>
        <w:keepNext w:val="0"/>
        <w:keepLines w:val="0"/>
        <w:pageBreakBefore w:val="0"/>
        <w:kinsoku/>
        <w:wordWrap/>
        <w:overflowPunct/>
        <w:topLinePunct w:val="0"/>
        <w:autoSpaceDE/>
        <w:autoSpaceDN/>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三、水土流失防治责任范围</w:t>
      </w:r>
    </w:p>
    <w:p>
      <w:pPr>
        <w:pStyle w:val="5"/>
        <w:keepNext w:val="0"/>
        <w:keepLines w:val="0"/>
        <w:pageBreakBefore w:val="0"/>
        <w:kinsoku/>
        <w:wordWrap/>
        <w:overflowPunct/>
        <w:topLinePunct w:val="0"/>
        <w:autoSpaceDE/>
        <w:autoSpaceDN/>
        <w:bidi w:val="0"/>
        <w:spacing w:line="560" w:lineRule="exact"/>
        <w:ind w:firstLine="55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项目区水土流失防治责任范围为 32.31h㎡。</w:t>
      </w:r>
    </w:p>
    <w:p>
      <w:pPr>
        <w:keepNext w:val="0"/>
        <w:keepLines w:val="0"/>
        <w:pageBreakBefore w:val="0"/>
        <w:kinsoku/>
        <w:wordWrap/>
        <w:overflowPunct/>
        <w:topLinePunct w:val="0"/>
        <w:autoSpaceDE/>
        <w:autoSpaceDN/>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四、水土流失调查</w:t>
      </w:r>
    </w:p>
    <w:p>
      <w:pPr>
        <w:keepNext w:val="0"/>
        <w:keepLines w:val="0"/>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基本同意水土流失防治目标为：水土流失治理度93%、土壤流失控制比0.8、渣土防护率 92%、表土保护率 90%、</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林草植被恢复率 95%、</w:t>
      </w:r>
      <w:r>
        <w:rPr>
          <w:rFonts w:hint="eastAsia" w:ascii="仿宋_GB2312" w:hAnsi="仿宋_GB2312" w:eastAsia="仿宋_GB2312" w:cs="仿宋_GB2312"/>
          <w:color w:val="000000"/>
          <w:kern w:val="0"/>
          <w:sz w:val="32"/>
          <w:szCs w:val="32"/>
          <w:highlight w:val="none"/>
          <w:lang w:val="en-US" w:eastAsia="zh-CN" w:bidi="ar"/>
        </w:rPr>
        <w:t>林草覆盖率6%。</w:t>
      </w:r>
      <w:r>
        <w:rPr>
          <w:rFonts w:hint="eastAsia" w:ascii="仿宋_GB2312" w:hAnsi="仿宋_GB2312" w:eastAsia="仿宋_GB2312" w:cs="仿宋_GB2312"/>
          <w:color w:val="000000"/>
          <w:kern w:val="0"/>
          <w:sz w:val="32"/>
          <w:szCs w:val="32"/>
          <w:lang w:val="en-US" w:eastAsia="zh-CN" w:bidi="ar"/>
        </w:rPr>
        <w:t>调查工程建设扰动损坏地表面积积32.31h㎡，工程施工建设造成的水土流失总量为3427t，其中新增水土流失量为1547t。</w:t>
      </w:r>
    </w:p>
    <w:p>
      <w:pPr>
        <w:keepNext w:val="0"/>
        <w:keepLines w:val="0"/>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仿宋" w:hAnsi="仿宋" w:eastAsia="仿宋" w:cs="仿宋"/>
          <w:b/>
          <w:bCs/>
          <w:sz w:val="32"/>
          <w:szCs w:val="32"/>
        </w:rPr>
      </w:pPr>
      <w:r>
        <w:rPr>
          <w:rFonts w:hint="eastAsia" w:ascii="仿宋" w:hAnsi="仿宋" w:eastAsia="仿宋" w:cs="仿宋"/>
          <w:b/>
          <w:bCs/>
          <w:sz w:val="32"/>
          <w:szCs w:val="32"/>
        </w:rPr>
        <w:t>五、水土流失防治分区及分区防治措施</w:t>
      </w:r>
    </w:p>
    <w:p>
      <w:pPr>
        <w:pStyle w:val="5"/>
        <w:keepNext w:val="0"/>
        <w:keepLines w:val="0"/>
        <w:pageBreakBefore w:val="0"/>
        <w:kinsoku/>
        <w:wordWrap/>
        <w:overflowPunct/>
        <w:topLinePunct w:val="0"/>
        <w:autoSpaceDE/>
        <w:autoSpaceDN/>
        <w:bidi w:val="0"/>
        <w:spacing w:line="560" w:lineRule="exact"/>
        <w:ind w:firstLine="550"/>
        <w:rPr>
          <w:rFonts w:hint="eastAsia" w:ascii="仿宋_GB2312" w:hAnsi="仿宋_GB2312" w:eastAsia="仿宋_GB2312" w:cs="仿宋_GB2312"/>
          <w:color w:val="000000"/>
          <w:kern w:val="0"/>
          <w:sz w:val="32"/>
          <w:szCs w:val="32"/>
          <w:lang w:val="en-US" w:eastAsia="zh-CN" w:bidi="ar"/>
        </w:rPr>
      </w:pPr>
      <w:r>
        <w:rPr>
          <w:rFonts w:hint="eastAsia" w:ascii="仿宋" w:hAnsi="仿宋" w:eastAsia="仿宋" w:cs="仿宋"/>
          <w:sz w:val="32"/>
          <w:szCs w:val="32"/>
        </w:rPr>
        <w:t>同</w:t>
      </w:r>
      <w:r>
        <w:rPr>
          <w:rFonts w:hint="eastAsia" w:ascii="仿宋_GB2312" w:hAnsi="仿宋_GB2312" w:eastAsia="仿宋_GB2312" w:cs="仿宋_GB2312"/>
          <w:color w:val="000000"/>
          <w:kern w:val="0"/>
          <w:sz w:val="32"/>
          <w:szCs w:val="32"/>
          <w:lang w:val="en-US" w:eastAsia="zh-CN" w:bidi="ar"/>
        </w:rPr>
        <w:t>意项目水土流失防治执行西北黄土高原区一级标准。</w:t>
      </w:r>
    </w:p>
    <w:p>
      <w:pPr>
        <w:keepNext w:val="0"/>
        <w:keepLines w:val="0"/>
        <w:pageBreakBefore w:val="0"/>
        <w:widowControl w:val="0"/>
        <w:kinsoku/>
        <w:wordWrap/>
        <w:overflowPunct/>
        <w:topLinePunct w:val="0"/>
        <w:autoSpaceDE/>
        <w:autoSpaceDN/>
        <w:bidi w:val="0"/>
        <w:adjustRightInd/>
        <w:snapToGrid/>
        <w:spacing w:after="0" w:line="336" w:lineRule="auto"/>
        <w:ind w:left="0" w:leftChars="0" w:firstLine="640" w:firstLineChars="200"/>
        <w:jc w:val="both"/>
        <w:textAlignment w:val="auto"/>
        <w:rPr>
          <w:rFonts w:hint="eastAsia"/>
          <w:lang w:val="en-US" w:eastAsia="zh-CN"/>
        </w:rPr>
      </w:pPr>
      <w:r>
        <w:rPr>
          <w:rFonts w:hint="eastAsia" w:ascii="仿宋_GB2312" w:hAnsi="仿宋_GB2312" w:eastAsia="仿宋_GB2312" w:cs="仿宋_GB2312"/>
          <w:color w:val="000000"/>
          <w:kern w:val="0"/>
          <w:sz w:val="32"/>
          <w:szCs w:val="32"/>
          <w:lang w:val="en-US" w:eastAsia="zh-CN" w:bidi="ar"/>
        </w:rPr>
        <w:t>基本同意项目防治分区划分为厂区一个防治区，</w:t>
      </w:r>
      <w:r>
        <w:rPr>
          <w:rFonts w:hint="default" w:ascii="Times New Roman" w:hAnsi="Times New Roman" w:eastAsia="仿宋" w:cs="Times New Roman"/>
          <w:color w:val="000000"/>
          <w:sz w:val="30"/>
          <w:szCs w:val="30"/>
          <w:lang w:val="zh-CN" w:eastAsia="zh-CN"/>
        </w:rPr>
        <w:t>厂区</w:t>
      </w:r>
      <w:r>
        <w:rPr>
          <w:rFonts w:hint="default" w:ascii="Times New Roman" w:hAnsi="Times New Roman" w:eastAsia="仿宋" w:cs="Times New Roman"/>
          <w:color w:val="000000"/>
          <w:sz w:val="30"/>
          <w:szCs w:val="30"/>
          <w:lang w:val="en-US" w:eastAsia="zh-CN"/>
        </w:rPr>
        <w:t>包括</w:t>
      </w:r>
      <w:r>
        <w:rPr>
          <w:rFonts w:hint="eastAsia" w:ascii="Times New Roman" w:hAnsi="Times New Roman" w:eastAsia="仿宋" w:cs="Times New Roman"/>
          <w:color w:val="000000"/>
          <w:sz w:val="30"/>
          <w:szCs w:val="30"/>
          <w:lang w:val="en-US" w:eastAsia="zh-CN"/>
        </w:rPr>
        <w:t>办公</w:t>
      </w:r>
      <w:r>
        <w:rPr>
          <w:rFonts w:hint="default" w:ascii="Times New Roman" w:hAnsi="Times New Roman" w:eastAsia="仿宋" w:cs="Times New Roman"/>
          <w:color w:val="000000"/>
          <w:sz w:val="30"/>
          <w:szCs w:val="30"/>
          <w:lang w:val="en-US" w:eastAsia="zh-CN"/>
        </w:rPr>
        <w:t>生活区和生产区</w:t>
      </w:r>
      <w:r>
        <w:rPr>
          <w:rFonts w:hint="eastAsia" w:ascii="Times New Roman" w:hAnsi="Times New Roman" w:eastAsia="仿宋" w:cs="Times New Roman"/>
          <w:color w:val="000000"/>
          <w:sz w:val="30"/>
          <w:szCs w:val="30"/>
          <w:lang w:val="en-US" w:eastAsia="zh-CN"/>
        </w:rPr>
        <w:t>、厂内道路</w:t>
      </w:r>
      <w:r>
        <w:rPr>
          <w:rFonts w:hint="default" w:ascii="Times New Roman" w:hAnsi="Times New Roman" w:eastAsia="仿宋" w:cs="Times New Roman"/>
          <w:color w:val="000000"/>
          <w:sz w:val="30"/>
          <w:szCs w:val="30"/>
          <w:lang w:eastAsia="zh-CN"/>
        </w:rPr>
        <w:t>。</w:t>
      </w:r>
      <w:r>
        <w:rPr>
          <w:rFonts w:hint="eastAsia" w:ascii="仿宋_GB2312" w:hAnsi="仿宋_GB2312" w:eastAsia="仿宋_GB2312" w:cs="仿宋_GB2312"/>
          <w:color w:val="000000"/>
          <w:kern w:val="0"/>
          <w:sz w:val="32"/>
          <w:szCs w:val="32"/>
          <w:lang w:val="en-US" w:eastAsia="zh-CN" w:bidi="ar"/>
        </w:rPr>
        <w:t>方案水土流失防治措施体系为工程措施、植物措施和临时措施组成。</w:t>
      </w:r>
      <w:r>
        <w:rPr>
          <w:rFonts w:hint="eastAsia" w:ascii="仿宋_GB2312" w:hAnsi="仿宋_GB2312" w:eastAsia="仿宋_GB2312" w:cs="仿宋_GB2312"/>
          <w:b/>
          <w:bCs/>
          <w:color w:val="000000"/>
          <w:kern w:val="0"/>
          <w:sz w:val="32"/>
          <w:szCs w:val="32"/>
          <w:lang w:val="en-US" w:eastAsia="zh-CN" w:bidi="ar"/>
        </w:rPr>
        <w:t>办公生活区</w:t>
      </w:r>
      <w:r>
        <w:rPr>
          <w:rFonts w:hint="eastAsia" w:ascii="仿宋_GB2312" w:hAnsi="仿宋_GB2312" w:eastAsia="仿宋_GB2312" w:cs="仿宋_GB2312"/>
          <w:color w:val="000000"/>
          <w:kern w:val="0"/>
          <w:sz w:val="32"/>
          <w:szCs w:val="32"/>
          <w:lang w:val="en-US" w:eastAsia="zh-CN" w:bidi="ar"/>
        </w:rPr>
        <w:t>，工程措施：①剥离表土0.12万m³；②土地整治0.08h㎡；③铺设透水砖0.08h㎡，需砖4000块。植物措施：围墙边绿化0.01h㎡，栽植樟子松17株。临时措施：①表土及建构筑物 基础开挖回填土 0.36万m³、②表土密目网苫盖1440㎡；</w:t>
      </w:r>
      <w:r>
        <w:rPr>
          <w:rFonts w:hint="default" w:ascii="仿宋_GB2312" w:hAnsi="仿宋_GB2312" w:eastAsia="仿宋_GB2312" w:cs="仿宋_GB2312"/>
          <w:color w:val="000000"/>
          <w:kern w:val="0"/>
          <w:sz w:val="32"/>
          <w:szCs w:val="32"/>
          <w:lang w:val="en-US" w:eastAsia="zh-CN" w:bidi="ar"/>
        </w:rPr>
        <w:t>③</w:t>
      </w:r>
      <w:r>
        <w:rPr>
          <w:rFonts w:hint="eastAsia" w:ascii="仿宋_GB2312" w:hAnsi="仿宋_GB2312" w:eastAsia="仿宋_GB2312" w:cs="仿宋_GB2312"/>
          <w:color w:val="000000"/>
          <w:kern w:val="0"/>
          <w:sz w:val="32"/>
          <w:szCs w:val="32"/>
          <w:lang w:val="en-US" w:eastAsia="zh-CN" w:bidi="ar"/>
        </w:rPr>
        <w:t>建构筑物基础开挖回填土密目网苫盖2880㎡。</w:t>
      </w:r>
      <w:r>
        <w:rPr>
          <w:rFonts w:hint="eastAsia" w:ascii="仿宋_GB2312" w:hAnsi="仿宋_GB2312" w:eastAsia="仿宋_GB2312" w:cs="仿宋_GB2312"/>
          <w:b/>
          <w:bCs/>
          <w:color w:val="000000"/>
          <w:kern w:val="0"/>
          <w:sz w:val="32"/>
          <w:szCs w:val="32"/>
          <w:lang w:val="en-US" w:eastAsia="zh-CN" w:bidi="ar"/>
        </w:rPr>
        <w:t>生产区，</w:t>
      </w:r>
      <w:r>
        <w:rPr>
          <w:rFonts w:hint="eastAsia" w:ascii="仿宋_GB2312" w:hAnsi="仿宋_GB2312" w:eastAsia="仿宋_GB2312" w:cs="仿宋_GB2312"/>
          <w:color w:val="000000"/>
          <w:kern w:val="0"/>
          <w:sz w:val="32"/>
          <w:szCs w:val="32"/>
          <w:lang w:val="en-US" w:eastAsia="zh-CN" w:bidi="ar"/>
        </w:rPr>
        <w:t>工程措施：①剥离表土1.40万m³。临时措施：表土及建构筑物基础开挖回填土3.97 万 m³、密目网苫盖 20160㎡。（①表土密目网苫盖4800㎡；②建构筑物基础开挖回填土密目网苫盖15360㎡。）</w:t>
      </w:r>
      <w:r>
        <w:rPr>
          <w:rFonts w:hint="eastAsia" w:ascii="仿宋_GB2312" w:hAnsi="仿宋_GB2312" w:eastAsia="仿宋_GB2312" w:cs="仿宋_GB2312"/>
          <w:b/>
          <w:bCs/>
          <w:color w:val="000000"/>
          <w:kern w:val="0"/>
          <w:sz w:val="32"/>
          <w:szCs w:val="32"/>
          <w:lang w:val="en-US" w:eastAsia="zh-CN" w:bidi="ar"/>
        </w:rPr>
        <w:t>厂内道路，</w:t>
      </w:r>
      <w:r>
        <w:rPr>
          <w:rFonts w:hint="eastAsia" w:ascii="仿宋_GB2312" w:hAnsi="仿宋_GB2312" w:eastAsia="仿宋_GB2312" w:cs="仿宋_GB2312"/>
          <w:color w:val="000000"/>
          <w:kern w:val="0"/>
          <w:sz w:val="32"/>
          <w:szCs w:val="32"/>
          <w:lang w:val="en-US" w:eastAsia="zh-CN" w:bidi="ar"/>
        </w:rPr>
        <w:t>工程措施：①表土回覆1.52万m³；②土地整治1.94h㎡；③雨水排水暗管4340m。植物措施：道路两侧绿化1.94h㎡，其中栽植樟子松1448株、丁香7235株。</w:t>
      </w:r>
    </w:p>
    <w:p>
      <w:pPr>
        <w:keepNext w:val="0"/>
        <w:keepLines w:val="0"/>
        <w:pageBreakBefore w:val="0"/>
        <w:kinsoku/>
        <w:wordWrap/>
        <w:overflowPunct/>
        <w:topLinePunct w:val="0"/>
        <w:autoSpaceDE/>
        <w:autoSpaceDN/>
        <w:bidi w:val="0"/>
        <w:snapToGrid w:val="0"/>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六、水土保持投资</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同意水土保持投资估算编制的原则、依据和方法。项目水土保持工程估算总投资 378.09 万元，其中工程措施投资175.45万元，植物措施投资61.28万元，临时措施投资19.03万元，独立费用49.11万元（其中：水土保持工程监理费 10.00 万元，水土保持工程监测费 10.05 万元），基本预备费 18.29 万元，水土保持补偿费 54.927 万元。</w:t>
      </w:r>
    </w:p>
    <w:p>
      <w:pPr>
        <w:keepNext w:val="0"/>
        <w:keepLines w:val="0"/>
        <w:pageBreakBefore w:val="0"/>
        <w:kinsoku/>
        <w:wordWrap/>
        <w:overflowPunct/>
        <w:topLinePunct w:val="0"/>
        <w:autoSpaceDE/>
        <w:autoSpaceDN/>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七、建设单位在工程建设中应重点做好以下工作</w:t>
      </w:r>
    </w:p>
    <w:p>
      <w:pPr>
        <w:keepNext w:val="0"/>
        <w:keepLines w:val="0"/>
        <w:pageBreakBefore w:val="0"/>
        <w:widowControl/>
        <w:suppressLineNumbers w:val="0"/>
        <w:kinsoku/>
        <w:wordWrap/>
        <w:overflowPunct/>
        <w:topLinePunct w:val="0"/>
        <w:autoSpaceDE/>
        <w:autoSpaceDN/>
        <w:bidi w:val="0"/>
        <w:spacing w:line="560" w:lineRule="exact"/>
        <w:ind w:firstLine="620" w:firstLineChars="200"/>
        <w:jc w:val="left"/>
        <w:rPr>
          <w:rFonts w:hint="eastAsia" w:ascii="仿宋_GB2312" w:hAnsi="仿宋_GB2312" w:eastAsia="仿宋_GB2312" w:cs="仿宋_GB2312"/>
          <w:color w:val="000000"/>
          <w:kern w:val="0"/>
          <w:sz w:val="32"/>
          <w:szCs w:val="32"/>
          <w:lang w:val="en-US" w:eastAsia="zh-CN" w:bidi="ar"/>
        </w:rPr>
      </w:pPr>
      <w:r>
        <w:rPr>
          <w:rFonts w:ascii="仿宋" w:hAnsi="仿宋" w:eastAsia="仿宋" w:cs="仿宋"/>
          <w:color w:val="000000"/>
          <w:kern w:val="0"/>
          <w:sz w:val="31"/>
          <w:szCs w:val="31"/>
          <w:lang w:val="en-US" w:eastAsia="zh-CN" w:bidi="ar"/>
        </w:rPr>
        <w:t>（</w:t>
      </w:r>
      <w:r>
        <w:rPr>
          <w:rFonts w:hint="eastAsia" w:ascii="仿宋_GB2312" w:hAnsi="仿宋_GB2312" w:eastAsia="仿宋_GB2312" w:cs="仿宋_GB2312"/>
          <w:color w:val="000000"/>
          <w:kern w:val="0"/>
          <w:sz w:val="32"/>
          <w:szCs w:val="32"/>
          <w:lang w:val="en-US" w:eastAsia="zh-CN" w:bidi="ar"/>
        </w:rPr>
        <w:t xml:space="preserve">一）生产建设单位在项目建设中应全面落实《中华人民共和国水土保持法》的各项要求，按照批准的水土保持方案， 做好水土保持措施后续设计，加强施工组织管理工作，切实落实水土保持“三同时”制度。认真实施各项水土保持措施，尽快补交水土保持补偿费，在各项水土保持措施完成后，及时组织水土保持方案专项自主验收，并按水利部相关文件要求到我局报备。 </w:t>
      </w:r>
    </w:p>
    <w:p>
      <w:pPr>
        <w:keepNext w:val="0"/>
        <w:keepLines w:val="0"/>
        <w:pageBreakBefore w:val="0"/>
        <w:widowControl/>
        <w:suppressLineNumbers w:val="0"/>
        <w:kinsoku/>
        <w:wordWrap/>
        <w:overflowPunct/>
        <w:topLinePunct w:val="0"/>
        <w:autoSpaceDE/>
        <w:autoSpaceDN/>
        <w:bidi w:val="0"/>
        <w:spacing w:line="560" w:lineRule="exact"/>
        <w:ind w:firstLine="62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 w:hAnsi="仿宋" w:eastAsia="仿宋" w:cs="仿宋"/>
          <w:color w:val="000000"/>
          <w:kern w:val="0"/>
          <w:sz w:val="31"/>
          <w:szCs w:val="31"/>
          <w:lang w:val="en-US" w:eastAsia="zh-CN" w:bidi="ar"/>
        </w:rPr>
        <w:t xml:space="preserve">（二）本工程建设中各类施工活动严格限定在用地范围内，禁止随意占压、扰动和破坏地表。 </w:t>
      </w:r>
    </w:p>
    <w:p>
      <w:pPr>
        <w:keepNext w:val="0"/>
        <w:keepLines w:val="0"/>
        <w:pageBreakBefore w:val="0"/>
        <w:widowControl/>
        <w:suppressLineNumbers w:val="0"/>
        <w:kinsoku/>
        <w:wordWrap/>
        <w:overflowPunct/>
        <w:topLinePunct w:val="0"/>
        <w:autoSpaceDE/>
        <w:autoSpaceDN/>
        <w:bidi w:val="0"/>
        <w:spacing w:line="560" w:lineRule="exact"/>
        <w:ind w:firstLine="62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 w:hAnsi="仿宋" w:eastAsia="仿宋" w:cs="仿宋"/>
          <w:color w:val="000000"/>
          <w:kern w:val="0"/>
          <w:sz w:val="31"/>
          <w:szCs w:val="31"/>
          <w:lang w:val="en-US" w:eastAsia="zh-CN" w:bidi="ar"/>
        </w:rPr>
        <w:t>（三）本</w:t>
      </w:r>
      <w:r>
        <w:rPr>
          <w:rFonts w:hint="eastAsia" w:ascii="仿宋_GB2312" w:hAnsi="仿宋_GB2312" w:eastAsia="仿宋_GB2312" w:cs="仿宋_GB2312"/>
          <w:color w:val="000000"/>
          <w:kern w:val="0"/>
          <w:sz w:val="32"/>
          <w:szCs w:val="32"/>
          <w:lang w:val="en-US" w:eastAsia="zh-CN" w:bidi="ar"/>
        </w:rPr>
        <w:t>项目的规模如发生重大变化，或者水土保持方案实施过程中水土保持措施发生重大变更，应补充或者修改水土保持方案，报我局审批。在生产过程中如需新设弃渣场，应在弃渣前编制水土保持方案，报我局审批。</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highlight w:val="none"/>
        </w:rPr>
      </w:pPr>
      <w:r>
        <w:rPr>
          <w:rFonts w:hint="eastAsia" w:ascii="仿宋_GB2312" w:hAnsi="仿宋_GB2312" w:eastAsia="仿宋_GB2312" w:cs="仿宋_GB2312"/>
          <w:color w:val="000000"/>
          <w:kern w:val="0"/>
          <w:sz w:val="32"/>
          <w:szCs w:val="32"/>
          <w:highlight w:val="none"/>
          <w:lang w:val="en-US" w:eastAsia="zh-CN" w:bidi="ar"/>
        </w:rPr>
        <w:t>（四）水土保持方案自批准之日起满 3 年，生产建设项目方开工建设的，其水土保持方案应当报原审批部门重新审核。</w:t>
      </w:r>
    </w:p>
    <w:p>
      <w:pPr>
        <w:keepNext w:val="0"/>
        <w:keepLines w:val="0"/>
        <w:pageBreakBefore w:val="0"/>
        <w:widowControl/>
        <w:suppressLineNumbers w:val="0"/>
        <w:kinsoku/>
        <w:wordWrap/>
        <w:overflowPunct/>
        <w:topLinePunct w:val="0"/>
        <w:autoSpaceDE/>
        <w:autoSpaceDN/>
        <w:bidi w:val="0"/>
        <w:spacing w:line="560" w:lineRule="exact"/>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（五）</w:t>
      </w:r>
      <w:r>
        <w:rPr>
          <w:rFonts w:hint="eastAsia" w:ascii="仿宋_GB2312" w:hAnsi="仿宋_GB2312" w:eastAsia="仿宋_GB2312" w:cs="仿宋_GB2312"/>
          <w:color w:val="000000"/>
          <w:kern w:val="0"/>
          <w:sz w:val="32"/>
          <w:szCs w:val="32"/>
          <w:lang w:val="en-US" w:eastAsia="zh-CN" w:bidi="ar"/>
        </w:rPr>
        <w:t>本项目水土保持设施未经验收或验收不合格的，生产建设项目不得继续生产。</w:t>
      </w:r>
      <w:r>
        <w:rPr>
          <w:rFonts w:hint="eastAsia" w:ascii="仿宋" w:hAnsi="仿宋" w:eastAsia="仿宋" w:cs="仿宋"/>
          <w:color w:val="000000"/>
          <w:kern w:val="0"/>
          <w:sz w:val="31"/>
          <w:szCs w:val="31"/>
          <w:lang w:val="en-US" w:eastAsia="zh-CN" w:bidi="ar"/>
        </w:rPr>
        <w:t xml:space="preserve"> </w:t>
      </w:r>
    </w:p>
    <w:p>
      <w:pPr>
        <w:rPr>
          <w:rFonts w:hint="eastAsia"/>
          <w:lang w:val="en-US" w:eastAsia="zh-CN"/>
        </w:rPr>
      </w:pPr>
    </w:p>
    <w:p>
      <w:pPr>
        <w:pStyle w:val="22"/>
        <w:rPr>
          <w:rFonts w:hint="eastAsia"/>
          <w:lang w:val="en-US" w:eastAsia="zh-CN"/>
        </w:rPr>
      </w:pPr>
    </w:p>
    <w:p>
      <w:pPr>
        <w:keepNext w:val="0"/>
        <w:keepLines w:val="0"/>
        <w:widowControl/>
        <w:suppressLineNumbers w:val="0"/>
        <w:ind w:firstLine="4960" w:firstLineChars="16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达拉特旗水利局</w:t>
      </w:r>
    </w:p>
    <w:p>
      <w:pPr>
        <w:keepNext w:val="0"/>
        <w:keepLines w:val="0"/>
        <w:widowControl/>
        <w:suppressLineNumbers w:val="0"/>
        <w:ind w:firstLine="4960" w:firstLineChars="16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2023年3月20日</w:t>
      </w:r>
    </w:p>
    <w:p>
      <w:pPr>
        <w:pStyle w:val="2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w:t>
      </w: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spacing w:line="600" w:lineRule="exact"/>
        <w:rPr>
          <w:rFonts w:hint="default" w:ascii="仿宋_GB2312" w:eastAsia="仿宋_GB2312"/>
          <w:color w:val="auto"/>
          <w:sz w:val="28"/>
          <w:szCs w:val="28"/>
          <w:lang w:val="en-US"/>
        </w:rPr>
      </w:pPr>
      <w:r>
        <w:rPr>
          <w:sz w:val="28"/>
        </w:rPr>
        <w:pict>
          <v:line id="_x0000_s1039" o:spid="_x0000_s1039" o:spt="20" style="position:absolute;left:0pt;margin-left:3.95pt;margin-top:6.5pt;height:0.05pt;width:406.7pt;z-index:251661312;mso-width-relative:page;mso-height-relative:page;" fillcolor="#FFFFFF" filled="t" stroked="t" coordsize="21600,21600">
            <v:path arrowok="t"/>
            <v:fill on="t" focussize="0,0"/>
            <v:stroke weight="0.25pt"/>
            <v:imagedata o:title=""/>
            <o:lock v:ext="edit" aspectratio="f"/>
          </v:line>
        </w:pict>
      </w:r>
      <w:r>
        <w:rPr>
          <w:rFonts w:hint="eastAsia" w:ascii="仿宋_GB2312" w:hAnsi="华文仿宋" w:eastAsia="仿宋_GB2312"/>
          <w:color w:val="auto"/>
          <w:sz w:val="28"/>
          <w:szCs w:val="28"/>
        </w:rPr>
        <w:pict>
          <v:line id="Line 3" o:spid="_x0000_s1040" o:spt="20" style="position:absolute;left:0pt;margin-left:-0.75pt;margin-top:29.05pt;height:0.05pt;width:411.6pt;z-index:251662336;mso-width-relative:page;mso-height-relative:page;" filled="f" stroked="t" coordsize="21600,21600" o:gfxdata="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yLO99YAAAAGAQAADwAAAAAAAAABACAAAAAiAAAAZHJzL2Rvd25yZXYueG1s&#10;UEsBAhQAFAAAAAgAh07iQHIKLOTBAQAAjgMAAA4AAAAAAAAAAQAgAAAAJQEAAGRycy9lMm9Eb2Mu&#10;eG1sUEsFBgAAAAAGAAYAWQEAAFgFAAAAAA==&#10;">
            <v:path arrowok="t"/>
            <v:fill on="f" focussize="0,0"/>
            <v:stroke weight="1pt" joinstyle="round"/>
            <v:imagedata o:title=""/>
            <o:lock v:ext="edit" aspectratio="f"/>
          </v:line>
        </w:pict>
      </w:r>
      <w:r>
        <w:rPr>
          <w:rFonts w:hint="eastAsia" w:ascii="仿宋_GB2312" w:eastAsia="仿宋_GB2312"/>
          <w:color w:val="auto"/>
          <w:sz w:val="28"/>
          <w:szCs w:val="28"/>
          <w:lang w:val="en-US" w:eastAsia="zh-CN"/>
        </w:rPr>
        <w:t xml:space="preserve">  抄送：达拉特旗农牧业综合行政执法大队</w:t>
      </w:r>
    </w:p>
    <w:p>
      <w:pPr>
        <w:snapToGrid w:val="0"/>
        <w:spacing w:line="360" w:lineRule="auto"/>
        <w:ind w:right="210" w:rightChars="100" w:firstLine="280" w:firstLineChars="100"/>
        <w:rPr>
          <w:rFonts w:hint="eastAsia"/>
        </w:rPr>
        <w:sectPr>
          <w:footerReference r:id="rId3" w:type="default"/>
          <w:pgSz w:w="11906" w:h="16838"/>
          <w:pgMar w:top="1440" w:right="1797" w:bottom="1644" w:left="1797" w:header="851" w:footer="992" w:gutter="0"/>
          <w:pgNumType w:fmt="numberInDash"/>
          <w:cols w:space="425" w:num="1"/>
          <w:docGrid w:type="lines" w:linePitch="312" w:charSpace="0"/>
        </w:sectPr>
      </w:pPr>
      <w:r>
        <w:rPr>
          <w:rFonts w:hint="eastAsia" w:ascii="仿宋_GB2312" w:hAnsi="华文仿宋" w:eastAsia="仿宋_GB2312"/>
          <w:color w:val="auto"/>
          <w:sz w:val="28"/>
          <w:szCs w:val="28"/>
        </w:rPr>
        <w:pict>
          <v:line id="Line 4" o:spid="_x0000_s1041" o:spt="20" style="position:absolute;left:0pt;margin-left:0pt;margin-top:23pt;height:0.05pt;width:412.95pt;z-index:251660288;mso-width-relative:page;mso-height-relative:page;" filled="f" stroked="t" coordsize="21600,21600" o:gfxdata="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lp1G1gAAAAYBAAAPAAAAAAAAAAEAIAAAACIAAABkcnMvZG93bnJldi54&#10;bWxQSwECFAAUAAAACACHTuJAIV+HEsMBAACOAwAADgAAAAAAAAABACAAAAAlAQAAZHJzL2Uyb0Rv&#10;Yy54bWxQSwUGAAAAAAYABgBZAQAAWgUAAAAA&#10;">
            <v:path arrowok="t"/>
            <v:fill on="f" focussize="0,0"/>
            <v:stroke weight="1pt" joinstyle="round"/>
            <v:imagedata o:title=""/>
            <o:lock v:ext="edit" aspectratio="f"/>
          </v:line>
        </w:pict>
      </w:r>
      <w:r>
        <w:rPr>
          <w:rFonts w:hint="eastAsia" w:ascii="仿宋_GB2312" w:hAnsi="华文仿宋" w:eastAsia="仿宋_GB2312"/>
          <w:color w:val="auto"/>
          <w:sz w:val="28"/>
          <w:szCs w:val="28"/>
        </w:rPr>
        <w:t>达拉特旗</w:t>
      </w:r>
      <w:r>
        <w:rPr>
          <w:rFonts w:hint="eastAsia" w:ascii="仿宋_GB2312" w:hAnsi="华文仿宋" w:eastAsia="仿宋_GB2312"/>
          <w:color w:val="auto"/>
          <w:sz w:val="28"/>
          <w:szCs w:val="28"/>
          <w:lang w:eastAsia="zh-CN"/>
        </w:rPr>
        <w:t>水利局</w:t>
      </w:r>
      <w:r>
        <w:rPr>
          <w:rFonts w:hint="eastAsia" w:ascii="仿宋_GB2312" w:hAnsi="华文仿宋" w:eastAsia="仿宋_GB2312"/>
          <w:color w:val="auto"/>
          <w:sz w:val="28"/>
          <w:szCs w:val="28"/>
          <w:lang w:val="en-US" w:eastAsia="zh-CN"/>
        </w:rPr>
        <w:t>审批</w:t>
      </w:r>
      <w:r>
        <w:rPr>
          <w:rFonts w:hint="eastAsia" w:ascii="仿宋_GB2312" w:hAnsi="华文仿宋" w:eastAsia="仿宋_GB2312"/>
          <w:color w:val="auto"/>
          <w:sz w:val="28"/>
          <w:szCs w:val="28"/>
        </w:rPr>
        <w:t xml:space="preserve">室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FF0000"/>
          <w:sz w:val="28"/>
          <w:szCs w:val="28"/>
        </w:rPr>
        <w:t xml:space="preserve"> </w:t>
      </w:r>
      <w:r>
        <w:rPr>
          <w:rFonts w:hint="eastAsia" w:ascii="仿宋_GB2312" w:hAnsi="华文仿宋" w:eastAsia="仿宋_GB2312"/>
          <w:color w:val="auto"/>
          <w:sz w:val="28"/>
          <w:szCs w:val="28"/>
        </w:rPr>
        <w:t>20</w:t>
      </w:r>
      <w:r>
        <w:rPr>
          <w:rFonts w:hint="eastAsia" w:ascii="仿宋_GB2312" w:hAnsi="华文仿宋" w:eastAsia="仿宋_GB2312"/>
          <w:color w:val="auto"/>
          <w:sz w:val="28"/>
          <w:szCs w:val="28"/>
          <w:lang w:val="en-US" w:eastAsia="zh-CN"/>
        </w:rPr>
        <w:t>23年 3</w:t>
      </w:r>
      <w:r>
        <w:rPr>
          <w:rFonts w:hint="eastAsia" w:ascii="仿宋_GB2312" w:hAnsi="华文仿宋" w:eastAsia="仿宋_GB2312"/>
          <w:color w:val="auto"/>
          <w:sz w:val="28"/>
          <w:szCs w:val="28"/>
        </w:rPr>
        <w:t>月</w:t>
      </w:r>
      <w:r>
        <w:rPr>
          <w:rFonts w:hint="eastAsia" w:ascii="仿宋_GB2312" w:hAnsi="华文仿宋" w:eastAsia="仿宋_GB2312"/>
          <w:color w:val="auto"/>
          <w:sz w:val="28"/>
          <w:szCs w:val="28"/>
          <w:lang w:val="en-US" w:eastAsia="zh-CN"/>
        </w:rPr>
        <w:t>20</w:t>
      </w:r>
      <w:r>
        <w:rPr>
          <w:rFonts w:hint="eastAsia" w:ascii="仿宋_GB2312" w:hAnsi="华文仿宋" w:eastAsia="仿宋_GB2312"/>
          <w:color w:val="auto"/>
          <w:sz w:val="28"/>
          <w:szCs w:val="28"/>
        </w:rPr>
        <w:t>日印</w:t>
      </w:r>
      <w:r>
        <w:rPr>
          <w:rFonts w:hint="eastAsia" w:ascii="仿宋_GB2312" w:hAnsi="华文仿宋" w:eastAsia="仿宋_GB2312"/>
          <w:color w:val="auto"/>
          <w:sz w:val="28"/>
          <w:szCs w:val="28"/>
          <w:lang w:eastAsia="zh-CN"/>
        </w:rPr>
        <w:t>发</w:t>
      </w:r>
    </w:p>
    <w:p>
      <w:pPr>
        <w:snapToGrid w:val="0"/>
        <w:spacing w:line="360" w:lineRule="auto"/>
        <w:ind w:right="210" w:rightChars="100"/>
        <w:rPr>
          <w:color w:val="auto"/>
        </w:rPr>
      </w:pPr>
    </w:p>
    <w:sectPr>
      <w:footerReference r:id="rId4" w:type="default"/>
      <w:pgSz w:w="11906" w:h="16838"/>
      <w:pgMar w:top="1440" w:right="1797" w:bottom="164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1">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exact"/>
      <w:rPr>
        <w:rFonts w:ascii="Times New Roman" w:hAnsi="Times New Roman" w:eastAsia="Times New Roman" w:cs="Times New Roman"/>
        <w:sz w:val="24"/>
        <w:szCs w:val="24"/>
      </w:rPr>
    </w:pPr>
    <w:r>
      <w:rPr>
        <w:sz w:val="24"/>
      </w:rPr>
      <w:pict>
        <v:shape id="_x0000_s2049" o:spid="_x0000_s2049" o:spt="202" type="#_x0000_t202" style="position:absolute;left:0pt;margin-top:0pt;height:149.45pt;width:38.55pt;mso-position-horizontal:outside;mso-position-horizontal-relative:margin;z-index:251659264;mso-width-relative:page;mso-height-relative:page;" filled="f" stroked="f" coordsize="21600,21600">
          <v:path/>
          <v:fill on="f" focussize="0,0"/>
          <v:stroke on="f"/>
          <v:imagedata o:title=""/>
          <o:lock v:ext="edit" aspectratio="f"/>
          <v:textbox inset="0mm,0mm,0mm,0mm">
            <w:txbxContent>
              <w:p>
                <w:pPr>
                  <w:pStyle w:val="1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exact"/>
      <w:rPr>
        <w:rFonts w:ascii="Times New Roman" w:hAnsi="Times New Roman" w:eastAsia="Times New Roman" w:cs="Times New Roman"/>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QxNzk2NGIzYmY1NTUxMzkyODJmNDYwYzUzN2JkOTQifQ=="/>
    <w:docVar w:name="KSO_WPS_MARK_KEY" w:val="bb968390-a863-4877-8806-582e0f05ae4c"/>
  </w:docVars>
  <w:rsids>
    <w:rsidRoot w:val="00416D77"/>
    <w:rsid w:val="00021DD2"/>
    <w:rsid w:val="00027D95"/>
    <w:rsid w:val="00034474"/>
    <w:rsid w:val="00044147"/>
    <w:rsid w:val="00066CCC"/>
    <w:rsid w:val="00082D2C"/>
    <w:rsid w:val="000F0B88"/>
    <w:rsid w:val="000F2572"/>
    <w:rsid w:val="000F526F"/>
    <w:rsid w:val="00102E40"/>
    <w:rsid w:val="00176728"/>
    <w:rsid w:val="001836E9"/>
    <w:rsid w:val="0019073E"/>
    <w:rsid w:val="00196A15"/>
    <w:rsid w:val="00204A79"/>
    <w:rsid w:val="0022354D"/>
    <w:rsid w:val="00244B82"/>
    <w:rsid w:val="002456DF"/>
    <w:rsid w:val="00274881"/>
    <w:rsid w:val="00280014"/>
    <w:rsid w:val="002802E3"/>
    <w:rsid w:val="002852D3"/>
    <w:rsid w:val="00314222"/>
    <w:rsid w:val="00342E2E"/>
    <w:rsid w:val="00357EAD"/>
    <w:rsid w:val="00383326"/>
    <w:rsid w:val="00384103"/>
    <w:rsid w:val="00384C72"/>
    <w:rsid w:val="0039495A"/>
    <w:rsid w:val="003A6BD9"/>
    <w:rsid w:val="003F4FE5"/>
    <w:rsid w:val="00400146"/>
    <w:rsid w:val="004040C8"/>
    <w:rsid w:val="00416D77"/>
    <w:rsid w:val="00431FB0"/>
    <w:rsid w:val="004658AF"/>
    <w:rsid w:val="00471585"/>
    <w:rsid w:val="004B5FEA"/>
    <w:rsid w:val="004C7E53"/>
    <w:rsid w:val="00500F0D"/>
    <w:rsid w:val="0050572E"/>
    <w:rsid w:val="00513689"/>
    <w:rsid w:val="00527418"/>
    <w:rsid w:val="00547B8F"/>
    <w:rsid w:val="00556F45"/>
    <w:rsid w:val="00571DA4"/>
    <w:rsid w:val="005726DC"/>
    <w:rsid w:val="00593D2B"/>
    <w:rsid w:val="005C7A32"/>
    <w:rsid w:val="005E7A0B"/>
    <w:rsid w:val="005F75E1"/>
    <w:rsid w:val="006103C5"/>
    <w:rsid w:val="006834B1"/>
    <w:rsid w:val="00686121"/>
    <w:rsid w:val="00687FA7"/>
    <w:rsid w:val="0069419A"/>
    <w:rsid w:val="0069727E"/>
    <w:rsid w:val="006B0A1C"/>
    <w:rsid w:val="006F2A3A"/>
    <w:rsid w:val="006F54D4"/>
    <w:rsid w:val="00720A5E"/>
    <w:rsid w:val="00756871"/>
    <w:rsid w:val="007A15E6"/>
    <w:rsid w:val="007A518B"/>
    <w:rsid w:val="007D1472"/>
    <w:rsid w:val="007D3BB3"/>
    <w:rsid w:val="007F016E"/>
    <w:rsid w:val="007F54D2"/>
    <w:rsid w:val="007F7876"/>
    <w:rsid w:val="0082184F"/>
    <w:rsid w:val="008316BC"/>
    <w:rsid w:val="008839C9"/>
    <w:rsid w:val="008A267D"/>
    <w:rsid w:val="008D2825"/>
    <w:rsid w:val="008E500E"/>
    <w:rsid w:val="008F13B6"/>
    <w:rsid w:val="008F7BBE"/>
    <w:rsid w:val="00900356"/>
    <w:rsid w:val="009406C7"/>
    <w:rsid w:val="00965A22"/>
    <w:rsid w:val="0098091D"/>
    <w:rsid w:val="009837D9"/>
    <w:rsid w:val="009B33DE"/>
    <w:rsid w:val="009B361E"/>
    <w:rsid w:val="009D773A"/>
    <w:rsid w:val="009F68F0"/>
    <w:rsid w:val="00A21E4D"/>
    <w:rsid w:val="00A30911"/>
    <w:rsid w:val="00A404C6"/>
    <w:rsid w:val="00A45EC8"/>
    <w:rsid w:val="00A6550E"/>
    <w:rsid w:val="00A95453"/>
    <w:rsid w:val="00AB09AB"/>
    <w:rsid w:val="00AE388F"/>
    <w:rsid w:val="00AF62CA"/>
    <w:rsid w:val="00B301B7"/>
    <w:rsid w:val="00B46728"/>
    <w:rsid w:val="00B61252"/>
    <w:rsid w:val="00B875BD"/>
    <w:rsid w:val="00BF31E6"/>
    <w:rsid w:val="00C1773E"/>
    <w:rsid w:val="00C34A3B"/>
    <w:rsid w:val="00C53E59"/>
    <w:rsid w:val="00C93144"/>
    <w:rsid w:val="00C9406D"/>
    <w:rsid w:val="00CB07D9"/>
    <w:rsid w:val="00CB74DC"/>
    <w:rsid w:val="00CF0D2A"/>
    <w:rsid w:val="00D03040"/>
    <w:rsid w:val="00D1586F"/>
    <w:rsid w:val="00D527E0"/>
    <w:rsid w:val="00D56019"/>
    <w:rsid w:val="00D760EE"/>
    <w:rsid w:val="00DB2482"/>
    <w:rsid w:val="00DC07BC"/>
    <w:rsid w:val="00E37E86"/>
    <w:rsid w:val="00E5268A"/>
    <w:rsid w:val="00E7436E"/>
    <w:rsid w:val="00EB515C"/>
    <w:rsid w:val="00EF0840"/>
    <w:rsid w:val="00F25687"/>
    <w:rsid w:val="00F45E62"/>
    <w:rsid w:val="00F54542"/>
    <w:rsid w:val="00F54760"/>
    <w:rsid w:val="00F55E1A"/>
    <w:rsid w:val="00F6108C"/>
    <w:rsid w:val="00F74660"/>
    <w:rsid w:val="00F930B4"/>
    <w:rsid w:val="012176A7"/>
    <w:rsid w:val="012346B7"/>
    <w:rsid w:val="01DE4EE9"/>
    <w:rsid w:val="01E02F29"/>
    <w:rsid w:val="01F91375"/>
    <w:rsid w:val="02564A03"/>
    <w:rsid w:val="025C30F6"/>
    <w:rsid w:val="02F44773"/>
    <w:rsid w:val="03447F50"/>
    <w:rsid w:val="038016F5"/>
    <w:rsid w:val="03994A5E"/>
    <w:rsid w:val="03C423D0"/>
    <w:rsid w:val="03E6144D"/>
    <w:rsid w:val="03F4572B"/>
    <w:rsid w:val="040358FF"/>
    <w:rsid w:val="04577CE5"/>
    <w:rsid w:val="046B3039"/>
    <w:rsid w:val="04BA5E1C"/>
    <w:rsid w:val="05194270"/>
    <w:rsid w:val="053D154A"/>
    <w:rsid w:val="0542129D"/>
    <w:rsid w:val="05456F4C"/>
    <w:rsid w:val="0557023A"/>
    <w:rsid w:val="056E65E8"/>
    <w:rsid w:val="05833338"/>
    <w:rsid w:val="05BA3B13"/>
    <w:rsid w:val="06304A7B"/>
    <w:rsid w:val="06432B8F"/>
    <w:rsid w:val="06490896"/>
    <w:rsid w:val="06696BC1"/>
    <w:rsid w:val="07D47C34"/>
    <w:rsid w:val="083139C1"/>
    <w:rsid w:val="08601003"/>
    <w:rsid w:val="08A705FC"/>
    <w:rsid w:val="09471E7F"/>
    <w:rsid w:val="099873A5"/>
    <w:rsid w:val="09D547DA"/>
    <w:rsid w:val="09F3069E"/>
    <w:rsid w:val="0A031EA0"/>
    <w:rsid w:val="0A2E0E1D"/>
    <w:rsid w:val="0AD1176B"/>
    <w:rsid w:val="0AFF3FE0"/>
    <w:rsid w:val="0BA8345E"/>
    <w:rsid w:val="0BD81DFD"/>
    <w:rsid w:val="0C031CBF"/>
    <w:rsid w:val="0C4D1E2F"/>
    <w:rsid w:val="0C840F9D"/>
    <w:rsid w:val="0D1439B3"/>
    <w:rsid w:val="0D1D3713"/>
    <w:rsid w:val="0D246507"/>
    <w:rsid w:val="0D2F198E"/>
    <w:rsid w:val="0D59791F"/>
    <w:rsid w:val="0D717D76"/>
    <w:rsid w:val="0D767A72"/>
    <w:rsid w:val="0D8508D0"/>
    <w:rsid w:val="0D8D6C0B"/>
    <w:rsid w:val="0DBF5657"/>
    <w:rsid w:val="0DC336FB"/>
    <w:rsid w:val="0DDC2F39"/>
    <w:rsid w:val="0DE7036E"/>
    <w:rsid w:val="0DFD6734"/>
    <w:rsid w:val="0E2F5D7E"/>
    <w:rsid w:val="0E415359"/>
    <w:rsid w:val="0ED077EF"/>
    <w:rsid w:val="0F1503A2"/>
    <w:rsid w:val="0FA5685F"/>
    <w:rsid w:val="10226E6C"/>
    <w:rsid w:val="10D45A55"/>
    <w:rsid w:val="117C7CAB"/>
    <w:rsid w:val="11984429"/>
    <w:rsid w:val="11C65F78"/>
    <w:rsid w:val="11CD0FFB"/>
    <w:rsid w:val="120C223D"/>
    <w:rsid w:val="12525E03"/>
    <w:rsid w:val="12942368"/>
    <w:rsid w:val="129D071B"/>
    <w:rsid w:val="12EE5BBC"/>
    <w:rsid w:val="132940E2"/>
    <w:rsid w:val="13A35305"/>
    <w:rsid w:val="13C11691"/>
    <w:rsid w:val="14182743"/>
    <w:rsid w:val="1426228F"/>
    <w:rsid w:val="144E576A"/>
    <w:rsid w:val="14754FA0"/>
    <w:rsid w:val="158E52DA"/>
    <w:rsid w:val="15C15DC1"/>
    <w:rsid w:val="160E3771"/>
    <w:rsid w:val="16107A4D"/>
    <w:rsid w:val="162D6387"/>
    <w:rsid w:val="16AB3398"/>
    <w:rsid w:val="16F25BF5"/>
    <w:rsid w:val="16FF7344"/>
    <w:rsid w:val="17492B6A"/>
    <w:rsid w:val="175541D3"/>
    <w:rsid w:val="175C5B35"/>
    <w:rsid w:val="175F1BF3"/>
    <w:rsid w:val="177F3F63"/>
    <w:rsid w:val="17A259EB"/>
    <w:rsid w:val="17B04328"/>
    <w:rsid w:val="17D952DF"/>
    <w:rsid w:val="18000BA1"/>
    <w:rsid w:val="184024E5"/>
    <w:rsid w:val="18810900"/>
    <w:rsid w:val="18843358"/>
    <w:rsid w:val="1A10695B"/>
    <w:rsid w:val="1A7B0725"/>
    <w:rsid w:val="1B1A6021"/>
    <w:rsid w:val="1B1D0891"/>
    <w:rsid w:val="1B1D4746"/>
    <w:rsid w:val="1B701BC9"/>
    <w:rsid w:val="1BDC36E4"/>
    <w:rsid w:val="1BFC75B7"/>
    <w:rsid w:val="1C154309"/>
    <w:rsid w:val="1C3561AE"/>
    <w:rsid w:val="1C4161F3"/>
    <w:rsid w:val="1CBA4F53"/>
    <w:rsid w:val="1D583751"/>
    <w:rsid w:val="1D643BD4"/>
    <w:rsid w:val="1D894809"/>
    <w:rsid w:val="1D9F7F99"/>
    <w:rsid w:val="1DC3033C"/>
    <w:rsid w:val="1E2E59FE"/>
    <w:rsid w:val="1E567668"/>
    <w:rsid w:val="1EC86EFB"/>
    <w:rsid w:val="1EE520A6"/>
    <w:rsid w:val="1F2A7299"/>
    <w:rsid w:val="1F412A39"/>
    <w:rsid w:val="1F5D5338"/>
    <w:rsid w:val="1F6227A3"/>
    <w:rsid w:val="1F9C7E9E"/>
    <w:rsid w:val="203F463E"/>
    <w:rsid w:val="20986C08"/>
    <w:rsid w:val="20ED22CF"/>
    <w:rsid w:val="20FA7CA7"/>
    <w:rsid w:val="21264386"/>
    <w:rsid w:val="214A3729"/>
    <w:rsid w:val="219C70A1"/>
    <w:rsid w:val="22103B97"/>
    <w:rsid w:val="22207C59"/>
    <w:rsid w:val="22577506"/>
    <w:rsid w:val="22D22E42"/>
    <w:rsid w:val="233018D6"/>
    <w:rsid w:val="233405C6"/>
    <w:rsid w:val="23370D3A"/>
    <w:rsid w:val="23462F2B"/>
    <w:rsid w:val="23E5437F"/>
    <w:rsid w:val="244F181B"/>
    <w:rsid w:val="24717D39"/>
    <w:rsid w:val="247A4D5F"/>
    <w:rsid w:val="248A62F0"/>
    <w:rsid w:val="248A723C"/>
    <w:rsid w:val="249E544E"/>
    <w:rsid w:val="24F10F33"/>
    <w:rsid w:val="25274D09"/>
    <w:rsid w:val="257E0222"/>
    <w:rsid w:val="263B2F02"/>
    <w:rsid w:val="26402578"/>
    <w:rsid w:val="26437493"/>
    <w:rsid w:val="27C72475"/>
    <w:rsid w:val="27FC7B73"/>
    <w:rsid w:val="28AF305B"/>
    <w:rsid w:val="28D37F04"/>
    <w:rsid w:val="28F5537A"/>
    <w:rsid w:val="2922155C"/>
    <w:rsid w:val="2A170307"/>
    <w:rsid w:val="2ABE15D1"/>
    <w:rsid w:val="2AFE5BCB"/>
    <w:rsid w:val="2BA90673"/>
    <w:rsid w:val="2BDA2989"/>
    <w:rsid w:val="2BE7095E"/>
    <w:rsid w:val="2C406815"/>
    <w:rsid w:val="2C9B733B"/>
    <w:rsid w:val="2CC25275"/>
    <w:rsid w:val="2DFB343C"/>
    <w:rsid w:val="2E135CD8"/>
    <w:rsid w:val="2E324B49"/>
    <w:rsid w:val="2E4E06BC"/>
    <w:rsid w:val="2E553938"/>
    <w:rsid w:val="2EA36753"/>
    <w:rsid w:val="2F8F3EA1"/>
    <w:rsid w:val="2FFE58DC"/>
    <w:rsid w:val="30411EB0"/>
    <w:rsid w:val="306010C3"/>
    <w:rsid w:val="30656241"/>
    <w:rsid w:val="30694EE9"/>
    <w:rsid w:val="30BC4505"/>
    <w:rsid w:val="3101042C"/>
    <w:rsid w:val="312B32FF"/>
    <w:rsid w:val="313D6BFF"/>
    <w:rsid w:val="31420BAE"/>
    <w:rsid w:val="320C2BE0"/>
    <w:rsid w:val="329A03DE"/>
    <w:rsid w:val="32DC3EBE"/>
    <w:rsid w:val="339C1440"/>
    <w:rsid w:val="33D2477A"/>
    <w:rsid w:val="33E9274A"/>
    <w:rsid w:val="34ED4076"/>
    <w:rsid w:val="34FF01D5"/>
    <w:rsid w:val="350158F9"/>
    <w:rsid w:val="353F7A8B"/>
    <w:rsid w:val="35B85686"/>
    <w:rsid w:val="36184F27"/>
    <w:rsid w:val="365E3131"/>
    <w:rsid w:val="36AA1A1D"/>
    <w:rsid w:val="374D731E"/>
    <w:rsid w:val="376E0AE1"/>
    <w:rsid w:val="37B41116"/>
    <w:rsid w:val="37C420EC"/>
    <w:rsid w:val="37D312D1"/>
    <w:rsid w:val="382A263C"/>
    <w:rsid w:val="391C7093"/>
    <w:rsid w:val="3947572A"/>
    <w:rsid w:val="395442E9"/>
    <w:rsid w:val="39CF56BF"/>
    <w:rsid w:val="39DF63B8"/>
    <w:rsid w:val="3A124633"/>
    <w:rsid w:val="3A41052A"/>
    <w:rsid w:val="3AB100C5"/>
    <w:rsid w:val="3B141037"/>
    <w:rsid w:val="3B3F6234"/>
    <w:rsid w:val="3B606001"/>
    <w:rsid w:val="3B761719"/>
    <w:rsid w:val="3C433B5C"/>
    <w:rsid w:val="3C9A7B68"/>
    <w:rsid w:val="3D3E73C3"/>
    <w:rsid w:val="3DED4DA8"/>
    <w:rsid w:val="3DF04A32"/>
    <w:rsid w:val="3DF06634"/>
    <w:rsid w:val="3E441102"/>
    <w:rsid w:val="3E93792F"/>
    <w:rsid w:val="3E9B6D2E"/>
    <w:rsid w:val="3EC5725A"/>
    <w:rsid w:val="3F7E7D58"/>
    <w:rsid w:val="3FA2402D"/>
    <w:rsid w:val="3FBE7495"/>
    <w:rsid w:val="3FC4365A"/>
    <w:rsid w:val="40D1076D"/>
    <w:rsid w:val="40EC7F3E"/>
    <w:rsid w:val="424A6050"/>
    <w:rsid w:val="424E7C19"/>
    <w:rsid w:val="429C6972"/>
    <w:rsid w:val="42C33578"/>
    <w:rsid w:val="431662B2"/>
    <w:rsid w:val="43842D4F"/>
    <w:rsid w:val="43DC589E"/>
    <w:rsid w:val="44143F62"/>
    <w:rsid w:val="4414436D"/>
    <w:rsid w:val="445B0D2C"/>
    <w:rsid w:val="44FA05EA"/>
    <w:rsid w:val="454E1E7D"/>
    <w:rsid w:val="46A21068"/>
    <w:rsid w:val="46B25817"/>
    <w:rsid w:val="46BA5754"/>
    <w:rsid w:val="46BF224D"/>
    <w:rsid w:val="46EE2A12"/>
    <w:rsid w:val="475970A9"/>
    <w:rsid w:val="477056E0"/>
    <w:rsid w:val="477C03B2"/>
    <w:rsid w:val="47D748C8"/>
    <w:rsid w:val="47DE6225"/>
    <w:rsid w:val="481B3E68"/>
    <w:rsid w:val="48A43377"/>
    <w:rsid w:val="48C478D0"/>
    <w:rsid w:val="492A3BEC"/>
    <w:rsid w:val="493F6E01"/>
    <w:rsid w:val="49B44BED"/>
    <w:rsid w:val="49C369D7"/>
    <w:rsid w:val="4A4B30E2"/>
    <w:rsid w:val="4B3914BA"/>
    <w:rsid w:val="4B6A26A3"/>
    <w:rsid w:val="4BED4FF0"/>
    <w:rsid w:val="4C115F72"/>
    <w:rsid w:val="4C3B00CB"/>
    <w:rsid w:val="4C410A70"/>
    <w:rsid w:val="4C531DA4"/>
    <w:rsid w:val="4CA701BE"/>
    <w:rsid w:val="4CF71E1E"/>
    <w:rsid w:val="4D5034B3"/>
    <w:rsid w:val="4D674705"/>
    <w:rsid w:val="4D6B4D1A"/>
    <w:rsid w:val="4E97435F"/>
    <w:rsid w:val="4EEA3531"/>
    <w:rsid w:val="4FA0200C"/>
    <w:rsid w:val="50614CBD"/>
    <w:rsid w:val="51585CF5"/>
    <w:rsid w:val="51DA2954"/>
    <w:rsid w:val="5205051C"/>
    <w:rsid w:val="52580C58"/>
    <w:rsid w:val="52A4738B"/>
    <w:rsid w:val="52B92B7C"/>
    <w:rsid w:val="53593B0C"/>
    <w:rsid w:val="53952657"/>
    <w:rsid w:val="548B7562"/>
    <w:rsid w:val="54B40625"/>
    <w:rsid w:val="54BA6028"/>
    <w:rsid w:val="54E9550A"/>
    <w:rsid w:val="54FB67B0"/>
    <w:rsid w:val="55793696"/>
    <w:rsid w:val="560D1BF6"/>
    <w:rsid w:val="562A1D1A"/>
    <w:rsid w:val="56A60927"/>
    <w:rsid w:val="56BE1886"/>
    <w:rsid w:val="56DF2530"/>
    <w:rsid w:val="56F87F14"/>
    <w:rsid w:val="576B3890"/>
    <w:rsid w:val="57F814AD"/>
    <w:rsid w:val="583F3C9B"/>
    <w:rsid w:val="58847504"/>
    <w:rsid w:val="59692187"/>
    <w:rsid w:val="597063F8"/>
    <w:rsid w:val="59A42E61"/>
    <w:rsid w:val="59BA256D"/>
    <w:rsid w:val="59C91724"/>
    <w:rsid w:val="5A0F2FF6"/>
    <w:rsid w:val="5A1237E0"/>
    <w:rsid w:val="5A76594E"/>
    <w:rsid w:val="5AED6748"/>
    <w:rsid w:val="5B161069"/>
    <w:rsid w:val="5B8501A8"/>
    <w:rsid w:val="5B8715D2"/>
    <w:rsid w:val="5B935681"/>
    <w:rsid w:val="5BBC7991"/>
    <w:rsid w:val="5C0F53A9"/>
    <w:rsid w:val="5C2A10A8"/>
    <w:rsid w:val="5C657195"/>
    <w:rsid w:val="5CE8150D"/>
    <w:rsid w:val="5DB71576"/>
    <w:rsid w:val="5DBE5A62"/>
    <w:rsid w:val="5E407ECD"/>
    <w:rsid w:val="5EA15BD5"/>
    <w:rsid w:val="5EE112B3"/>
    <w:rsid w:val="5F247461"/>
    <w:rsid w:val="5F382BCD"/>
    <w:rsid w:val="5F6E627D"/>
    <w:rsid w:val="5FB93F77"/>
    <w:rsid w:val="604D3C61"/>
    <w:rsid w:val="611C2580"/>
    <w:rsid w:val="613368D3"/>
    <w:rsid w:val="61B61536"/>
    <w:rsid w:val="629E491B"/>
    <w:rsid w:val="62C3483E"/>
    <w:rsid w:val="63347FB1"/>
    <w:rsid w:val="63667667"/>
    <w:rsid w:val="64EA5B43"/>
    <w:rsid w:val="67074CD3"/>
    <w:rsid w:val="678B445E"/>
    <w:rsid w:val="679C490D"/>
    <w:rsid w:val="67E3112E"/>
    <w:rsid w:val="681B3B4E"/>
    <w:rsid w:val="6845113F"/>
    <w:rsid w:val="68762FFE"/>
    <w:rsid w:val="69412CEE"/>
    <w:rsid w:val="69586200"/>
    <w:rsid w:val="69696FA4"/>
    <w:rsid w:val="6973138F"/>
    <w:rsid w:val="6A7B7B1F"/>
    <w:rsid w:val="6AA82AC1"/>
    <w:rsid w:val="6AE4025F"/>
    <w:rsid w:val="6B094E92"/>
    <w:rsid w:val="6B3D47F9"/>
    <w:rsid w:val="6B4A6B0B"/>
    <w:rsid w:val="6B541BC0"/>
    <w:rsid w:val="6C0A5B05"/>
    <w:rsid w:val="6C35774D"/>
    <w:rsid w:val="6C4F2850"/>
    <w:rsid w:val="6CFC4050"/>
    <w:rsid w:val="6D0262E2"/>
    <w:rsid w:val="6D4545F8"/>
    <w:rsid w:val="6D515A7E"/>
    <w:rsid w:val="6D9D63FA"/>
    <w:rsid w:val="6DE808FC"/>
    <w:rsid w:val="6E390823"/>
    <w:rsid w:val="6EA94ABC"/>
    <w:rsid w:val="6ECA2AEA"/>
    <w:rsid w:val="6EDA040B"/>
    <w:rsid w:val="6F3365CC"/>
    <w:rsid w:val="6F6B5875"/>
    <w:rsid w:val="6F8355B4"/>
    <w:rsid w:val="6FB93B84"/>
    <w:rsid w:val="70340C88"/>
    <w:rsid w:val="70E370B9"/>
    <w:rsid w:val="71170C0A"/>
    <w:rsid w:val="719505CF"/>
    <w:rsid w:val="71F36025"/>
    <w:rsid w:val="72091B17"/>
    <w:rsid w:val="72940B4B"/>
    <w:rsid w:val="72C94E8B"/>
    <w:rsid w:val="72ED00AB"/>
    <w:rsid w:val="732D259E"/>
    <w:rsid w:val="739A30F4"/>
    <w:rsid w:val="73D633F2"/>
    <w:rsid w:val="73E60ED9"/>
    <w:rsid w:val="740C4066"/>
    <w:rsid w:val="744951BC"/>
    <w:rsid w:val="747A23E3"/>
    <w:rsid w:val="74AE69AD"/>
    <w:rsid w:val="75B173E7"/>
    <w:rsid w:val="761415DE"/>
    <w:rsid w:val="764E73BA"/>
    <w:rsid w:val="76B76805"/>
    <w:rsid w:val="773A5475"/>
    <w:rsid w:val="77D243F1"/>
    <w:rsid w:val="77FC0EFD"/>
    <w:rsid w:val="78376601"/>
    <w:rsid w:val="78437072"/>
    <w:rsid w:val="78776EDC"/>
    <w:rsid w:val="787966D3"/>
    <w:rsid w:val="787A6B86"/>
    <w:rsid w:val="78C97697"/>
    <w:rsid w:val="795E526C"/>
    <w:rsid w:val="7990680D"/>
    <w:rsid w:val="79E90EE7"/>
    <w:rsid w:val="7A3A7450"/>
    <w:rsid w:val="7AB32755"/>
    <w:rsid w:val="7B83737D"/>
    <w:rsid w:val="7C28382B"/>
    <w:rsid w:val="7C3976EC"/>
    <w:rsid w:val="7C4E2A32"/>
    <w:rsid w:val="7C542B1B"/>
    <w:rsid w:val="7CCB48DE"/>
    <w:rsid w:val="7CE608AF"/>
    <w:rsid w:val="7CFA35B7"/>
    <w:rsid w:val="7D2A05B7"/>
    <w:rsid w:val="7D69016E"/>
    <w:rsid w:val="7DBB24AC"/>
    <w:rsid w:val="7E3579C8"/>
    <w:rsid w:val="7E911B23"/>
    <w:rsid w:val="7EAE2C30"/>
    <w:rsid w:val="7EC65090"/>
    <w:rsid w:val="7F2577F5"/>
    <w:rsid w:val="7F7333C7"/>
    <w:rsid w:val="7FCA12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5"/>
    <w:basedOn w:val="1"/>
    <w:next w:val="1"/>
    <w:autoRedefine/>
    <w:qFormat/>
    <w:uiPriority w:val="0"/>
    <w:pPr>
      <w:keepNext/>
      <w:keepLines/>
      <w:tabs>
        <w:tab w:val="center" w:pos="6804"/>
        <w:tab w:val="right" w:pos="7371"/>
      </w:tabs>
      <w:overflowPunct w:val="0"/>
      <w:adjustRightInd w:val="0"/>
      <w:spacing w:line="360" w:lineRule="auto"/>
      <w:textAlignment w:val="baseline"/>
      <w:outlineLvl w:val="4"/>
    </w:pPr>
    <w:rPr>
      <w:rFonts w:ascii="Times New Roman" w:hAnsi="Times New Roman"/>
      <w:color w:val="008000"/>
      <w:kern w:val="0"/>
      <w:sz w:val="28"/>
      <w:szCs w:val="20"/>
    </w:rPr>
  </w:style>
  <w:style w:type="paragraph" w:styleId="2">
    <w:name w:val="heading 6"/>
    <w:basedOn w:val="1"/>
    <w:next w:val="1"/>
    <w:qFormat/>
    <w:uiPriority w:val="9"/>
    <w:pPr>
      <w:tabs>
        <w:tab w:val="left" w:pos="980"/>
        <w:tab w:val="left" w:pos="1152"/>
      </w:tabs>
      <w:ind w:left="1152" w:hanging="1152"/>
      <w:outlineLvl w:val="5"/>
    </w:pPr>
  </w:style>
  <w:style w:type="character" w:default="1" w:styleId="20">
    <w:name w:val="Default Paragraph Font"/>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firstLine="562"/>
    </w:pPr>
    <w:rPr>
      <w:rFonts w:ascii="仿宋" w:hAnsi="仿宋" w:eastAsia="仿宋"/>
    </w:rPr>
  </w:style>
  <w:style w:type="paragraph" w:styleId="5">
    <w:name w:val="Normal Indent"/>
    <w:basedOn w:val="1"/>
    <w:qFormat/>
    <w:uiPriority w:val="0"/>
    <w:pPr>
      <w:adjustRightInd w:val="0"/>
      <w:ind w:firstLine="420"/>
      <w:jc w:val="left"/>
      <w:textAlignment w:val="baseline"/>
    </w:pPr>
    <w:rPr>
      <w:rFonts w:ascii="宋体"/>
      <w:kern w:val="0"/>
      <w:sz w:val="24"/>
      <w:szCs w:val="20"/>
    </w:rPr>
  </w:style>
  <w:style w:type="paragraph" w:styleId="6">
    <w:name w:val="Body Text"/>
    <w:basedOn w:val="1"/>
    <w:next w:val="7"/>
    <w:autoRedefine/>
    <w:qFormat/>
    <w:uiPriority w:val="0"/>
    <w:pPr>
      <w:spacing w:after="120"/>
    </w:pPr>
  </w:style>
  <w:style w:type="paragraph" w:styleId="7">
    <w:name w:val="Body Text First Indent 2"/>
    <w:basedOn w:val="8"/>
    <w:next w:val="1"/>
    <w:autoRedefine/>
    <w:qFormat/>
    <w:uiPriority w:val="0"/>
    <w:pPr>
      <w:ind w:firstLine="420"/>
    </w:pPr>
  </w:style>
  <w:style w:type="paragraph" w:styleId="8">
    <w:name w:val="Body Text Indent"/>
    <w:basedOn w:val="1"/>
    <w:next w:val="9"/>
    <w:qFormat/>
    <w:uiPriority w:val="0"/>
    <w:pPr>
      <w:autoSpaceDE w:val="0"/>
      <w:autoSpaceDN w:val="0"/>
      <w:adjustRightInd w:val="0"/>
      <w:spacing w:line="360" w:lineRule="auto"/>
      <w:ind w:right="156" w:firstLine="480" w:firstLineChars="200"/>
    </w:pPr>
    <w:rPr>
      <w:sz w:val="24"/>
    </w:rPr>
  </w:style>
  <w:style w:type="paragraph" w:customStyle="1" w:styleId="9">
    <w:name w:val="样式 正文文本缩进 + 行距: 1.5 倍行距"/>
    <w:basedOn w:val="1"/>
    <w:autoRedefine/>
    <w:qFormat/>
    <w:uiPriority w:val="0"/>
    <w:pPr>
      <w:spacing w:after="120" w:line="360" w:lineRule="auto"/>
      <w:ind w:left="90" w:leftChars="32" w:firstLine="560" w:firstLineChars="200"/>
    </w:pPr>
    <w:rPr>
      <w:rFonts w:cs="宋体"/>
    </w:rPr>
  </w:style>
  <w:style w:type="paragraph" w:styleId="10">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11">
    <w:name w:val="Date"/>
    <w:basedOn w:val="1"/>
    <w:next w:val="1"/>
    <w:link w:val="26"/>
    <w:autoRedefine/>
    <w:semiHidden/>
    <w:unhideWhenUsed/>
    <w:qFormat/>
    <w:uiPriority w:val="99"/>
    <w:pPr>
      <w:ind w:left="100" w:leftChars="2500"/>
    </w:pPr>
  </w:style>
  <w:style w:type="paragraph" w:styleId="12">
    <w:name w:val="Body Text Indent 2"/>
    <w:basedOn w:val="1"/>
    <w:next w:val="1"/>
    <w:autoRedefine/>
    <w:qFormat/>
    <w:uiPriority w:val="0"/>
    <w:pPr>
      <w:ind w:firstLine="630"/>
    </w:pPr>
    <w:rPr>
      <w:rFonts w:ascii="Times New Roman" w:hAnsi="Times New Roman"/>
      <w:sz w:val="32"/>
      <w:szCs w:val="24"/>
    </w:rPr>
  </w:style>
  <w:style w:type="paragraph" w:styleId="13">
    <w:name w:val="Balloon Text"/>
    <w:basedOn w:val="1"/>
    <w:link w:val="28"/>
    <w:autoRedefine/>
    <w:semiHidden/>
    <w:unhideWhenUsed/>
    <w:qFormat/>
    <w:uiPriority w:val="99"/>
    <w:rPr>
      <w:sz w:val="18"/>
      <w:szCs w:val="18"/>
    </w:rPr>
  </w:style>
  <w:style w:type="paragraph" w:styleId="14">
    <w:name w:val="footer"/>
    <w:basedOn w:val="1"/>
    <w:link w:val="25"/>
    <w:autoRedefine/>
    <w:unhideWhenUsed/>
    <w:qFormat/>
    <w:uiPriority w:val="99"/>
    <w:pPr>
      <w:tabs>
        <w:tab w:val="center" w:pos="4153"/>
        <w:tab w:val="right" w:pos="8306"/>
      </w:tabs>
      <w:snapToGrid w:val="0"/>
      <w:jc w:val="left"/>
    </w:pPr>
    <w:rPr>
      <w:sz w:val="18"/>
      <w:szCs w:val="18"/>
    </w:rPr>
  </w:style>
  <w:style w:type="paragraph" w:styleId="15">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autoRedefine/>
    <w:unhideWhenUsed/>
    <w:qFormat/>
    <w:uiPriority w:val="99"/>
    <w:pPr>
      <w:widowControl/>
      <w:jc w:val="left"/>
    </w:pPr>
    <w:rPr>
      <w:rFonts w:ascii="宋体" w:hAnsi="宋体" w:eastAsia="宋体" w:cs="宋体"/>
      <w:kern w:val="0"/>
      <w:sz w:val="24"/>
      <w:szCs w:val="24"/>
    </w:rPr>
  </w:style>
  <w:style w:type="paragraph" w:styleId="17">
    <w:name w:val="Body Text First Indent"/>
    <w:basedOn w:val="6"/>
    <w:next w:val="18"/>
    <w:autoRedefine/>
    <w:qFormat/>
    <w:uiPriority w:val="0"/>
    <w:pPr>
      <w:ind w:firstLine="420" w:firstLineChars="100"/>
    </w:pPr>
  </w:style>
  <w:style w:type="paragraph" w:customStyle="1" w:styleId="18">
    <w:name w:val="样式 宋体 小四 行距: 1.5 倍行距"/>
    <w:basedOn w:val="1"/>
    <w:next w:val="3"/>
    <w:autoRedefine/>
    <w:qFormat/>
    <w:uiPriority w:val="0"/>
    <w:pPr>
      <w:widowControl/>
      <w:spacing w:after="120" w:line="360" w:lineRule="auto"/>
      <w:ind w:firstLine="480" w:firstLineChars="200"/>
      <w:textAlignment w:val="baseline"/>
    </w:pPr>
    <w:rPr>
      <w:rFonts w:ascii="宋体" w:hAnsi="宋体" w:cs="宋体"/>
      <w:kern w:val="0"/>
      <w:sz w:val="24"/>
      <w:szCs w:val="20"/>
    </w:rPr>
  </w:style>
  <w:style w:type="character" w:styleId="21">
    <w:name w:val="page number"/>
    <w:basedOn w:val="20"/>
    <w:autoRedefine/>
    <w:qFormat/>
    <w:uiPriority w:val="0"/>
  </w:style>
  <w:style w:type="paragraph" w:customStyle="1" w:styleId="22">
    <w:name w:val="Body Text 21"/>
    <w:basedOn w:val="1"/>
    <w:next w:val="1"/>
    <w:autoRedefine/>
    <w:qFormat/>
    <w:uiPriority w:val="0"/>
    <w:pPr>
      <w:spacing w:after="120" w:line="480" w:lineRule="auto"/>
    </w:pPr>
  </w:style>
  <w:style w:type="paragraph" w:customStyle="1" w:styleId="23">
    <w:name w:val="BodyText1I"/>
    <w:basedOn w:val="1"/>
    <w:autoRedefine/>
    <w:qFormat/>
    <w:uiPriority w:val="0"/>
    <w:pPr>
      <w:ind w:firstLine="420" w:firstLineChars="100"/>
      <w:jc w:val="both"/>
      <w:textAlignment w:val="baseline"/>
    </w:pPr>
  </w:style>
  <w:style w:type="character" w:customStyle="1" w:styleId="24">
    <w:name w:val="页眉 Char"/>
    <w:basedOn w:val="20"/>
    <w:link w:val="15"/>
    <w:autoRedefine/>
    <w:qFormat/>
    <w:uiPriority w:val="99"/>
    <w:rPr>
      <w:sz w:val="18"/>
      <w:szCs w:val="18"/>
    </w:rPr>
  </w:style>
  <w:style w:type="character" w:customStyle="1" w:styleId="25">
    <w:name w:val="页脚 Char"/>
    <w:basedOn w:val="20"/>
    <w:link w:val="14"/>
    <w:autoRedefine/>
    <w:qFormat/>
    <w:uiPriority w:val="99"/>
    <w:rPr>
      <w:sz w:val="18"/>
      <w:szCs w:val="18"/>
    </w:rPr>
  </w:style>
  <w:style w:type="character" w:customStyle="1" w:styleId="26">
    <w:name w:val="日期 Char"/>
    <w:basedOn w:val="20"/>
    <w:link w:val="11"/>
    <w:autoRedefine/>
    <w:semiHidden/>
    <w:qFormat/>
    <w:uiPriority w:val="99"/>
  </w:style>
  <w:style w:type="paragraph" w:customStyle="1" w:styleId="27">
    <w:name w:val="4 Char"/>
    <w:basedOn w:val="1"/>
    <w:autoRedefine/>
    <w:qFormat/>
    <w:uiPriority w:val="0"/>
    <w:rPr>
      <w:rFonts w:ascii="Times New Roman" w:hAnsi="Times New Roman" w:eastAsia="宋体" w:cs="Times New Roman"/>
      <w:szCs w:val="24"/>
    </w:rPr>
  </w:style>
  <w:style w:type="character" w:customStyle="1" w:styleId="28">
    <w:name w:val="批注框文本 Char"/>
    <w:basedOn w:val="20"/>
    <w:link w:val="13"/>
    <w:autoRedefine/>
    <w:semiHidden/>
    <w:qFormat/>
    <w:uiPriority w:val="99"/>
    <w:rPr>
      <w:sz w:val="18"/>
      <w:szCs w:val="18"/>
    </w:rPr>
  </w:style>
  <w:style w:type="character" w:customStyle="1" w:styleId="29">
    <w:name w:val="fontstyle01"/>
    <w:autoRedefine/>
    <w:qFormat/>
    <w:uiPriority w:val="0"/>
    <w:rPr>
      <w:rFonts w:hint="default" w:ascii="F1" w:hAnsi="F1"/>
      <w:color w:val="000000"/>
      <w:sz w:val="28"/>
      <w:szCs w:val="28"/>
    </w:rPr>
  </w:style>
  <w:style w:type="paragraph" w:customStyle="1" w:styleId="30">
    <w:name w:val="样式 纯文本文章正文 + 左  0 字符"/>
    <w:basedOn w:val="1"/>
    <w:autoRedefine/>
    <w:semiHidden/>
    <w:qFormat/>
    <w:uiPriority w:val="0"/>
    <w:pPr>
      <w:ind w:firstLine="560" w:firstLineChars="200"/>
    </w:pPr>
    <w:rPr>
      <w:rFonts w:ascii="宋体" w:hAnsi="Courier New" w:cs="宋体"/>
      <w:szCs w:val="20"/>
    </w:rPr>
  </w:style>
  <w:style w:type="paragraph" w:customStyle="1" w:styleId="31">
    <w:name w:val="样式1"/>
    <w:autoRedefine/>
    <w:qFormat/>
    <w:uiPriority w:val="0"/>
    <w:pPr>
      <w:spacing w:line="720" w:lineRule="exact"/>
      <w:jc w:val="center"/>
    </w:pPr>
    <w:rPr>
      <w:rFonts w:ascii="宋体" w:hAnsi="宋体" w:eastAsia="宋体" w:cs="Times New Roman"/>
      <w:b/>
      <w:sz w:val="36"/>
      <w:lang w:val="en-US" w:eastAsia="zh-CN" w:bidi="ar-SA"/>
    </w:rPr>
  </w:style>
  <w:style w:type="paragraph" w:customStyle="1" w:styleId="32">
    <w:name w:val="BodyText1I2"/>
    <w:basedOn w:val="1"/>
    <w:autoRedefine/>
    <w:qFormat/>
    <w:uiPriority w:val="0"/>
    <w:pPr>
      <w:spacing w:after="120"/>
      <w:ind w:left="420" w:leftChars="200" w:firstLine="420" w:firstLineChars="200"/>
      <w:textAlignment w:val="baseline"/>
    </w:pPr>
    <w:rPr>
      <w:rFonts w:ascii="Calibri" w:hAnsi="Calibri" w:eastAsia="宋体" w:cs="Times New Roman"/>
      <w:szCs w:val="24"/>
    </w:rPr>
  </w:style>
  <w:style w:type="character" w:customStyle="1" w:styleId="33">
    <w:name w:val="NormalCharacter"/>
    <w:autoRedefine/>
    <w:qFormat/>
    <w:uiPriority w:val="0"/>
    <w:rPr>
      <w:kern w:val="2"/>
      <w:sz w:val="21"/>
      <w:szCs w:val="24"/>
      <w:lang w:val="en-US" w:eastAsia="zh-CN" w:bidi="ar-SA"/>
    </w:rPr>
  </w:style>
  <w:style w:type="paragraph" w:customStyle="1" w:styleId="34">
    <w:name w:val="节1"/>
    <w:basedOn w:val="1"/>
    <w:next w:val="1"/>
    <w:autoRedefine/>
    <w:qFormat/>
    <w:uiPriority w:val="0"/>
    <w:pPr>
      <w:tabs>
        <w:tab w:val="left" w:pos="7020"/>
      </w:tabs>
      <w:adjustRightInd w:val="0"/>
      <w:snapToGrid w:val="0"/>
      <w:spacing w:line="600" w:lineRule="exact"/>
      <w:ind w:firstLine="643"/>
      <w:jc w:val="center"/>
      <w:outlineLvl w:val="2"/>
    </w:pPr>
    <w:rPr>
      <w:rFonts w:ascii="宋体" w:hAnsi="宋体"/>
      <w:b/>
      <w:color w:val="FF0000"/>
      <w:sz w:val="32"/>
    </w:rPr>
  </w:style>
  <w:style w:type="paragraph" w:customStyle="1" w:styleId="35">
    <w:name w:val="⑨正文（武潇）"/>
    <w:basedOn w:val="17"/>
    <w:autoRedefine/>
    <w:qFormat/>
    <w:uiPriority w:val="0"/>
    <w:pPr>
      <w:autoSpaceDE w:val="0"/>
      <w:autoSpaceDN w:val="0"/>
      <w:adjustRightInd w:val="0"/>
      <w:snapToGrid w:val="0"/>
      <w:spacing w:after="0" w:line="360" w:lineRule="auto"/>
      <w:ind w:firstLine="200" w:firstLineChars="200"/>
    </w:pPr>
    <w:rPr>
      <w:bCs/>
      <w:sz w:val="28"/>
      <w:szCs w:val="28"/>
    </w:rPr>
  </w:style>
  <w:style w:type="paragraph" w:customStyle="1" w:styleId="36">
    <w:name w:val="正文26"/>
    <w:basedOn w:val="1"/>
    <w:autoRedefine/>
    <w:qFormat/>
    <w:uiPriority w:val="0"/>
    <w:pPr>
      <w:widowControl w:val="0"/>
      <w:overflowPunct w:val="0"/>
      <w:topLinePunct/>
      <w:snapToGrid w:val="0"/>
      <w:spacing w:line="520" w:lineRule="exact"/>
      <w:ind w:firstLine="482"/>
      <w:jc w:val="both"/>
    </w:pPr>
    <w:rPr>
      <w:rFonts w:cs="Times New Roman"/>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39"/>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7</Pages>
  <Words>1959</Words>
  <Characters>2224</Characters>
  <Lines>8</Lines>
  <Paragraphs>2</Paragraphs>
  <TotalTime>26</TotalTime>
  <ScaleCrop>false</ScaleCrop>
  <LinksUpToDate>false</LinksUpToDate>
  <CharactersWithSpaces>2311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2017-06-19T16:13:00Z</dcterms:created>
  <dc:creator>1</dc:creator>
  <cp:lastModifiedBy>Lenovo</cp:lastModifiedBy>
  <cp:lastPrinted>2022-12-15T16:21:00Z</cp:lastPrinted>
  <dcterms:modified xsi:type="dcterms:W3CDTF">2024-01-30T03:33:14Z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18F56E52C95E4549A41ADB6E4381677B</vt:lpwstr>
  </property>
</Properties>
</file>