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s="仿宋_GB2312"/>
          <w:b/>
          <w:bCs/>
          <w:color w:val="auto"/>
          <w:highlight w:val="none"/>
          <w:lang w:val="en-US" w:eastAsia="zh-CN"/>
        </w:rPr>
      </w:pPr>
      <w:r>
        <w:rPr>
          <w:rFonts w:hint="eastAsia" w:cs="仿宋_GB2312"/>
          <w:b/>
          <w:bCs/>
          <w:color w:val="auto"/>
          <w:highlight w:val="none"/>
          <w:lang w:val="en-US" w:eastAsia="zh-CN"/>
        </w:rPr>
        <w:t>附件2</w:t>
      </w:r>
    </w:p>
    <w:tbl>
      <w:tblPr>
        <w:tblStyle w:val="5"/>
        <w:tblW w:w="0" w:type="auto"/>
        <w:tblInd w:w="-3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80"/>
        <w:gridCol w:w="1247"/>
        <w:gridCol w:w="1153"/>
        <w:gridCol w:w="7305"/>
        <w:gridCol w:w="1770"/>
        <w:gridCol w:w="1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13815" w:type="dxa"/>
            <w:gridSpan w:val="6"/>
            <w:tcBorders>
              <w:top w:val="nil"/>
              <w:left w:val="nil"/>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4"/>
                <w:szCs w:val="44"/>
                <w:u w:val="none"/>
              </w:rPr>
            </w:pPr>
            <w:r>
              <w:rPr>
                <w:rFonts w:hint="eastAsia" w:ascii="方正小标宋简体" w:hAnsi="方正小标宋简体" w:eastAsia="方正小标宋简体" w:cs="方正小标宋简体"/>
                <w:b/>
                <w:bCs/>
                <w:i w:val="0"/>
                <w:color w:val="000000"/>
                <w:kern w:val="0"/>
                <w:sz w:val="44"/>
                <w:szCs w:val="44"/>
                <w:u w:val="none"/>
                <w:lang w:val="en-US" w:eastAsia="zh-CN" w:bidi="ar"/>
              </w:rPr>
              <w:t>达拉特旗相对集中行政许可权改革划转行政许可事项目录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2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2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旗级</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主管部门</w:t>
            </w: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权力类别</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事项名称</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行使层级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划转意见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12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达拉特旗教育体育局</w:t>
            </w: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民办、中外合作开办中等及以下学校和其他教育机构筹设审批</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市级、旗县级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12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中等及以下学校和其他教育机构设置审批</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市级、旗县级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12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从事文艺、体育等专业训练的社会组织自行实施义务教育审批</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旗县级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w:t>
            </w:r>
          </w:p>
        </w:tc>
        <w:tc>
          <w:tcPr>
            <w:tcW w:w="12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校车使用许可</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旗县级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12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举办健身气功活动及设立站点审批</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市级、旗县级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w:t>
            </w:r>
          </w:p>
        </w:tc>
        <w:tc>
          <w:tcPr>
            <w:tcW w:w="12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临时占用公共体育设施审批</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市级、旗县级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w:t>
            </w:r>
          </w:p>
        </w:tc>
        <w:tc>
          <w:tcPr>
            <w:tcW w:w="12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行政确认</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等级运动员称号授予</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市级、旗县级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w:t>
            </w:r>
          </w:p>
        </w:tc>
        <w:tc>
          <w:tcPr>
            <w:tcW w:w="12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行政确认</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社会体育指导员技术等级称号授予</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市级、旗县级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w:t>
            </w:r>
          </w:p>
        </w:tc>
        <w:tc>
          <w:tcPr>
            <w:tcW w:w="12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行政确认</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裁判员技术等级认证</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市级、旗县级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5"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2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旗级</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主管部门</w:t>
            </w: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权力类别</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事项名称</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行使层级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划转意见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w:t>
            </w:r>
          </w:p>
        </w:tc>
        <w:tc>
          <w:tcPr>
            <w:tcW w:w="12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达拉特旗民政局</w:t>
            </w: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社会团体成立、变更、注销登记及修改章程核准</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市级、旗县级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w:t>
            </w:r>
          </w:p>
        </w:tc>
        <w:tc>
          <w:tcPr>
            <w:tcW w:w="12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民办非企业单位成立、变更、注销登记及修改章程核准</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市级、旗县级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w:t>
            </w:r>
          </w:p>
        </w:tc>
        <w:tc>
          <w:tcPr>
            <w:tcW w:w="12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行政许可</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宗教活动场所法人成立、变更、注销登记</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旗县级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应划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w:t>
            </w:r>
          </w:p>
        </w:tc>
        <w:tc>
          <w:tcPr>
            <w:tcW w:w="12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慈善组织公开募捐资格审批</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市级、旗县级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14</w:t>
            </w:r>
          </w:p>
        </w:tc>
        <w:tc>
          <w:tcPr>
            <w:tcW w:w="12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殡葬设施建设审批</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市级、旗县级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15</w:t>
            </w:r>
          </w:p>
        </w:tc>
        <w:tc>
          <w:tcPr>
            <w:tcW w:w="12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地名命名、更名审批</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市级、旗县级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16</w:t>
            </w:r>
          </w:p>
        </w:tc>
        <w:tc>
          <w:tcPr>
            <w:tcW w:w="12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达拉特旗财政局</w:t>
            </w: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中介机构从事代理记账业务审批</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市级、旗县级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17</w:t>
            </w:r>
          </w:p>
        </w:tc>
        <w:tc>
          <w:tcPr>
            <w:tcW w:w="12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达拉特旗人力资源和社会保障局</w:t>
            </w: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职业培训学校筹设审批</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市级、旗县级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18</w:t>
            </w:r>
          </w:p>
        </w:tc>
        <w:tc>
          <w:tcPr>
            <w:tcW w:w="12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职业培训学校办学许可</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市级、旗县级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19</w:t>
            </w:r>
          </w:p>
        </w:tc>
        <w:tc>
          <w:tcPr>
            <w:tcW w:w="12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人力资源服务许可</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市级、旗县级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w:t>
            </w:r>
          </w:p>
        </w:tc>
        <w:tc>
          <w:tcPr>
            <w:tcW w:w="12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劳务派遣经营许可</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旗县级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21</w:t>
            </w:r>
          </w:p>
        </w:tc>
        <w:tc>
          <w:tcPr>
            <w:tcW w:w="12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企业实行不定时工作制和综合计算工时工作制审批</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市级、旗县级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2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旗级</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主管部门</w:t>
            </w: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权力类别</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事项名称</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行使层级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划转意见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22</w:t>
            </w:r>
          </w:p>
        </w:tc>
        <w:tc>
          <w:tcPr>
            <w:tcW w:w="12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达拉特旗自然资源局</w:t>
            </w: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乡村建设规划许可</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市级、旗县级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23</w:t>
            </w:r>
          </w:p>
        </w:tc>
        <w:tc>
          <w:tcPr>
            <w:tcW w:w="12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达拉特旗住房和城乡建设局</w:t>
            </w: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关闭、闲置、拆除城市环境卫生设施许可</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市级、旗县级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24</w:t>
            </w:r>
          </w:p>
        </w:tc>
        <w:tc>
          <w:tcPr>
            <w:tcW w:w="12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城镇污水排入排水管网许可</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市级、旗县级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25</w:t>
            </w:r>
          </w:p>
        </w:tc>
        <w:tc>
          <w:tcPr>
            <w:tcW w:w="12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拆除、改动、迁移城市公共供水设施审核</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市级、旗县级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26</w:t>
            </w:r>
          </w:p>
        </w:tc>
        <w:tc>
          <w:tcPr>
            <w:tcW w:w="12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拆除、改动城镇排水与污水处理设施审核</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市级、旗县级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27</w:t>
            </w:r>
          </w:p>
        </w:tc>
        <w:tc>
          <w:tcPr>
            <w:tcW w:w="12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特殊车辆在城市道路上行驶审批</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市级、旗县级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28</w:t>
            </w:r>
          </w:p>
        </w:tc>
        <w:tc>
          <w:tcPr>
            <w:tcW w:w="12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达拉特旗交通运输局</w:t>
            </w: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涉路施工许可（设置非公路标志审批）</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市级、旗县级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29</w:t>
            </w:r>
          </w:p>
        </w:tc>
        <w:tc>
          <w:tcPr>
            <w:tcW w:w="12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更新采伐护路林审批</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市级、旗县级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30</w:t>
            </w:r>
          </w:p>
        </w:tc>
        <w:tc>
          <w:tcPr>
            <w:tcW w:w="12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道路旅客运输站经营许可</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旗县级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31</w:t>
            </w:r>
          </w:p>
        </w:tc>
        <w:tc>
          <w:tcPr>
            <w:tcW w:w="12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道路货物运输经营许可（除使用4500千克及以下普通货运车辆从事普通货运经营外）</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旗县级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32</w:t>
            </w:r>
          </w:p>
        </w:tc>
        <w:tc>
          <w:tcPr>
            <w:tcW w:w="12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出租汽车经营许可</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市级、旗县级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33</w:t>
            </w:r>
          </w:p>
        </w:tc>
        <w:tc>
          <w:tcPr>
            <w:tcW w:w="12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出租汽车车辆运营证核发</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市级、旗县级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5"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2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旗级</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主管部门</w:t>
            </w: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权力类别</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事项名称</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行使层级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划转意见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34</w:t>
            </w:r>
          </w:p>
        </w:tc>
        <w:tc>
          <w:tcPr>
            <w:tcW w:w="12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达拉特旗水利局</w:t>
            </w: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河道管理范围内特定活动审批</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市级、旗县级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35</w:t>
            </w:r>
          </w:p>
        </w:tc>
        <w:tc>
          <w:tcPr>
            <w:tcW w:w="12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河道采砂许可</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市级、旗县级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36</w:t>
            </w:r>
          </w:p>
        </w:tc>
        <w:tc>
          <w:tcPr>
            <w:tcW w:w="12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生产建设项目水土保持方案审批</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市级、旗县级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37</w:t>
            </w:r>
          </w:p>
        </w:tc>
        <w:tc>
          <w:tcPr>
            <w:tcW w:w="12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农村集体经济组织修建水库审批</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市级、旗县级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38</w:t>
            </w:r>
          </w:p>
        </w:tc>
        <w:tc>
          <w:tcPr>
            <w:tcW w:w="12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城市建设填堵水域、废除围堤审批</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市级、旗县级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39</w:t>
            </w:r>
          </w:p>
        </w:tc>
        <w:tc>
          <w:tcPr>
            <w:tcW w:w="12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大坝管理和保护范围内修建码头、渔塘许可</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市级、旗县级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40</w:t>
            </w:r>
          </w:p>
        </w:tc>
        <w:tc>
          <w:tcPr>
            <w:tcW w:w="1247"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达拉特旗农牧局</w:t>
            </w: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农药经营许可</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市级、旗县级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41</w:t>
            </w:r>
          </w:p>
        </w:tc>
        <w:tc>
          <w:tcPr>
            <w:tcW w:w="1247"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兽药经营许可</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市级、旗县级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42</w:t>
            </w:r>
          </w:p>
        </w:tc>
        <w:tc>
          <w:tcPr>
            <w:tcW w:w="1247"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食用菌菌种生产经营许可</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旗县级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43</w:t>
            </w:r>
          </w:p>
        </w:tc>
        <w:tc>
          <w:tcPr>
            <w:tcW w:w="1247"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种畜禽生产经营许可</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市级、旗县级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44</w:t>
            </w:r>
          </w:p>
        </w:tc>
        <w:tc>
          <w:tcPr>
            <w:tcW w:w="1247"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蚕种生产经营许可</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市级、旗县级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45</w:t>
            </w:r>
          </w:p>
        </w:tc>
        <w:tc>
          <w:tcPr>
            <w:tcW w:w="1247"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动物防疫条件合格证核发</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市级、旗县级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5"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2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旗级</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主管部门</w:t>
            </w: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权力类别</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事项名称</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行使层级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划转意见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46</w:t>
            </w:r>
          </w:p>
        </w:tc>
        <w:tc>
          <w:tcPr>
            <w:tcW w:w="1247"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达拉特旗农牧局</w:t>
            </w: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动物诊疗许可</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市级、旗县级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47</w:t>
            </w:r>
          </w:p>
        </w:tc>
        <w:tc>
          <w:tcPr>
            <w:tcW w:w="1247"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生鲜乳收购站许可</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旗县级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48</w:t>
            </w:r>
          </w:p>
        </w:tc>
        <w:tc>
          <w:tcPr>
            <w:tcW w:w="1247"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生鲜乳准运证明核发</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旗县级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49</w:t>
            </w:r>
          </w:p>
        </w:tc>
        <w:tc>
          <w:tcPr>
            <w:tcW w:w="1247"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水产苗种生产经营审批</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市级、旗县级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50</w:t>
            </w:r>
          </w:p>
        </w:tc>
        <w:tc>
          <w:tcPr>
            <w:tcW w:w="1247"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渔业捕捞许可</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市级、旗县级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51</w:t>
            </w:r>
          </w:p>
        </w:tc>
        <w:tc>
          <w:tcPr>
            <w:tcW w:w="1247"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其他行政权力</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执业兽医备案</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市级、旗县级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52</w:t>
            </w:r>
          </w:p>
        </w:tc>
        <w:tc>
          <w:tcPr>
            <w:tcW w:w="1247"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达拉特旗文化和旅游局</w:t>
            </w: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文艺表演团体设立审批</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旗县级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53</w:t>
            </w:r>
          </w:p>
        </w:tc>
        <w:tc>
          <w:tcPr>
            <w:tcW w:w="1247"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营业性演出审批</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旗县级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54</w:t>
            </w:r>
          </w:p>
        </w:tc>
        <w:tc>
          <w:tcPr>
            <w:tcW w:w="1247"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娱乐场所经营活动审批</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旗县级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55</w:t>
            </w:r>
          </w:p>
        </w:tc>
        <w:tc>
          <w:tcPr>
            <w:tcW w:w="1247"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互联网上网服务营业场所筹建审批</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旗县级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56</w:t>
            </w:r>
          </w:p>
        </w:tc>
        <w:tc>
          <w:tcPr>
            <w:tcW w:w="1247"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互联网上网服务经营活动审批</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旗县级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序号</w:t>
            </w:r>
          </w:p>
        </w:tc>
        <w:tc>
          <w:tcPr>
            <w:tcW w:w="1247"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黑体" w:hAnsi="宋体" w:eastAsia="黑体" w:cs="黑体"/>
                <w:i w:val="0"/>
                <w:color w:val="000000"/>
                <w:kern w:val="0"/>
                <w:sz w:val="24"/>
                <w:szCs w:val="24"/>
                <w:u w:val="none"/>
                <w:lang w:val="en-US" w:eastAsia="zh-CN" w:bidi="ar"/>
              </w:rPr>
              <w:t>旗级</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主管部门</w:t>
            </w: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权力类别</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事项名称</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行使层级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黑体" w:hAnsi="宋体" w:eastAsia="黑体" w:cs="黑体"/>
                <w:i w:val="0"/>
                <w:color w:val="000000"/>
                <w:kern w:val="0"/>
                <w:sz w:val="24"/>
                <w:szCs w:val="24"/>
                <w:u w:val="none"/>
                <w:lang w:val="en-US" w:eastAsia="zh-CN" w:bidi="ar"/>
              </w:rPr>
              <w:t>划转意见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57</w:t>
            </w:r>
          </w:p>
        </w:tc>
        <w:tc>
          <w:tcPr>
            <w:tcW w:w="1247"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达拉特旗文化和旅游局</w:t>
            </w: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建设工程文物保护许可</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市级、旗县级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58</w:t>
            </w:r>
          </w:p>
        </w:tc>
        <w:tc>
          <w:tcPr>
            <w:tcW w:w="1247"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文物保护单位原址保护措施审批</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市级、旗县级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59</w:t>
            </w:r>
          </w:p>
        </w:tc>
        <w:tc>
          <w:tcPr>
            <w:tcW w:w="1247"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核定为文物保护单位的属于国家所有的纪念建筑物或者古建筑改变用途审批</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市级、旗县级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60</w:t>
            </w:r>
          </w:p>
        </w:tc>
        <w:tc>
          <w:tcPr>
            <w:tcW w:w="1247"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不可移动文物修缮审批</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市级、旗县级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61</w:t>
            </w:r>
          </w:p>
        </w:tc>
        <w:tc>
          <w:tcPr>
            <w:tcW w:w="1247"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非国有文物收藏单位和其他单位借用国有馆藏文物审批</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市级、旗县级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62</w:t>
            </w:r>
          </w:p>
        </w:tc>
        <w:tc>
          <w:tcPr>
            <w:tcW w:w="1247"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博物馆处理不够入藏标准、无保存价值的文物或标本审批</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市级、旗县级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63</w:t>
            </w:r>
          </w:p>
        </w:tc>
        <w:tc>
          <w:tcPr>
            <w:tcW w:w="1247"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达拉特旗卫生健康委员会</w:t>
            </w: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饮用水供水单位卫生许可</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市级、旗县级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64</w:t>
            </w:r>
          </w:p>
        </w:tc>
        <w:tc>
          <w:tcPr>
            <w:tcW w:w="1247"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公共场所卫生许可</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市级、旗县级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65</w:t>
            </w:r>
          </w:p>
        </w:tc>
        <w:tc>
          <w:tcPr>
            <w:tcW w:w="1247"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医疗机构设置审批</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市级、旗县级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66</w:t>
            </w:r>
          </w:p>
        </w:tc>
        <w:tc>
          <w:tcPr>
            <w:tcW w:w="1247"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医疗机构执业登记</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市级、旗县级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67</w:t>
            </w:r>
          </w:p>
        </w:tc>
        <w:tc>
          <w:tcPr>
            <w:tcW w:w="1247"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母婴保健技术服务机构执业许可</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旗县级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68</w:t>
            </w:r>
          </w:p>
        </w:tc>
        <w:tc>
          <w:tcPr>
            <w:tcW w:w="1247"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医师执业注册</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市级、旗县级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69</w:t>
            </w:r>
          </w:p>
        </w:tc>
        <w:tc>
          <w:tcPr>
            <w:tcW w:w="1247"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乡村医生执业注册</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旗县级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序号</w:t>
            </w:r>
          </w:p>
        </w:tc>
        <w:tc>
          <w:tcPr>
            <w:tcW w:w="1247"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旗级</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主管部门</w:t>
            </w: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权力类别</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事项名称</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行使层级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黑体" w:hAnsi="宋体" w:eastAsia="黑体" w:cs="黑体"/>
                <w:i w:val="0"/>
                <w:color w:val="000000"/>
                <w:kern w:val="0"/>
                <w:sz w:val="24"/>
                <w:szCs w:val="24"/>
                <w:u w:val="none"/>
                <w:lang w:val="en-US" w:eastAsia="zh-CN" w:bidi="ar"/>
              </w:rPr>
              <w:t>划转意见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70</w:t>
            </w:r>
          </w:p>
        </w:tc>
        <w:tc>
          <w:tcPr>
            <w:tcW w:w="1247"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达拉特旗卫生健康委员会</w:t>
            </w: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母婴保健服务人员资格认定</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旗县级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71</w:t>
            </w:r>
          </w:p>
        </w:tc>
        <w:tc>
          <w:tcPr>
            <w:tcW w:w="1247"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护士执业注册</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市级、旗县级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72</w:t>
            </w:r>
          </w:p>
        </w:tc>
        <w:tc>
          <w:tcPr>
            <w:tcW w:w="1247"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确有专长的中医医师资格认定</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市级、旗县级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73</w:t>
            </w:r>
          </w:p>
        </w:tc>
        <w:tc>
          <w:tcPr>
            <w:tcW w:w="1247"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确有专长的中医医师执业注册</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市级、旗县级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74</w:t>
            </w:r>
          </w:p>
        </w:tc>
        <w:tc>
          <w:tcPr>
            <w:tcW w:w="1247"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中医医疗机构设置审批</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市级、旗县级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75</w:t>
            </w:r>
          </w:p>
        </w:tc>
        <w:tc>
          <w:tcPr>
            <w:tcW w:w="1247"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中医医疗机构执业登记</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市级、旗县级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76</w:t>
            </w:r>
          </w:p>
        </w:tc>
        <w:tc>
          <w:tcPr>
            <w:tcW w:w="1247"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行政裁决</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医疗机构名称裁定</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市级、旗县级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77</w:t>
            </w:r>
          </w:p>
        </w:tc>
        <w:tc>
          <w:tcPr>
            <w:tcW w:w="1247"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行政确认</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放射医疗工作人员证核发</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市级、旗县级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78</w:t>
            </w:r>
          </w:p>
        </w:tc>
        <w:tc>
          <w:tcPr>
            <w:tcW w:w="12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达拉特旗应急管理局</w:t>
            </w: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行政许可</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烟花爆竹经营（零售）许可</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市级、旗县级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应划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79</w:t>
            </w:r>
          </w:p>
        </w:tc>
        <w:tc>
          <w:tcPr>
            <w:tcW w:w="1247"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达拉特旗市场监督管理局</w:t>
            </w: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食品生产许可</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市级、旗县级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80</w:t>
            </w:r>
          </w:p>
        </w:tc>
        <w:tc>
          <w:tcPr>
            <w:tcW w:w="1247"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食品经营许可</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市级、旗县级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81</w:t>
            </w:r>
          </w:p>
        </w:tc>
        <w:tc>
          <w:tcPr>
            <w:tcW w:w="1247"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药品零售企业筹建审批</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市级、旗县级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序号</w:t>
            </w:r>
          </w:p>
        </w:tc>
        <w:tc>
          <w:tcPr>
            <w:tcW w:w="1247"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旗级</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主管部门</w:t>
            </w: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权力类别</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事项名称</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行使层级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黑体" w:hAnsi="宋体" w:eastAsia="黑体" w:cs="黑体"/>
                <w:i w:val="0"/>
                <w:color w:val="000000"/>
                <w:kern w:val="0"/>
                <w:sz w:val="24"/>
                <w:szCs w:val="24"/>
                <w:u w:val="none"/>
                <w:lang w:val="en-US" w:eastAsia="zh-CN" w:bidi="ar"/>
              </w:rPr>
              <w:t>划转意见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82</w:t>
            </w:r>
          </w:p>
        </w:tc>
        <w:tc>
          <w:tcPr>
            <w:tcW w:w="1247"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达拉特旗市场监督管理局</w:t>
            </w: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药品零售企业经营许可</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市级、旗县级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83</w:t>
            </w:r>
          </w:p>
        </w:tc>
        <w:tc>
          <w:tcPr>
            <w:tcW w:w="1247"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企业登记注册</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市级、旗县级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84</w:t>
            </w:r>
          </w:p>
        </w:tc>
        <w:tc>
          <w:tcPr>
            <w:tcW w:w="1247"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个体工商户登记注册</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旗县级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85</w:t>
            </w:r>
          </w:p>
        </w:tc>
        <w:tc>
          <w:tcPr>
            <w:tcW w:w="1247"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农民专业合作社登记注册</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旗县级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86</w:t>
            </w:r>
          </w:p>
        </w:tc>
        <w:tc>
          <w:tcPr>
            <w:tcW w:w="1247"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食品生产加工小作坊登记</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旗县级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87</w:t>
            </w:r>
          </w:p>
        </w:tc>
        <w:tc>
          <w:tcPr>
            <w:tcW w:w="1247"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行政确认</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股权出质的设立</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市级、旗县级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88</w:t>
            </w:r>
          </w:p>
        </w:tc>
        <w:tc>
          <w:tcPr>
            <w:tcW w:w="1247"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行政裁决</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对企业名称争议的裁决</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市级、旗县级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89</w:t>
            </w:r>
          </w:p>
        </w:tc>
        <w:tc>
          <w:tcPr>
            <w:tcW w:w="12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达拉特旗能源局</w:t>
            </w: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在电力设施周围或者电力设施保护区内进行可能危及电力设施安全作业审批</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市级、旗县级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90</w:t>
            </w:r>
          </w:p>
        </w:tc>
        <w:tc>
          <w:tcPr>
            <w:tcW w:w="12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达拉特旗林业和草原局</w:t>
            </w: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林木采伐许可证核发</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市级、旗县级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91</w:t>
            </w:r>
          </w:p>
        </w:tc>
        <w:tc>
          <w:tcPr>
            <w:tcW w:w="12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猎捕陆生野生动物审批</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市级、旗县级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92</w:t>
            </w:r>
          </w:p>
        </w:tc>
        <w:tc>
          <w:tcPr>
            <w:tcW w:w="12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达拉特旗城市管理综合执法局</w:t>
            </w: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设置大型户外广告及在城市建筑物、设施上悬挂、张贴</w:t>
            </w:r>
            <w:bookmarkStart w:id="0" w:name="_GoBack"/>
            <w:bookmarkEnd w:id="0"/>
            <w:r>
              <w:rPr>
                <w:rFonts w:hint="eastAsia" w:ascii="仿宋_GB2312" w:hAnsi="宋体" w:eastAsia="仿宋_GB2312" w:cs="仿宋_GB2312"/>
                <w:i w:val="0"/>
                <w:color w:val="000000"/>
                <w:kern w:val="0"/>
                <w:sz w:val="24"/>
                <w:szCs w:val="24"/>
                <w:u w:val="none"/>
                <w:lang w:val="en-US" w:eastAsia="zh-CN" w:bidi="ar"/>
              </w:rPr>
              <w:t>宣传品审批</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市级、旗县级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93</w:t>
            </w:r>
          </w:p>
        </w:tc>
        <w:tc>
          <w:tcPr>
            <w:tcW w:w="12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达拉特旗档案局</w:t>
            </w: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行政许可</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延期移交档案审批</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市级、旗县级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应划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序号</w:t>
            </w:r>
          </w:p>
        </w:tc>
        <w:tc>
          <w:tcPr>
            <w:tcW w:w="12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黑体" w:hAnsi="宋体" w:eastAsia="黑体" w:cs="黑体"/>
                <w:i w:val="0"/>
                <w:color w:val="auto"/>
                <w:kern w:val="0"/>
                <w:sz w:val="24"/>
                <w:szCs w:val="24"/>
                <w:u w:val="none"/>
                <w:lang w:val="en-US" w:eastAsia="zh-CN" w:bidi="ar"/>
              </w:rPr>
              <w:t>旗级</w:t>
            </w:r>
            <w:r>
              <w:rPr>
                <w:rFonts w:hint="eastAsia" w:ascii="黑体" w:hAnsi="宋体" w:eastAsia="黑体" w:cs="黑体"/>
                <w:i w:val="0"/>
                <w:color w:val="auto"/>
                <w:kern w:val="0"/>
                <w:sz w:val="24"/>
                <w:szCs w:val="24"/>
                <w:u w:val="none"/>
                <w:lang w:val="en-US" w:eastAsia="zh-CN" w:bidi="ar"/>
              </w:rPr>
              <w:br w:type="textWrapping"/>
            </w:r>
            <w:r>
              <w:rPr>
                <w:rFonts w:hint="eastAsia" w:ascii="黑体" w:hAnsi="宋体" w:eastAsia="黑体" w:cs="黑体"/>
                <w:i w:val="0"/>
                <w:color w:val="auto"/>
                <w:kern w:val="0"/>
                <w:sz w:val="24"/>
                <w:szCs w:val="24"/>
                <w:u w:val="none"/>
                <w:lang w:val="en-US" w:eastAsia="zh-CN" w:bidi="ar"/>
              </w:rPr>
              <w:t>主管部门</w:t>
            </w: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黑体" w:hAnsi="宋体" w:eastAsia="黑体" w:cs="黑体"/>
                <w:i w:val="0"/>
                <w:color w:val="auto"/>
                <w:kern w:val="0"/>
                <w:sz w:val="24"/>
                <w:szCs w:val="24"/>
                <w:u w:val="none"/>
                <w:lang w:val="en-US" w:eastAsia="zh-CN" w:bidi="ar"/>
              </w:rPr>
              <w:t>权力类别</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黑体" w:hAnsi="宋体" w:eastAsia="黑体" w:cs="黑体"/>
                <w:i w:val="0"/>
                <w:color w:val="auto"/>
                <w:kern w:val="0"/>
                <w:sz w:val="24"/>
                <w:szCs w:val="24"/>
                <w:u w:val="none"/>
                <w:lang w:val="en-US" w:eastAsia="zh-CN" w:bidi="ar"/>
              </w:rPr>
              <w:t>事项名称</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4"/>
                <w:szCs w:val="24"/>
                <w:u w:val="none"/>
                <w:lang w:val="en-US" w:eastAsia="zh-CN" w:bidi="ar"/>
              </w:rPr>
            </w:pPr>
            <w:r>
              <w:rPr>
                <w:rFonts w:hint="eastAsia" w:ascii="黑体" w:hAnsi="宋体" w:eastAsia="黑体" w:cs="黑体"/>
                <w:i w:val="0"/>
                <w:color w:val="auto"/>
                <w:kern w:val="0"/>
                <w:sz w:val="24"/>
                <w:szCs w:val="24"/>
                <w:u w:val="none"/>
                <w:lang w:val="en-US" w:eastAsia="zh-CN" w:bidi="ar"/>
              </w:rPr>
              <w:t>行使层级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黑体" w:hAnsi="宋体" w:eastAsia="黑体" w:cs="黑体"/>
                <w:i w:val="0"/>
                <w:color w:val="auto"/>
                <w:kern w:val="0"/>
                <w:sz w:val="24"/>
                <w:szCs w:val="24"/>
                <w:u w:val="none"/>
                <w:lang w:val="en-US" w:eastAsia="zh-CN" w:bidi="ar"/>
              </w:rPr>
              <w:t>划转意见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94</w:t>
            </w:r>
          </w:p>
        </w:tc>
        <w:tc>
          <w:tcPr>
            <w:tcW w:w="12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达拉特旗新闻出版广电局</w:t>
            </w: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行政许可</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广播电视专用频段频率使用许可</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市级、旗县级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应划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95</w:t>
            </w:r>
          </w:p>
        </w:tc>
        <w:tc>
          <w:tcPr>
            <w:tcW w:w="12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auto"/>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行政许可</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广播电台、电视台设立、终止审批</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市级、旗县级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应划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96</w:t>
            </w:r>
          </w:p>
        </w:tc>
        <w:tc>
          <w:tcPr>
            <w:tcW w:w="12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auto"/>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行政许可</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广播电台、电视台变更台名、台标、节目设置范围或节目套数审批</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市级、旗县级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应划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97</w:t>
            </w:r>
          </w:p>
        </w:tc>
        <w:tc>
          <w:tcPr>
            <w:tcW w:w="12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auto"/>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行政许可</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乡镇设立广播电视站和机关、部队、团体、企业事业单位设立有线广播电视站审批</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市级、旗县级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应划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98</w:t>
            </w:r>
          </w:p>
        </w:tc>
        <w:tc>
          <w:tcPr>
            <w:tcW w:w="12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auto"/>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行政许可</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设置卫星电视广播地面接收设施审批</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市级、旗县级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应划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99</w:t>
            </w:r>
          </w:p>
        </w:tc>
        <w:tc>
          <w:tcPr>
            <w:tcW w:w="12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FF0000"/>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出版物零售业务经营许可</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旗县级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100</w:t>
            </w:r>
          </w:p>
        </w:tc>
        <w:tc>
          <w:tcPr>
            <w:tcW w:w="12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FF0000"/>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行政许可</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电影放映单位设立审批</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旗县级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必划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101</w:t>
            </w:r>
          </w:p>
        </w:tc>
        <w:tc>
          <w:tcPr>
            <w:tcW w:w="12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达拉特旗工信局</w:t>
            </w:r>
          </w:p>
        </w:tc>
        <w:tc>
          <w:tcPr>
            <w:tcW w:w="1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其他行政权力</w:t>
            </w:r>
          </w:p>
        </w:tc>
        <w:tc>
          <w:tcPr>
            <w:tcW w:w="7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单用途商业预付卡企业备案登记</w:t>
            </w:r>
          </w:p>
        </w:tc>
        <w:tc>
          <w:tcPr>
            <w:tcW w:w="1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市级、旗县级</w:t>
            </w:r>
          </w:p>
        </w:tc>
        <w:tc>
          <w:tcPr>
            <w:tcW w:w="1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必划</w:t>
            </w:r>
          </w:p>
        </w:tc>
      </w:tr>
    </w:tbl>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cs="仿宋_GB2312"/>
          <w:b/>
          <w:bCs/>
          <w:color w:val="auto"/>
          <w:highlight w:val="none"/>
          <w:lang w:val="en-US" w:eastAsia="zh-CN"/>
        </w:rPr>
      </w:pPr>
    </w:p>
    <w:p/>
    <w:sectPr>
      <w:headerReference r:id="rId3" w:type="default"/>
      <w:footerReference r:id="rId4" w:type="default"/>
      <w:footerReference r:id="rId5" w:type="even"/>
      <w:pgSz w:w="16838" w:h="11906" w:orient="landscape"/>
      <w:pgMar w:top="1587" w:right="1871" w:bottom="1474" w:left="1871" w:header="851" w:footer="992"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Style w:val="7"/>
        <w:sz w:val="28"/>
        <w:szCs w:val="28"/>
      </w:rPr>
    </w:pPr>
  </w:p>
  <w:p>
    <w:pPr>
      <w:pStyle w:val="3"/>
      <w:ind w:right="360"/>
      <w:rPr>
        <w:rStyle w:val="7"/>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posOffset>66040</wp:posOffset>
              </wp:positionH>
              <wp:positionV relativeFrom="paragraph">
                <wp:posOffset>-183515</wp:posOffset>
              </wp:positionV>
              <wp:extent cx="444500" cy="2425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44500" cy="242570"/>
                      </a:xfrm>
                      <a:prstGeom prst="rect">
                        <a:avLst/>
                      </a:prstGeom>
                      <a:noFill/>
                      <a:ln>
                        <a:noFill/>
                      </a:ln>
                    </wps:spPr>
                    <wps:txbx>
                      <w:txbxContent>
                        <w:p>
                          <w:pPr>
                            <w:snapToGrid w:val="0"/>
                            <w:rPr>
                              <w:rFonts w:hint="eastAsia"/>
                              <w:sz w:val="18"/>
                            </w:rPr>
                          </w:pPr>
                        </w:p>
                      </w:txbxContent>
                    </wps:txbx>
                    <wps:bodyPr lIns="0" tIns="0" rIns="0" bIns="0" upright="0"/>
                  </wps:wsp>
                </a:graphicData>
              </a:graphic>
            </wp:anchor>
          </w:drawing>
        </mc:Choice>
        <mc:Fallback>
          <w:pict>
            <v:shape id="_x0000_s1026" o:spid="_x0000_s1026" o:spt="202" type="#_x0000_t202" style="position:absolute;left:0pt;margin-left:5.2pt;margin-top:-14.45pt;height:19.1pt;width:35pt;mso-position-horizontal-relative:margin;z-index:251659264;mso-width-relative:page;mso-height-relative:page;" filled="f" stroked="f" coordsize="21600,21600" o:gfxdata="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mjBeE9UAAAAHAQAADwAAAAAAAAABACAAAAAiAAAAZHJzL2Rvd25yZXYueG1sUEsBAhQAFAAA&#10;AAgAh07iQDEDntO5AQAAcQMAAA4AAAAAAAAAAQAgAAAAJAEAAGRycy9lMm9Eb2MueG1sUEsFBgAA&#10;AAAGAAYAWQEAAE8FAAAAAA==&#10;">
              <v:fill on="f" focussize="0,0"/>
              <v:stroke on="f"/>
              <v:imagedata o:title=""/>
              <o:lock v:ext="edit" aspectratio="f"/>
              <v:textbox inset="0mm,0mm,0mm,0mm">
                <w:txbxContent>
                  <w:p>
                    <w:pPr>
                      <w:snapToGrid w:val="0"/>
                      <w:rPr>
                        <w:rFonts w:hint="eastAsia"/>
                        <w:sz w:val="18"/>
                      </w:rPr>
                    </w:pPr>
                  </w:p>
                </w:txbxContent>
              </v:textbox>
            </v:shape>
          </w:pict>
        </mc:Fallback>
      </mc:AlternateConten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xNzk2NGIzYmY1NTUxMzkyODJmNDYwYzUzN2JkOTQifQ=="/>
  </w:docVars>
  <w:rsids>
    <w:rsidRoot w:val="00000000"/>
    <w:rsid w:val="2B505F9D"/>
    <w:rsid w:val="2C774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ind w:left="111"/>
    </w:pPr>
    <w:rPr>
      <w:rFonts w:ascii="仿宋_GB2312" w:hAnsi="仿宋_GB2312" w:eastAsia="仿宋_GB2312"/>
      <w:sz w:val="32"/>
      <w:szCs w:val="32"/>
    </w:r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nhideWhenUsed/>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2024-05-08T00:59:37Z</dcterms:created>
  <dc:creator>Lenovo</dc:creator>
  <cp:lastModifiedBy>3</cp:lastModifiedBy>
  <dcterms:modified xsi:type="dcterms:W3CDTF">2024-05-08T01:00:40Z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7F9B4670575243AFBFEF01C47C5F230D_13</vt:lpwstr>
  </property>
</Properties>
</file>